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1.xml" ContentType="application/vnd.openxmlformats-officedocument.themeOverride+xml"/>
  <Override PartName="/word/charts/chartEx1.xml" ContentType="application/vnd.ms-office.chartex+xml"/>
  <Override PartName="/word/charts/style7.xml" ContentType="application/vnd.ms-office.chartstyle+xml"/>
  <Override PartName="/word/charts/colors7.xml" ContentType="application/vnd.ms-office.chartcolorstyle+xml"/>
  <Override PartName="/word/charts/chart7.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8.xml" ContentType="application/vnd.openxmlformats-officedocument.drawingml.chart+xml"/>
  <Override PartName="/word/charts/style9.xml" ContentType="application/vnd.ms-office.chartstyle+xml"/>
  <Override PartName="/word/charts/colors9.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asciiTheme="majorHAnsi" w:hAnsiTheme="majorHAnsi" w:cstheme="majorHAnsi"/>
          <w:sz w:val="24"/>
          <w:szCs w:val="24"/>
          <w:lang w:val="en-GB"/>
        </w:rPr>
        <w:id w:val="-2040575446"/>
        <w:docPartObj>
          <w:docPartGallery w:val="Cover Pages"/>
          <w:docPartUnique/>
        </w:docPartObj>
      </w:sdtPr>
      <w:sdtEndPr>
        <w:rPr>
          <w:sz w:val="12"/>
        </w:rPr>
      </w:sdtEndPr>
      <w:sdtContent>
        <w:p w14:paraId="5E336D87" w14:textId="77777777" w:rsidR="00780E4A" w:rsidRPr="00DE4CD2" w:rsidRDefault="00D651B9">
          <w:pPr>
            <w:pStyle w:val="KeinLeerraum"/>
            <w:rPr>
              <w:rFonts w:asciiTheme="majorHAnsi" w:eastAsia="Calibri" w:hAnsiTheme="majorHAnsi" w:cstheme="majorHAnsi"/>
              <w:sz w:val="72"/>
              <w:szCs w:val="72"/>
            </w:rPr>
          </w:pPr>
          <w:r w:rsidRPr="00DE4CD2">
            <w:rPr>
              <w:rFonts w:asciiTheme="majorHAnsi" w:hAnsiTheme="majorHAnsi" w:cstheme="majorHAnsi"/>
              <w:noProof/>
              <w:lang w:val="en-US" w:eastAsia="en-US"/>
            </w:rPr>
            <mc:AlternateContent>
              <mc:Choice Requires="wps">
                <w:drawing>
                  <wp:anchor distT="0" distB="0" distL="114300" distR="114300" simplePos="0" relativeHeight="251637248" behindDoc="1" locked="0" layoutInCell="0" allowOverlap="1" wp14:anchorId="4251D1C6" wp14:editId="57E97743">
                    <wp:simplePos x="0" y="0"/>
                    <wp:positionH relativeFrom="page">
                      <wp:posOffset>-123824</wp:posOffset>
                    </wp:positionH>
                    <wp:positionV relativeFrom="page">
                      <wp:posOffset>1466849</wp:posOffset>
                    </wp:positionV>
                    <wp:extent cx="8161020" cy="501649"/>
                    <wp:effectExtent l="19049" t="19049" r="28575" b="12699"/>
                    <wp:wrapNone/>
                    <wp:docPr id="20"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61020" cy="501650"/>
                            </a:xfrm>
                            <a:prstGeom prst="rect">
                              <a:avLst/>
                            </a:prstGeom>
                            <a:solidFill>
                              <a:schemeClr val="accent1"/>
                            </a:solidFill>
                            <a:ln w="38100">
                              <a:solidFill>
                                <a:schemeClr val="accent2"/>
                              </a:solidFill>
                              <a:miter lim="800000"/>
                              <a:headEnd/>
                              <a:tailEnd/>
                            </a:ln>
                          </wps:spPr>
                          <wps:bodyPr rot="0">
                            <a:prstTxWarp prst="textNoShape">
                              <a:avLst/>
                            </a:prstTxWarp>
                            <a:noAutofit/>
                          </wps:bodyPr>
                        </wps:wsp>
                      </a:graphicData>
                    </a:graphic>
                    <wp14:sizeRelH relativeFrom="page">
                      <wp14:pctWidth>105000</wp14:pctWidth>
                    </wp14:sizeRelH>
                    <wp14:sizeRelV relativeFrom="topMargin">
                      <wp14:pctHeight>0</wp14:pctHeight>
                    </wp14:sizeRelV>
                  </wp:anchor>
                </w:drawing>
              </mc:Choice>
              <mc:Fallback xmlns:a="http://schemas.openxmlformats.org/drawingml/2006/main">
                <w:pict>
                  <v:shape id="shape 8" o:spid="_x0000_s8" o:spt="1" style="position:absolute;mso-wrap-distance-left:9.0pt;mso-wrap-distance-top:0.0pt;mso-wrap-distance-right:9.0pt;mso-wrap-distance-bottom:0.0pt;z-index:-251637248;o:allowoverlap:true;o:allowincell:false;mso-position-horizontal-relative:page;margin-left:-9.7pt;mso-position-horizontal:absolute;mso-position-vertical-relative:page;margin-top:115.5pt;mso-position-vertical:absolute;width:642.6pt;height:39.5pt;" coordsize="100000,100000" path="" fillcolor="#000000" strokecolor="#000000" strokeweight="3.00pt">
                    <v:path textboxrect="0,0,0,0"/>
                    <v:fill opacity="100f"/>
                  </v:shape>
                </w:pict>
              </mc:Fallback>
            </mc:AlternateContent>
          </w:r>
        </w:p>
        <w:p w14:paraId="75FDB632" w14:textId="77777777" w:rsidR="00780E4A" w:rsidRPr="00DE4CD2" w:rsidRDefault="00780E4A">
          <w:pPr>
            <w:rPr>
              <w:rFonts w:asciiTheme="majorHAnsi" w:hAnsiTheme="majorHAnsi" w:cstheme="majorHAnsi"/>
            </w:rPr>
          </w:pPr>
        </w:p>
        <w:p w14:paraId="21439A6C" w14:textId="77777777" w:rsidR="00780E4A" w:rsidRPr="00DE4CD2" w:rsidRDefault="00780E4A">
          <w:pPr>
            <w:rPr>
              <w:rFonts w:asciiTheme="majorHAnsi" w:hAnsiTheme="majorHAnsi" w:cstheme="majorHAnsi"/>
              <w:b/>
              <w:sz w:val="32"/>
              <w:lang w:val="fr-FR"/>
            </w:rPr>
          </w:pPr>
        </w:p>
        <w:p w14:paraId="3987D742" w14:textId="77777777" w:rsidR="00780E4A" w:rsidRPr="00DE4CD2" w:rsidRDefault="00780E4A">
          <w:pPr>
            <w:rPr>
              <w:rFonts w:asciiTheme="majorHAnsi" w:hAnsiTheme="majorHAnsi" w:cstheme="majorHAnsi"/>
              <w:b/>
              <w:sz w:val="32"/>
              <w:lang w:val="fr-FR"/>
            </w:rPr>
          </w:pPr>
        </w:p>
        <w:p w14:paraId="2B59D765" w14:textId="77777777" w:rsidR="00780E4A" w:rsidRPr="00DE4CD2" w:rsidRDefault="00780E4A">
          <w:pPr>
            <w:rPr>
              <w:rFonts w:asciiTheme="majorHAnsi" w:hAnsiTheme="majorHAnsi" w:cstheme="majorHAnsi"/>
              <w:b/>
              <w:sz w:val="32"/>
              <w:lang w:val="fr-FR"/>
            </w:rPr>
          </w:pPr>
        </w:p>
        <w:p w14:paraId="30A8FE0E" w14:textId="77777777" w:rsidR="00780E4A" w:rsidRPr="00DE4CD2" w:rsidRDefault="00780E4A">
          <w:pPr>
            <w:rPr>
              <w:rFonts w:asciiTheme="majorHAnsi" w:hAnsiTheme="majorHAnsi" w:cstheme="majorHAnsi"/>
              <w:b/>
              <w:sz w:val="32"/>
              <w:lang w:val="fr-FR"/>
            </w:rPr>
          </w:pPr>
        </w:p>
        <w:p w14:paraId="5E273A0C" w14:textId="77777777" w:rsidR="00780E4A" w:rsidRPr="00DE4CD2" w:rsidRDefault="00780E4A">
          <w:pPr>
            <w:rPr>
              <w:rFonts w:asciiTheme="majorHAnsi" w:hAnsiTheme="majorHAnsi" w:cstheme="majorHAnsi"/>
              <w:b/>
              <w:sz w:val="32"/>
              <w:lang w:val="fr-FR"/>
            </w:rPr>
          </w:pPr>
        </w:p>
        <w:p w14:paraId="21EACBD5" w14:textId="77777777" w:rsidR="00780E4A" w:rsidRPr="00DE4CD2" w:rsidRDefault="00E0662D">
          <w:pPr>
            <w:rPr>
              <w:rFonts w:asciiTheme="majorHAnsi" w:hAnsiTheme="majorHAnsi" w:cstheme="majorHAnsi"/>
              <w:b/>
              <w:sz w:val="32"/>
              <w:lang w:val="fr-FR"/>
            </w:rPr>
          </w:pPr>
          <w:r w:rsidRPr="00DE4CD2">
            <w:rPr>
              <w:rFonts w:asciiTheme="majorHAnsi" w:hAnsiTheme="majorHAnsi" w:cstheme="majorHAnsi"/>
              <w:b/>
              <w:noProof/>
              <w:sz w:val="32"/>
              <w:lang w:val="en-US" w:eastAsia="en-US"/>
            </w:rPr>
            <w:drawing>
              <wp:anchor distT="0" distB="0" distL="114300" distR="114300" simplePos="0" relativeHeight="251640320" behindDoc="0" locked="0" layoutInCell="1" allowOverlap="1" wp14:anchorId="3291397B" wp14:editId="0856EBFE">
                <wp:simplePos x="0" y="0"/>
                <wp:positionH relativeFrom="column">
                  <wp:posOffset>537210</wp:posOffset>
                </wp:positionH>
                <wp:positionV relativeFrom="paragraph">
                  <wp:posOffset>77470</wp:posOffset>
                </wp:positionV>
                <wp:extent cx="4716145" cy="1765935"/>
                <wp:effectExtent l="0" t="0" r="8255" b="5715"/>
                <wp:wrapNone/>
                <wp:docPr id="21"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ogo RISIS Tagline C.png"/>
                        <pic:cNvPicPr>
                          <a:picLocks noChangeAspect="1"/>
                        </pic:cNvPicPr>
                      </pic:nvPicPr>
                      <pic:blipFill>
                        <a:blip r:embed="rId8"/>
                        <a:stretch/>
                      </pic:blipFill>
                      <pic:spPr bwMode="auto">
                        <a:xfrm>
                          <a:off x="0" y="0"/>
                          <a:ext cx="4716145" cy="1765935"/>
                        </a:xfrm>
                        <a:prstGeom prst="rect">
                          <a:avLst/>
                        </a:prstGeom>
                      </pic:spPr>
                    </pic:pic>
                  </a:graphicData>
                </a:graphic>
                <wp14:sizeRelH relativeFrom="page">
                  <wp14:pctWidth>0</wp14:pctWidth>
                </wp14:sizeRelH>
                <wp14:sizeRelV relativeFrom="page">
                  <wp14:pctHeight>0</wp14:pctHeight>
                </wp14:sizeRelV>
              </wp:anchor>
            </w:drawing>
          </w:r>
        </w:p>
        <w:p w14:paraId="479A6C51" w14:textId="77777777" w:rsidR="00780E4A" w:rsidRPr="00DE4CD2" w:rsidRDefault="00780E4A">
          <w:pPr>
            <w:rPr>
              <w:rFonts w:asciiTheme="majorHAnsi" w:hAnsiTheme="majorHAnsi" w:cstheme="majorHAnsi"/>
              <w:b/>
              <w:sz w:val="32"/>
              <w:lang w:val="fr-FR"/>
            </w:rPr>
          </w:pPr>
        </w:p>
        <w:p w14:paraId="0A3A3346" w14:textId="77777777" w:rsidR="00780E4A" w:rsidRPr="00DE4CD2" w:rsidRDefault="00780E4A">
          <w:pPr>
            <w:rPr>
              <w:rFonts w:asciiTheme="majorHAnsi" w:hAnsiTheme="majorHAnsi" w:cstheme="majorHAnsi"/>
              <w:b/>
              <w:sz w:val="32"/>
              <w:lang w:val="fr-FR"/>
            </w:rPr>
          </w:pPr>
        </w:p>
        <w:p w14:paraId="75CDC1B8" w14:textId="77777777" w:rsidR="00780E4A" w:rsidRPr="00DE4CD2" w:rsidRDefault="00780E4A">
          <w:pPr>
            <w:rPr>
              <w:rFonts w:asciiTheme="majorHAnsi" w:hAnsiTheme="majorHAnsi" w:cstheme="majorHAnsi"/>
              <w:b/>
              <w:sz w:val="32"/>
              <w:lang w:val="fr-FR"/>
            </w:rPr>
          </w:pPr>
        </w:p>
        <w:p w14:paraId="718DA002" w14:textId="77777777" w:rsidR="00780E4A" w:rsidRPr="00DE4CD2" w:rsidRDefault="00780E4A">
          <w:pPr>
            <w:rPr>
              <w:rFonts w:asciiTheme="majorHAnsi" w:hAnsiTheme="majorHAnsi" w:cstheme="majorHAnsi"/>
              <w:b/>
              <w:sz w:val="32"/>
              <w:lang w:val="fr-FR"/>
            </w:rPr>
          </w:pPr>
        </w:p>
        <w:p w14:paraId="614069C8" w14:textId="77777777" w:rsidR="00780E4A" w:rsidRPr="00DE4CD2" w:rsidRDefault="00780E4A">
          <w:pPr>
            <w:rPr>
              <w:rFonts w:asciiTheme="majorHAnsi" w:hAnsiTheme="majorHAnsi" w:cstheme="majorHAnsi"/>
              <w:b/>
              <w:sz w:val="32"/>
              <w:lang w:val="fr-FR"/>
            </w:rPr>
          </w:pPr>
        </w:p>
        <w:p w14:paraId="7F26FDA3" w14:textId="77777777" w:rsidR="00780E4A" w:rsidRPr="00DE4CD2" w:rsidRDefault="00780E4A">
          <w:pPr>
            <w:rPr>
              <w:rFonts w:asciiTheme="majorHAnsi" w:hAnsiTheme="majorHAnsi" w:cstheme="majorHAnsi"/>
              <w:b/>
              <w:sz w:val="32"/>
              <w:lang w:val="fr-FR"/>
            </w:rPr>
          </w:pPr>
        </w:p>
        <w:p w14:paraId="15DD4A35" w14:textId="77777777" w:rsidR="00780E4A" w:rsidRPr="00DE4CD2" w:rsidRDefault="00780E4A">
          <w:pPr>
            <w:rPr>
              <w:rFonts w:asciiTheme="majorHAnsi" w:hAnsiTheme="majorHAnsi" w:cstheme="majorHAnsi"/>
              <w:b/>
              <w:sz w:val="32"/>
              <w:lang w:val="fr-FR"/>
            </w:rPr>
          </w:pPr>
        </w:p>
        <w:p w14:paraId="65748D9F" w14:textId="77777777" w:rsidR="00780E4A" w:rsidRPr="00DE4CD2" w:rsidRDefault="00780E4A">
          <w:pPr>
            <w:rPr>
              <w:rFonts w:asciiTheme="majorHAnsi" w:hAnsiTheme="majorHAnsi" w:cstheme="majorHAnsi"/>
              <w:b/>
              <w:sz w:val="32"/>
              <w:lang w:val="fr-FR"/>
            </w:rPr>
          </w:pPr>
        </w:p>
        <w:p w14:paraId="539D72A3" w14:textId="77777777" w:rsidR="00E0662D" w:rsidRPr="00DE4CD2" w:rsidRDefault="00E0662D">
          <w:pPr>
            <w:spacing w:line="276" w:lineRule="auto"/>
            <w:jc w:val="center"/>
            <w:rPr>
              <w:rFonts w:asciiTheme="majorHAnsi" w:hAnsiTheme="majorHAnsi" w:cstheme="majorHAnsi"/>
              <w:b/>
              <w:sz w:val="72"/>
            </w:rPr>
          </w:pPr>
        </w:p>
        <w:p w14:paraId="6E785466" w14:textId="6226780D" w:rsidR="00DB318E" w:rsidRPr="00DE4CD2" w:rsidRDefault="00DB318E" w:rsidP="005C3960">
          <w:pPr>
            <w:spacing w:line="276" w:lineRule="auto"/>
            <w:jc w:val="center"/>
            <w:rPr>
              <w:rFonts w:asciiTheme="majorHAnsi" w:hAnsiTheme="majorHAnsi" w:cstheme="majorHAnsi"/>
              <w:b/>
              <w:sz w:val="56"/>
            </w:rPr>
          </w:pPr>
          <w:r w:rsidRPr="00DE4CD2">
            <w:rPr>
              <w:rFonts w:asciiTheme="majorHAnsi" w:hAnsiTheme="majorHAnsi" w:cstheme="majorHAnsi"/>
              <w:b/>
              <w:sz w:val="56"/>
            </w:rPr>
            <w:t xml:space="preserve">RISIS Datasets – </w:t>
          </w:r>
          <w:r w:rsidR="007E1A47" w:rsidRPr="00DE4CD2">
            <w:rPr>
              <w:rFonts w:asciiTheme="majorHAnsi" w:hAnsiTheme="majorHAnsi" w:cstheme="majorHAnsi"/>
              <w:b/>
              <w:sz w:val="56"/>
            </w:rPr>
            <w:t>Final report on status and main achievements</w:t>
          </w:r>
        </w:p>
        <w:p w14:paraId="78D87AAA" w14:textId="23E6B3D6" w:rsidR="00EB36BE" w:rsidRPr="00DE4CD2" w:rsidRDefault="00EB36BE" w:rsidP="005C3960">
          <w:pPr>
            <w:spacing w:line="276" w:lineRule="auto"/>
            <w:jc w:val="center"/>
            <w:rPr>
              <w:rFonts w:asciiTheme="majorHAnsi" w:hAnsiTheme="majorHAnsi" w:cstheme="majorHAnsi"/>
              <w:b/>
              <w:sz w:val="56"/>
            </w:rPr>
          </w:pPr>
        </w:p>
        <w:p w14:paraId="648DD7C1" w14:textId="309AFE1A" w:rsidR="00EB36BE" w:rsidRPr="00DE4CD2" w:rsidRDefault="00EB36BE" w:rsidP="005C3960">
          <w:pPr>
            <w:spacing w:line="276" w:lineRule="auto"/>
            <w:jc w:val="center"/>
            <w:rPr>
              <w:rFonts w:asciiTheme="majorHAnsi" w:hAnsiTheme="majorHAnsi" w:cstheme="majorHAnsi"/>
              <w:b/>
              <w:sz w:val="56"/>
            </w:rPr>
          </w:pPr>
        </w:p>
        <w:p w14:paraId="4512F001" w14:textId="77777777" w:rsidR="00EB36BE" w:rsidRPr="00DE4CD2" w:rsidRDefault="00EB36BE" w:rsidP="005C3960">
          <w:pPr>
            <w:spacing w:line="276" w:lineRule="auto"/>
            <w:jc w:val="center"/>
            <w:rPr>
              <w:rFonts w:asciiTheme="majorHAnsi" w:hAnsiTheme="majorHAnsi" w:cstheme="majorHAnsi"/>
              <w:b/>
              <w:sz w:val="14"/>
              <w:lang w:val="en-US"/>
            </w:rPr>
          </w:pPr>
        </w:p>
        <w:p w14:paraId="652CF4AC" w14:textId="08B34899" w:rsidR="00DB318E" w:rsidRPr="00DE4CD2" w:rsidRDefault="00DB318E">
          <w:pPr>
            <w:spacing w:line="276" w:lineRule="auto"/>
            <w:jc w:val="right"/>
            <w:rPr>
              <w:rFonts w:asciiTheme="majorHAnsi" w:hAnsiTheme="majorHAnsi" w:cstheme="majorHAnsi"/>
              <w:b/>
              <w:sz w:val="14"/>
              <w:lang w:val="en-US"/>
            </w:rPr>
          </w:pPr>
        </w:p>
        <w:p w14:paraId="60F4CE73" w14:textId="2AA10CD0" w:rsidR="00DB318E" w:rsidRPr="00DE4CD2" w:rsidRDefault="00DB318E">
          <w:pPr>
            <w:spacing w:line="276" w:lineRule="auto"/>
            <w:jc w:val="right"/>
            <w:rPr>
              <w:rFonts w:asciiTheme="majorHAnsi" w:hAnsiTheme="majorHAnsi" w:cstheme="majorHAnsi"/>
              <w:b/>
              <w:sz w:val="14"/>
              <w:lang w:val="en-US"/>
            </w:rPr>
          </w:pPr>
        </w:p>
        <w:p w14:paraId="7F7544C6" w14:textId="66664865" w:rsidR="00DB318E" w:rsidRPr="00DE4CD2" w:rsidRDefault="00EF6290" w:rsidP="00716256">
          <w:pPr>
            <w:spacing w:line="276" w:lineRule="auto"/>
            <w:jc w:val="right"/>
            <w:rPr>
              <w:rFonts w:asciiTheme="majorHAnsi" w:hAnsiTheme="majorHAnsi" w:cstheme="majorHAnsi"/>
              <w:b/>
              <w:sz w:val="28"/>
              <w:szCs w:val="28"/>
              <w:lang w:val="en-US"/>
            </w:rPr>
          </w:pPr>
          <w:r w:rsidRPr="00DE4CD2">
            <w:rPr>
              <w:rFonts w:asciiTheme="majorHAnsi" w:hAnsiTheme="majorHAnsi" w:cstheme="majorHAnsi"/>
              <w:b/>
              <w:sz w:val="28"/>
              <w:szCs w:val="28"/>
              <w:lang w:val="en-US"/>
            </w:rPr>
            <w:t xml:space="preserve">Authors: Thomas Scherngell, </w:t>
          </w:r>
          <w:r w:rsidR="00A47D1D" w:rsidRPr="00DE4CD2">
            <w:rPr>
              <w:rFonts w:asciiTheme="majorHAnsi" w:hAnsiTheme="majorHAnsi" w:cstheme="majorHAnsi"/>
              <w:b/>
              <w:sz w:val="28"/>
              <w:szCs w:val="28"/>
              <w:lang w:val="en-US"/>
            </w:rPr>
            <w:t xml:space="preserve">Susanne Bührer-Topçu, Roberto Camerani, Rainer Frietsch, Abdullah Gok, Massimiliano Guerini, Eric Iversen, Patricia Laurens, Benedetto Lepori, Benedetta </w:t>
          </w:r>
          <w:proofErr w:type="spellStart"/>
          <w:r w:rsidR="00A47D1D" w:rsidRPr="00DE4CD2">
            <w:rPr>
              <w:rFonts w:asciiTheme="majorHAnsi" w:hAnsiTheme="majorHAnsi" w:cstheme="majorHAnsi"/>
              <w:b/>
              <w:sz w:val="28"/>
              <w:szCs w:val="28"/>
              <w:lang w:val="en-US"/>
            </w:rPr>
            <w:t>Montanara</w:t>
          </w:r>
          <w:proofErr w:type="spellEnd"/>
          <w:r w:rsidR="00A47D1D" w:rsidRPr="00DE4CD2">
            <w:rPr>
              <w:rFonts w:asciiTheme="majorHAnsi" w:hAnsiTheme="majorHAnsi" w:cstheme="majorHAnsi"/>
              <w:b/>
              <w:sz w:val="28"/>
              <w:szCs w:val="28"/>
              <w:lang w:val="en-US"/>
            </w:rPr>
            <w:t xml:space="preserve">, Peter Neuhäusler, </w:t>
          </w:r>
          <w:r w:rsidRPr="00DE4CD2">
            <w:rPr>
              <w:rFonts w:asciiTheme="majorHAnsi" w:hAnsiTheme="majorHAnsi" w:cstheme="majorHAnsi"/>
              <w:b/>
              <w:sz w:val="28"/>
              <w:szCs w:val="28"/>
              <w:lang w:val="en-US"/>
            </w:rPr>
            <w:t>Ed Noyons,</w:t>
          </w:r>
          <w:r w:rsidR="000A1ED9" w:rsidRPr="000A1ED9">
            <w:t xml:space="preserve"> </w:t>
          </w:r>
          <w:r w:rsidR="000A1ED9" w:rsidRPr="000A1ED9">
            <w:rPr>
              <w:rFonts w:asciiTheme="majorHAnsi" w:hAnsiTheme="majorHAnsi" w:cstheme="majorHAnsi"/>
              <w:b/>
              <w:sz w:val="28"/>
              <w:szCs w:val="28"/>
              <w:lang w:val="en-US"/>
            </w:rPr>
            <w:t>Andrea Orazio Spinello</w:t>
          </w:r>
          <w:r w:rsidR="000A1ED9">
            <w:rPr>
              <w:rFonts w:asciiTheme="majorHAnsi" w:hAnsiTheme="majorHAnsi" w:cstheme="majorHAnsi"/>
              <w:b/>
              <w:sz w:val="28"/>
              <w:szCs w:val="28"/>
              <w:lang w:val="en-US"/>
            </w:rPr>
            <w:t>,</w:t>
          </w:r>
          <w:r w:rsidR="000A1ED9" w:rsidRPr="00DE4CD2">
            <w:rPr>
              <w:rFonts w:asciiTheme="majorHAnsi" w:hAnsiTheme="majorHAnsi" w:cstheme="majorHAnsi"/>
              <w:b/>
              <w:sz w:val="28"/>
              <w:szCs w:val="28"/>
              <w:lang w:val="en-US"/>
            </w:rPr>
            <w:t xml:space="preserve"> </w:t>
          </w:r>
          <w:r w:rsidR="000A1ED9" w:rsidRPr="000A1ED9">
            <w:rPr>
              <w:rFonts w:asciiTheme="majorHAnsi" w:hAnsiTheme="majorHAnsi" w:cstheme="majorHAnsi"/>
              <w:b/>
              <w:sz w:val="28"/>
              <w:szCs w:val="28"/>
              <w:lang w:val="en-US"/>
            </w:rPr>
            <w:t>Emanuela Reale</w:t>
          </w:r>
          <w:r w:rsidR="000A1ED9">
            <w:rPr>
              <w:rFonts w:asciiTheme="majorHAnsi" w:hAnsiTheme="majorHAnsi" w:cstheme="majorHAnsi"/>
              <w:b/>
              <w:sz w:val="28"/>
              <w:szCs w:val="28"/>
              <w:lang w:val="en-US"/>
            </w:rPr>
            <w:t>,</w:t>
          </w:r>
          <w:r w:rsidR="000A1ED9" w:rsidRPr="000A1ED9">
            <w:rPr>
              <w:rFonts w:asciiTheme="majorHAnsi" w:hAnsiTheme="majorHAnsi" w:cstheme="majorHAnsi"/>
              <w:b/>
              <w:sz w:val="28"/>
              <w:szCs w:val="28"/>
              <w:lang w:val="en-US"/>
            </w:rPr>
            <w:t xml:space="preserve"> </w:t>
          </w:r>
          <w:r w:rsidR="00716256" w:rsidRPr="00DE4CD2">
            <w:rPr>
              <w:rFonts w:asciiTheme="majorHAnsi" w:hAnsiTheme="majorHAnsi" w:cstheme="majorHAnsi"/>
              <w:b/>
              <w:sz w:val="28"/>
              <w:szCs w:val="28"/>
              <w:lang w:val="en-US"/>
            </w:rPr>
            <w:t>Antoine Schoen, Lionel Villard,</w:t>
          </w:r>
          <w:r w:rsidRPr="00DE4CD2">
            <w:rPr>
              <w:rFonts w:asciiTheme="majorHAnsi" w:hAnsiTheme="majorHAnsi" w:cstheme="majorHAnsi"/>
              <w:b/>
              <w:sz w:val="28"/>
              <w:szCs w:val="28"/>
              <w:lang w:val="en-US"/>
            </w:rPr>
            <w:t xml:space="preserve"> </w:t>
          </w:r>
          <w:r w:rsidR="00A47D1D" w:rsidRPr="00DE4CD2">
            <w:rPr>
              <w:rFonts w:asciiTheme="majorHAnsi" w:hAnsiTheme="majorHAnsi" w:cstheme="majorHAnsi"/>
              <w:b/>
              <w:sz w:val="28"/>
              <w:szCs w:val="28"/>
              <w:lang w:val="en-US"/>
            </w:rPr>
            <w:t>Elisa Wallwaey</w:t>
          </w:r>
          <w:r w:rsidR="00A47D1D">
            <w:rPr>
              <w:rFonts w:asciiTheme="majorHAnsi" w:hAnsiTheme="majorHAnsi" w:cstheme="majorHAnsi"/>
              <w:b/>
              <w:sz w:val="28"/>
              <w:szCs w:val="28"/>
              <w:lang w:val="en-US"/>
            </w:rPr>
            <w:t>,</w:t>
          </w:r>
          <w:r w:rsidR="00A47D1D" w:rsidRPr="00DE4CD2">
            <w:rPr>
              <w:rFonts w:asciiTheme="majorHAnsi" w:hAnsiTheme="majorHAnsi" w:cstheme="majorHAnsi"/>
              <w:b/>
              <w:sz w:val="28"/>
              <w:szCs w:val="28"/>
              <w:lang w:val="en-US"/>
            </w:rPr>
            <w:t xml:space="preserve"> </w:t>
          </w:r>
          <w:r w:rsidR="00716256" w:rsidRPr="00DE4CD2">
            <w:rPr>
              <w:rFonts w:asciiTheme="majorHAnsi" w:hAnsiTheme="majorHAnsi" w:cstheme="majorHAnsi"/>
              <w:b/>
              <w:sz w:val="28"/>
              <w:szCs w:val="28"/>
              <w:lang w:val="en-US"/>
            </w:rPr>
            <w:t xml:space="preserve">Georg Zahradnik </w:t>
          </w:r>
        </w:p>
        <w:p w14:paraId="33AE0F83" w14:textId="3795ED28" w:rsidR="00DB318E" w:rsidRPr="00DE4CD2" w:rsidRDefault="00DB318E">
          <w:pPr>
            <w:spacing w:line="276" w:lineRule="auto"/>
            <w:jc w:val="right"/>
            <w:rPr>
              <w:rFonts w:asciiTheme="majorHAnsi" w:hAnsiTheme="majorHAnsi" w:cstheme="majorHAnsi"/>
              <w:b/>
              <w:sz w:val="14"/>
              <w:lang w:val="en-US"/>
            </w:rPr>
          </w:pPr>
        </w:p>
        <w:p w14:paraId="0DB7E5D6" w14:textId="62F8EF19" w:rsidR="00DB318E" w:rsidRPr="00DE4CD2" w:rsidRDefault="00DB318E">
          <w:pPr>
            <w:spacing w:line="276" w:lineRule="auto"/>
            <w:jc w:val="right"/>
            <w:rPr>
              <w:rFonts w:asciiTheme="majorHAnsi" w:hAnsiTheme="majorHAnsi" w:cstheme="majorHAnsi"/>
              <w:b/>
              <w:sz w:val="14"/>
              <w:lang w:val="en-US"/>
            </w:rPr>
          </w:pPr>
        </w:p>
        <w:p w14:paraId="02F9804E" w14:textId="38BBEB3B" w:rsidR="00DB318E" w:rsidRPr="00DE4CD2" w:rsidRDefault="00DB318E">
          <w:pPr>
            <w:spacing w:line="276" w:lineRule="auto"/>
            <w:jc w:val="right"/>
            <w:rPr>
              <w:rFonts w:asciiTheme="majorHAnsi" w:hAnsiTheme="majorHAnsi" w:cstheme="majorHAnsi"/>
              <w:b/>
              <w:sz w:val="14"/>
              <w:lang w:val="en-US"/>
            </w:rPr>
          </w:pPr>
        </w:p>
        <w:p w14:paraId="1C3C0770" w14:textId="45F6055D" w:rsidR="00DB318E" w:rsidRPr="00DE4CD2" w:rsidRDefault="00DB318E">
          <w:pPr>
            <w:spacing w:line="276" w:lineRule="auto"/>
            <w:jc w:val="right"/>
            <w:rPr>
              <w:rFonts w:asciiTheme="majorHAnsi" w:hAnsiTheme="majorHAnsi" w:cstheme="majorHAnsi"/>
              <w:b/>
              <w:sz w:val="14"/>
              <w:lang w:val="en-US"/>
            </w:rPr>
          </w:pPr>
        </w:p>
        <w:p w14:paraId="0A38AB09" w14:textId="3B06417A" w:rsidR="00DB318E" w:rsidRPr="00DE4CD2" w:rsidRDefault="00DB318E">
          <w:pPr>
            <w:spacing w:line="276" w:lineRule="auto"/>
            <w:jc w:val="right"/>
            <w:rPr>
              <w:rFonts w:asciiTheme="majorHAnsi" w:hAnsiTheme="majorHAnsi" w:cstheme="majorHAnsi"/>
              <w:b/>
              <w:sz w:val="14"/>
              <w:lang w:val="en-US"/>
            </w:rPr>
          </w:pPr>
        </w:p>
        <w:p w14:paraId="7A0AAA8D" w14:textId="063DDD23" w:rsidR="00DB318E" w:rsidRPr="00DE4CD2" w:rsidRDefault="00DB318E">
          <w:pPr>
            <w:spacing w:line="276" w:lineRule="auto"/>
            <w:jc w:val="right"/>
            <w:rPr>
              <w:rFonts w:asciiTheme="majorHAnsi" w:hAnsiTheme="majorHAnsi" w:cstheme="majorHAnsi"/>
              <w:b/>
              <w:sz w:val="14"/>
              <w:lang w:val="en-US"/>
            </w:rPr>
          </w:pPr>
        </w:p>
        <w:p w14:paraId="0E592936" w14:textId="77777777" w:rsidR="00DB318E" w:rsidRPr="00DE4CD2" w:rsidRDefault="00DB318E">
          <w:pPr>
            <w:spacing w:line="276" w:lineRule="auto"/>
            <w:jc w:val="right"/>
            <w:rPr>
              <w:rFonts w:asciiTheme="majorHAnsi" w:hAnsiTheme="majorHAnsi" w:cstheme="majorHAnsi"/>
              <w:b/>
              <w:sz w:val="14"/>
              <w:lang w:val="en-US"/>
            </w:rPr>
          </w:pPr>
        </w:p>
        <w:p w14:paraId="3928BA68" w14:textId="77777777" w:rsidR="00780E4A" w:rsidRPr="00DE4CD2" w:rsidRDefault="00780E4A">
          <w:pPr>
            <w:spacing w:line="276" w:lineRule="auto"/>
            <w:jc w:val="right"/>
            <w:rPr>
              <w:rFonts w:asciiTheme="majorHAnsi" w:hAnsiTheme="majorHAnsi" w:cstheme="majorHAnsi"/>
              <w:b/>
              <w:sz w:val="14"/>
              <w:lang w:val="en-US"/>
            </w:rPr>
          </w:pPr>
        </w:p>
        <w:p w14:paraId="6A83F135" w14:textId="77777777" w:rsidR="00780E4A" w:rsidRPr="00DE4CD2" w:rsidRDefault="00780E4A">
          <w:pPr>
            <w:spacing w:line="276" w:lineRule="auto"/>
            <w:jc w:val="right"/>
            <w:rPr>
              <w:rFonts w:asciiTheme="majorHAnsi" w:hAnsiTheme="majorHAnsi" w:cstheme="majorHAnsi"/>
              <w:b/>
              <w:sz w:val="14"/>
              <w:lang w:val="en-US"/>
            </w:rPr>
          </w:pPr>
        </w:p>
        <w:p w14:paraId="03C9DF4E" w14:textId="166A2034" w:rsidR="00780E4A" w:rsidRPr="00DE4CD2" w:rsidRDefault="00057971" w:rsidP="00485ACD">
          <w:pPr>
            <w:spacing w:line="276" w:lineRule="auto"/>
            <w:jc w:val="right"/>
            <w:rPr>
              <w:rFonts w:asciiTheme="majorHAnsi" w:hAnsiTheme="majorHAnsi" w:cstheme="majorHAnsi"/>
              <w:b/>
              <w:sz w:val="16"/>
            </w:rPr>
          </w:pPr>
        </w:p>
      </w:sdtContent>
    </w:sdt>
    <w:p w14:paraId="72885CB2" w14:textId="77777777" w:rsidR="00780E4A" w:rsidRPr="00DE4CD2" w:rsidRDefault="00780E4A">
      <w:pPr>
        <w:spacing w:after="120" w:line="276" w:lineRule="auto"/>
        <w:jc w:val="both"/>
        <w:rPr>
          <w:rStyle w:val="Fett"/>
          <w:rFonts w:asciiTheme="majorHAnsi" w:hAnsiTheme="majorHAnsi" w:cstheme="majorHAnsi"/>
          <w:sz w:val="16"/>
          <w:lang w:val="fr-FR"/>
        </w:rPr>
      </w:pPr>
    </w:p>
    <w:p w14:paraId="3485A575" w14:textId="53E9EB43" w:rsidR="00780E4A" w:rsidRPr="00DE4CD2" w:rsidRDefault="00D651B9">
      <w:pPr>
        <w:spacing w:after="120" w:line="276" w:lineRule="auto"/>
        <w:jc w:val="both"/>
        <w:rPr>
          <w:rStyle w:val="Fett"/>
          <w:rFonts w:asciiTheme="majorHAnsi" w:hAnsiTheme="majorHAnsi" w:cstheme="majorHAnsi"/>
          <w:sz w:val="32"/>
          <w:lang w:val="en-US"/>
        </w:rPr>
      </w:pPr>
      <w:r w:rsidRPr="00DE4CD2">
        <w:rPr>
          <w:rStyle w:val="Fett"/>
          <w:rFonts w:asciiTheme="majorHAnsi" w:hAnsiTheme="majorHAnsi" w:cstheme="majorHAnsi"/>
          <w:sz w:val="32"/>
          <w:lang w:val="en-US"/>
        </w:rPr>
        <w:t>Outline</w:t>
      </w:r>
    </w:p>
    <w:p w14:paraId="25550FE9" w14:textId="18CE1AF1" w:rsidR="00880919" w:rsidRPr="00DE4CD2" w:rsidRDefault="00D651B9">
      <w:pPr>
        <w:pStyle w:val="Verzeichnis1"/>
        <w:tabs>
          <w:tab w:val="left" w:pos="480"/>
          <w:tab w:val="right" w:leader="dot" w:pos="9622"/>
        </w:tabs>
        <w:rPr>
          <w:rFonts w:asciiTheme="majorHAnsi" w:eastAsiaTheme="minorEastAsia" w:hAnsiTheme="majorHAnsi" w:cstheme="majorHAnsi"/>
          <w:noProof/>
          <w:sz w:val="22"/>
          <w:szCs w:val="22"/>
          <w:lang w:val="en-US" w:eastAsia="de-DE"/>
        </w:rPr>
      </w:pPr>
      <w:r w:rsidRPr="00DE4CD2">
        <w:rPr>
          <w:rStyle w:val="Fett"/>
          <w:rFonts w:asciiTheme="majorHAnsi" w:hAnsiTheme="majorHAnsi" w:cstheme="majorHAnsi"/>
          <w:sz w:val="32"/>
        </w:rPr>
        <w:fldChar w:fldCharType="begin"/>
      </w:r>
      <w:r w:rsidRPr="00DE4CD2">
        <w:rPr>
          <w:rStyle w:val="Fett"/>
          <w:rFonts w:asciiTheme="majorHAnsi" w:hAnsiTheme="majorHAnsi" w:cstheme="majorHAnsi"/>
          <w:sz w:val="32"/>
        </w:rPr>
        <w:instrText xml:space="preserve"> TOC \o "1-3" </w:instrText>
      </w:r>
      <w:r w:rsidRPr="00DE4CD2">
        <w:rPr>
          <w:rStyle w:val="Fett"/>
          <w:rFonts w:asciiTheme="majorHAnsi" w:hAnsiTheme="majorHAnsi" w:cstheme="majorHAnsi"/>
          <w:sz w:val="32"/>
        </w:rPr>
        <w:fldChar w:fldCharType="separate"/>
      </w:r>
      <w:r w:rsidR="00880919" w:rsidRPr="00DE4CD2">
        <w:rPr>
          <w:rFonts w:asciiTheme="majorHAnsi" w:hAnsiTheme="majorHAnsi" w:cstheme="majorHAnsi"/>
          <w:noProof/>
        </w:rPr>
        <w:t>1</w:t>
      </w:r>
      <w:r w:rsidR="00880919" w:rsidRPr="00DE4CD2">
        <w:rPr>
          <w:rFonts w:asciiTheme="majorHAnsi" w:eastAsiaTheme="minorEastAsia" w:hAnsiTheme="majorHAnsi" w:cstheme="majorHAnsi"/>
          <w:noProof/>
          <w:sz w:val="22"/>
          <w:szCs w:val="22"/>
          <w:lang w:val="en-US" w:eastAsia="de-DE"/>
        </w:rPr>
        <w:tab/>
      </w:r>
      <w:r w:rsidR="006304DD">
        <w:rPr>
          <w:rFonts w:asciiTheme="majorHAnsi" w:eastAsiaTheme="minorEastAsia" w:hAnsiTheme="majorHAnsi" w:cstheme="majorHAnsi"/>
          <w:noProof/>
          <w:sz w:val="22"/>
          <w:szCs w:val="22"/>
          <w:lang w:val="en-US" w:eastAsia="de-DE"/>
        </w:rPr>
        <w:t>I</w:t>
      </w:r>
      <w:r w:rsidR="00880919" w:rsidRPr="00DE4CD2">
        <w:rPr>
          <w:rFonts w:asciiTheme="majorHAnsi" w:hAnsiTheme="majorHAnsi" w:cstheme="majorHAnsi"/>
          <w:noProof/>
        </w:rPr>
        <w:t>ntroduction</w:t>
      </w:r>
      <w:r w:rsidR="00880919" w:rsidRPr="00DE4CD2">
        <w:rPr>
          <w:rFonts w:asciiTheme="majorHAnsi" w:hAnsiTheme="majorHAnsi" w:cstheme="majorHAnsi"/>
          <w:noProof/>
        </w:rPr>
        <w:tab/>
      </w:r>
      <w:r w:rsidR="00880919" w:rsidRPr="00DE4CD2">
        <w:rPr>
          <w:rFonts w:asciiTheme="majorHAnsi" w:hAnsiTheme="majorHAnsi" w:cstheme="majorHAnsi"/>
          <w:noProof/>
        </w:rPr>
        <w:fldChar w:fldCharType="begin"/>
      </w:r>
      <w:r w:rsidR="00880919" w:rsidRPr="00DE4CD2">
        <w:rPr>
          <w:rFonts w:asciiTheme="majorHAnsi" w:hAnsiTheme="majorHAnsi" w:cstheme="majorHAnsi"/>
          <w:noProof/>
        </w:rPr>
        <w:instrText xml:space="preserve"> PAGEREF _Toc153536118 \h </w:instrText>
      </w:r>
      <w:r w:rsidR="00880919" w:rsidRPr="00DE4CD2">
        <w:rPr>
          <w:rFonts w:asciiTheme="majorHAnsi" w:hAnsiTheme="majorHAnsi" w:cstheme="majorHAnsi"/>
          <w:noProof/>
        </w:rPr>
      </w:r>
      <w:r w:rsidR="00880919" w:rsidRPr="00DE4CD2">
        <w:rPr>
          <w:rFonts w:asciiTheme="majorHAnsi" w:hAnsiTheme="majorHAnsi" w:cstheme="majorHAnsi"/>
          <w:noProof/>
        </w:rPr>
        <w:fldChar w:fldCharType="separate"/>
      </w:r>
      <w:r w:rsidR="00880919" w:rsidRPr="00DE4CD2">
        <w:rPr>
          <w:rFonts w:asciiTheme="majorHAnsi" w:hAnsiTheme="majorHAnsi" w:cstheme="majorHAnsi"/>
          <w:noProof/>
        </w:rPr>
        <w:t>2</w:t>
      </w:r>
      <w:r w:rsidR="00880919" w:rsidRPr="00DE4CD2">
        <w:rPr>
          <w:rFonts w:asciiTheme="majorHAnsi" w:hAnsiTheme="majorHAnsi" w:cstheme="majorHAnsi"/>
          <w:noProof/>
        </w:rPr>
        <w:fldChar w:fldCharType="end"/>
      </w:r>
    </w:p>
    <w:p w14:paraId="4B5022CE" w14:textId="4F5FAA5B" w:rsidR="00880919" w:rsidRPr="00DE4CD2" w:rsidRDefault="00880919">
      <w:pPr>
        <w:pStyle w:val="Verzeichnis1"/>
        <w:tabs>
          <w:tab w:val="left" w:pos="480"/>
          <w:tab w:val="right" w:leader="dot" w:pos="9622"/>
        </w:tabs>
        <w:rPr>
          <w:rFonts w:asciiTheme="majorHAnsi" w:eastAsiaTheme="minorEastAsia" w:hAnsiTheme="majorHAnsi" w:cstheme="majorHAnsi"/>
          <w:noProof/>
          <w:sz w:val="22"/>
          <w:szCs w:val="22"/>
          <w:lang w:val="en-US" w:eastAsia="de-DE"/>
        </w:rPr>
      </w:pPr>
      <w:r w:rsidRPr="00DE4CD2">
        <w:rPr>
          <w:rFonts w:asciiTheme="majorHAnsi" w:hAnsiTheme="majorHAnsi" w:cstheme="majorHAnsi"/>
          <w:noProof/>
        </w:rPr>
        <w:t>2</w:t>
      </w:r>
      <w:r w:rsidRPr="00DE4CD2">
        <w:rPr>
          <w:rFonts w:asciiTheme="majorHAnsi" w:eastAsiaTheme="minorEastAsia" w:hAnsiTheme="majorHAnsi" w:cstheme="majorHAnsi"/>
          <w:noProof/>
          <w:sz w:val="22"/>
          <w:szCs w:val="22"/>
          <w:lang w:val="en-US" w:eastAsia="de-DE"/>
        </w:rPr>
        <w:tab/>
      </w:r>
      <w:r w:rsidRPr="00DE4CD2">
        <w:rPr>
          <w:rFonts w:asciiTheme="majorHAnsi" w:hAnsiTheme="majorHAnsi" w:cstheme="majorHAnsi"/>
          <w:noProof/>
        </w:rPr>
        <w:t>Final status and main achievements of RISIS datasets</w:t>
      </w:r>
      <w:r w:rsidRPr="00DE4CD2">
        <w:rPr>
          <w:rFonts w:asciiTheme="majorHAnsi" w:hAnsiTheme="majorHAnsi" w:cstheme="majorHAnsi"/>
          <w:noProof/>
        </w:rPr>
        <w:tab/>
      </w:r>
      <w:r w:rsidRPr="00DE4CD2">
        <w:rPr>
          <w:rFonts w:asciiTheme="majorHAnsi" w:hAnsiTheme="majorHAnsi" w:cstheme="majorHAnsi"/>
          <w:noProof/>
        </w:rPr>
        <w:fldChar w:fldCharType="begin"/>
      </w:r>
      <w:r w:rsidRPr="00DE4CD2">
        <w:rPr>
          <w:rFonts w:asciiTheme="majorHAnsi" w:hAnsiTheme="majorHAnsi" w:cstheme="majorHAnsi"/>
          <w:noProof/>
        </w:rPr>
        <w:instrText xml:space="preserve"> PAGEREF _Toc153536119 \h </w:instrText>
      </w:r>
      <w:r w:rsidRPr="00DE4CD2">
        <w:rPr>
          <w:rFonts w:asciiTheme="majorHAnsi" w:hAnsiTheme="majorHAnsi" w:cstheme="majorHAnsi"/>
          <w:noProof/>
        </w:rPr>
      </w:r>
      <w:r w:rsidRPr="00DE4CD2">
        <w:rPr>
          <w:rFonts w:asciiTheme="majorHAnsi" w:hAnsiTheme="majorHAnsi" w:cstheme="majorHAnsi"/>
          <w:noProof/>
        </w:rPr>
        <w:fldChar w:fldCharType="separate"/>
      </w:r>
      <w:r w:rsidRPr="00DE4CD2">
        <w:rPr>
          <w:rFonts w:asciiTheme="majorHAnsi" w:hAnsiTheme="majorHAnsi" w:cstheme="majorHAnsi"/>
          <w:noProof/>
        </w:rPr>
        <w:t>3</w:t>
      </w:r>
      <w:r w:rsidRPr="00DE4CD2">
        <w:rPr>
          <w:rFonts w:asciiTheme="majorHAnsi" w:hAnsiTheme="majorHAnsi" w:cstheme="majorHAnsi"/>
          <w:noProof/>
        </w:rPr>
        <w:fldChar w:fldCharType="end"/>
      </w:r>
    </w:p>
    <w:p w14:paraId="5C540569" w14:textId="6DD623C8" w:rsidR="00880919" w:rsidRPr="00DE4CD2" w:rsidRDefault="00880919">
      <w:pPr>
        <w:pStyle w:val="Verzeichnis2"/>
        <w:tabs>
          <w:tab w:val="left" w:pos="960"/>
          <w:tab w:val="right" w:leader="dot" w:pos="9622"/>
        </w:tabs>
        <w:rPr>
          <w:rFonts w:asciiTheme="majorHAnsi" w:eastAsiaTheme="minorEastAsia" w:hAnsiTheme="majorHAnsi" w:cstheme="majorHAnsi"/>
          <w:noProof/>
          <w:sz w:val="22"/>
          <w:szCs w:val="22"/>
          <w:lang w:val="en-US" w:eastAsia="de-DE"/>
        </w:rPr>
      </w:pPr>
      <w:r w:rsidRPr="00DE4CD2">
        <w:rPr>
          <w:rFonts w:asciiTheme="majorHAnsi" w:hAnsiTheme="majorHAnsi" w:cstheme="majorHAnsi"/>
          <w:noProof/>
        </w:rPr>
        <w:t>2.1</w:t>
      </w:r>
      <w:r w:rsidRPr="00DE4CD2">
        <w:rPr>
          <w:rFonts w:asciiTheme="majorHAnsi" w:eastAsiaTheme="minorEastAsia" w:hAnsiTheme="majorHAnsi" w:cstheme="majorHAnsi"/>
          <w:noProof/>
          <w:sz w:val="22"/>
          <w:szCs w:val="22"/>
          <w:lang w:val="en-US" w:eastAsia="de-DE"/>
        </w:rPr>
        <w:tab/>
      </w:r>
      <w:r w:rsidRPr="00DE4CD2">
        <w:rPr>
          <w:rFonts w:asciiTheme="majorHAnsi" w:hAnsiTheme="majorHAnsi" w:cstheme="majorHAnsi"/>
          <w:noProof/>
        </w:rPr>
        <w:t>Group 1 – Datasets focused on R&amp;D Markers and Outputs</w:t>
      </w:r>
      <w:r w:rsidRPr="00DE4CD2">
        <w:rPr>
          <w:rFonts w:asciiTheme="majorHAnsi" w:hAnsiTheme="majorHAnsi" w:cstheme="majorHAnsi"/>
          <w:noProof/>
        </w:rPr>
        <w:tab/>
      </w:r>
      <w:r w:rsidRPr="00DE4CD2">
        <w:rPr>
          <w:rFonts w:asciiTheme="majorHAnsi" w:hAnsiTheme="majorHAnsi" w:cstheme="majorHAnsi"/>
          <w:noProof/>
        </w:rPr>
        <w:fldChar w:fldCharType="begin"/>
      </w:r>
      <w:r w:rsidRPr="00DE4CD2">
        <w:rPr>
          <w:rFonts w:asciiTheme="majorHAnsi" w:hAnsiTheme="majorHAnsi" w:cstheme="majorHAnsi"/>
          <w:noProof/>
        </w:rPr>
        <w:instrText xml:space="preserve"> PAGEREF _Toc153536120 \h </w:instrText>
      </w:r>
      <w:r w:rsidRPr="00DE4CD2">
        <w:rPr>
          <w:rFonts w:asciiTheme="majorHAnsi" w:hAnsiTheme="majorHAnsi" w:cstheme="majorHAnsi"/>
          <w:noProof/>
        </w:rPr>
      </w:r>
      <w:r w:rsidRPr="00DE4CD2">
        <w:rPr>
          <w:rFonts w:asciiTheme="majorHAnsi" w:hAnsiTheme="majorHAnsi" w:cstheme="majorHAnsi"/>
          <w:noProof/>
        </w:rPr>
        <w:fldChar w:fldCharType="separate"/>
      </w:r>
      <w:r w:rsidRPr="00DE4CD2">
        <w:rPr>
          <w:rFonts w:asciiTheme="majorHAnsi" w:hAnsiTheme="majorHAnsi" w:cstheme="majorHAnsi"/>
          <w:noProof/>
        </w:rPr>
        <w:t>3</w:t>
      </w:r>
      <w:r w:rsidRPr="00DE4CD2">
        <w:rPr>
          <w:rFonts w:asciiTheme="majorHAnsi" w:hAnsiTheme="majorHAnsi" w:cstheme="majorHAnsi"/>
          <w:noProof/>
        </w:rPr>
        <w:fldChar w:fldCharType="end"/>
      </w:r>
    </w:p>
    <w:p w14:paraId="1E607F6A" w14:textId="1A6E971F" w:rsidR="00880919" w:rsidRPr="00DE4CD2" w:rsidRDefault="00880919">
      <w:pPr>
        <w:pStyle w:val="Verzeichnis3"/>
        <w:tabs>
          <w:tab w:val="left" w:pos="1200"/>
          <w:tab w:val="right" w:leader="dot" w:pos="9622"/>
        </w:tabs>
        <w:rPr>
          <w:rFonts w:asciiTheme="majorHAnsi" w:eastAsiaTheme="minorEastAsia" w:hAnsiTheme="majorHAnsi" w:cstheme="majorHAnsi"/>
          <w:noProof/>
          <w:sz w:val="22"/>
          <w:szCs w:val="22"/>
          <w:lang w:val="en-US" w:eastAsia="de-DE"/>
        </w:rPr>
      </w:pPr>
      <w:r w:rsidRPr="00DE4CD2">
        <w:rPr>
          <w:rFonts w:asciiTheme="majorHAnsi" w:hAnsiTheme="majorHAnsi" w:cstheme="majorHAnsi"/>
          <w:noProof/>
        </w:rPr>
        <w:t>2.1.1</w:t>
      </w:r>
      <w:r w:rsidRPr="00DE4CD2">
        <w:rPr>
          <w:rFonts w:asciiTheme="majorHAnsi" w:eastAsiaTheme="minorEastAsia" w:hAnsiTheme="majorHAnsi" w:cstheme="majorHAnsi"/>
          <w:noProof/>
          <w:sz w:val="22"/>
          <w:szCs w:val="22"/>
          <w:lang w:val="en-US" w:eastAsia="de-DE"/>
        </w:rPr>
        <w:tab/>
      </w:r>
      <w:r w:rsidRPr="00DE4CD2">
        <w:rPr>
          <w:rFonts w:asciiTheme="majorHAnsi" w:hAnsiTheme="majorHAnsi" w:cstheme="majorHAnsi"/>
          <w:noProof/>
        </w:rPr>
        <w:t>EUPRO</w:t>
      </w:r>
      <w:r w:rsidRPr="00DE4CD2">
        <w:rPr>
          <w:rFonts w:asciiTheme="majorHAnsi" w:hAnsiTheme="majorHAnsi" w:cstheme="majorHAnsi"/>
          <w:noProof/>
        </w:rPr>
        <w:tab/>
      </w:r>
      <w:r w:rsidRPr="00DE4CD2">
        <w:rPr>
          <w:rFonts w:asciiTheme="majorHAnsi" w:hAnsiTheme="majorHAnsi" w:cstheme="majorHAnsi"/>
          <w:noProof/>
        </w:rPr>
        <w:fldChar w:fldCharType="begin"/>
      </w:r>
      <w:r w:rsidRPr="00DE4CD2">
        <w:rPr>
          <w:rFonts w:asciiTheme="majorHAnsi" w:hAnsiTheme="majorHAnsi" w:cstheme="majorHAnsi"/>
          <w:noProof/>
        </w:rPr>
        <w:instrText xml:space="preserve"> PAGEREF _Toc153536121 \h </w:instrText>
      </w:r>
      <w:r w:rsidRPr="00DE4CD2">
        <w:rPr>
          <w:rFonts w:asciiTheme="majorHAnsi" w:hAnsiTheme="majorHAnsi" w:cstheme="majorHAnsi"/>
          <w:noProof/>
        </w:rPr>
      </w:r>
      <w:r w:rsidRPr="00DE4CD2">
        <w:rPr>
          <w:rFonts w:asciiTheme="majorHAnsi" w:hAnsiTheme="majorHAnsi" w:cstheme="majorHAnsi"/>
          <w:noProof/>
        </w:rPr>
        <w:fldChar w:fldCharType="separate"/>
      </w:r>
      <w:r w:rsidRPr="00DE4CD2">
        <w:rPr>
          <w:rFonts w:asciiTheme="majorHAnsi" w:hAnsiTheme="majorHAnsi" w:cstheme="majorHAnsi"/>
          <w:noProof/>
        </w:rPr>
        <w:t>3</w:t>
      </w:r>
      <w:r w:rsidRPr="00DE4CD2">
        <w:rPr>
          <w:rFonts w:asciiTheme="majorHAnsi" w:hAnsiTheme="majorHAnsi" w:cstheme="majorHAnsi"/>
          <w:noProof/>
        </w:rPr>
        <w:fldChar w:fldCharType="end"/>
      </w:r>
    </w:p>
    <w:p w14:paraId="7704B90E" w14:textId="4575DCCE" w:rsidR="00880919" w:rsidRPr="00DE4CD2" w:rsidRDefault="00880919">
      <w:pPr>
        <w:pStyle w:val="Verzeichnis3"/>
        <w:tabs>
          <w:tab w:val="left" w:pos="1200"/>
          <w:tab w:val="right" w:leader="dot" w:pos="9622"/>
        </w:tabs>
        <w:rPr>
          <w:rFonts w:asciiTheme="majorHAnsi" w:eastAsiaTheme="minorEastAsia" w:hAnsiTheme="majorHAnsi" w:cstheme="majorHAnsi"/>
          <w:noProof/>
          <w:sz w:val="22"/>
          <w:szCs w:val="22"/>
          <w:lang w:val="en-US" w:eastAsia="de-DE"/>
        </w:rPr>
      </w:pPr>
      <w:r w:rsidRPr="00DE4CD2">
        <w:rPr>
          <w:rFonts w:asciiTheme="majorHAnsi" w:hAnsiTheme="majorHAnsi" w:cstheme="majorHAnsi"/>
          <w:noProof/>
        </w:rPr>
        <w:t>2.1.2</w:t>
      </w:r>
      <w:r w:rsidRPr="00DE4CD2">
        <w:rPr>
          <w:rFonts w:asciiTheme="majorHAnsi" w:eastAsiaTheme="minorEastAsia" w:hAnsiTheme="majorHAnsi" w:cstheme="majorHAnsi"/>
          <w:noProof/>
          <w:sz w:val="22"/>
          <w:szCs w:val="22"/>
          <w:lang w:val="en-US" w:eastAsia="de-DE"/>
        </w:rPr>
        <w:tab/>
      </w:r>
      <w:r w:rsidRPr="00DE4CD2">
        <w:rPr>
          <w:rFonts w:asciiTheme="majorHAnsi" w:hAnsiTheme="majorHAnsi" w:cstheme="majorHAnsi"/>
          <w:noProof/>
        </w:rPr>
        <w:t>CWTS Publication</w:t>
      </w:r>
      <w:r w:rsidRPr="00DE4CD2">
        <w:rPr>
          <w:rFonts w:asciiTheme="majorHAnsi" w:hAnsiTheme="majorHAnsi" w:cstheme="majorHAnsi"/>
          <w:noProof/>
        </w:rPr>
        <w:tab/>
      </w:r>
      <w:r w:rsidRPr="00DE4CD2">
        <w:rPr>
          <w:rFonts w:asciiTheme="majorHAnsi" w:hAnsiTheme="majorHAnsi" w:cstheme="majorHAnsi"/>
          <w:noProof/>
        </w:rPr>
        <w:fldChar w:fldCharType="begin"/>
      </w:r>
      <w:r w:rsidRPr="00DE4CD2">
        <w:rPr>
          <w:rFonts w:asciiTheme="majorHAnsi" w:hAnsiTheme="majorHAnsi" w:cstheme="majorHAnsi"/>
          <w:noProof/>
        </w:rPr>
        <w:instrText xml:space="preserve"> PAGEREF _Toc153536122 \h </w:instrText>
      </w:r>
      <w:r w:rsidRPr="00DE4CD2">
        <w:rPr>
          <w:rFonts w:asciiTheme="majorHAnsi" w:hAnsiTheme="majorHAnsi" w:cstheme="majorHAnsi"/>
          <w:noProof/>
        </w:rPr>
      </w:r>
      <w:r w:rsidRPr="00DE4CD2">
        <w:rPr>
          <w:rFonts w:asciiTheme="majorHAnsi" w:hAnsiTheme="majorHAnsi" w:cstheme="majorHAnsi"/>
          <w:noProof/>
        </w:rPr>
        <w:fldChar w:fldCharType="separate"/>
      </w:r>
      <w:r w:rsidRPr="00DE4CD2">
        <w:rPr>
          <w:rFonts w:asciiTheme="majorHAnsi" w:hAnsiTheme="majorHAnsi" w:cstheme="majorHAnsi"/>
          <w:noProof/>
        </w:rPr>
        <w:t>10</w:t>
      </w:r>
      <w:r w:rsidRPr="00DE4CD2">
        <w:rPr>
          <w:rFonts w:asciiTheme="majorHAnsi" w:hAnsiTheme="majorHAnsi" w:cstheme="majorHAnsi"/>
          <w:noProof/>
        </w:rPr>
        <w:fldChar w:fldCharType="end"/>
      </w:r>
    </w:p>
    <w:p w14:paraId="0B3C4D18" w14:textId="17127250" w:rsidR="00880919" w:rsidRPr="00DE4CD2" w:rsidRDefault="00880919">
      <w:pPr>
        <w:pStyle w:val="Verzeichnis3"/>
        <w:tabs>
          <w:tab w:val="left" w:pos="1200"/>
          <w:tab w:val="right" w:leader="dot" w:pos="9622"/>
        </w:tabs>
        <w:rPr>
          <w:rFonts w:asciiTheme="majorHAnsi" w:eastAsiaTheme="minorEastAsia" w:hAnsiTheme="majorHAnsi" w:cstheme="majorHAnsi"/>
          <w:noProof/>
          <w:sz w:val="22"/>
          <w:szCs w:val="22"/>
          <w:lang w:val="en-US" w:eastAsia="de-DE"/>
        </w:rPr>
      </w:pPr>
      <w:r w:rsidRPr="00DE4CD2">
        <w:rPr>
          <w:rFonts w:asciiTheme="majorHAnsi" w:hAnsiTheme="majorHAnsi" w:cstheme="majorHAnsi"/>
          <w:noProof/>
        </w:rPr>
        <w:t>2.1.3</w:t>
      </w:r>
      <w:r w:rsidRPr="00DE4CD2">
        <w:rPr>
          <w:rFonts w:asciiTheme="majorHAnsi" w:eastAsiaTheme="minorEastAsia" w:hAnsiTheme="majorHAnsi" w:cstheme="majorHAnsi"/>
          <w:noProof/>
          <w:sz w:val="22"/>
          <w:szCs w:val="22"/>
          <w:lang w:val="en-US" w:eastAsia="de-DE"/>
        </w:rPr>
        <w:tab/>
      </w:r>
      <w:r w:rsidRPr="00DE4CD2">
        <w:rPr>
          <w:rFonts w:asciiTheme="majorHAnsi" w:hAnsiTheme="majorHAnsi" w:cstheme="majorHAnsi"/>
          <w:noProof/>
        </w:rPr>
        <w:t>RISIS-Patent</w:t>
      </w:r>
      <w:r w:rsidRPr="00DE4CD2">
        <w:rPr>
          <w:rFonts w:asciiTheme="majorHAnsi" w:hAnsiTheme="majorHAnsi" w:cstheme="majorHAnsi"/>
          <w:noProof/>
        </w:rPr>
        <w:tab/>
      </w:r>
      <w:r w:rsidRPr="00DE4CD2">
        <w:rPr>
          <w:rFonts w:asciiTheme="majorHAnsi" w:hAnsiTheme="majorHAnsi" w:cstheme="majorHAnsi"/>
          <w:noProof/>
        </w:rPr>
        <w:fldChar w:fldCharType="begin"/>
      </w:r>
      <w:r w:rsidRPr="00DE4CD2">
        <w:rPr>
          <w:rFonts w:asciiTheme="majorHAnsi" w:hAnsiTheme="majorHAnsi" w:cstheme="majorHAnsi"/>
          <w:noProof/>
        </w:rPr>
        <w:instrText xml:space="preserve"> PAGEREF _Toc153536123 \h </w:instrText>
      </w:r>
      <w:r w:rsidRPr="00DE4CD2">
        <w:rPr>
          <w:rFonts w:asciiTheme="majorHAnsi" w:hAnsiTheme="majorHAnsi" w:cstheme="majorHAnsi"/>
          <w:noProof/>
        </w:rPr>
      </w:r>
      <w:r w:rsidRPr="00DE4CD2">
        <w:rPr>
          <w:rFonts w:asciiTheme="majorHAnsi" w:hAnsiTheme="majorHAnsi" w:cstheme="majorHAnsi"/>
          <w:noProof/>
        </w:rPr>
        <w:fldChar w:fldCharType="separate"/>
      </w:r>
      <w:r w:rsidRPr="00DE4CD2">
        <w:rPr>
          <w:rFonts w:asciiTheme="majorHAnsi" w:hAnsiTheme="majorHAnsi" w:cstheme="majorHAnsi"/>
          <w:noProof/>
        </w:rPr>
        <w:t>13</w:t>
      </w:r>
      <w:r w:rsidRPr="00DE4CD2">
        <w:rPr>
          <w:rFonts w:asciiTheme="majorHAnsi" w:hAnsiTheme="majorHAnsi" w:cstheme="majorHAnsi"/>
          <w:noProof/>
        </w:rPr>
        <w:fldChar w:fldCharType="end"/>
      </w:r>
    </w:p>
    <w:p w14:paraId="236640B3" w14:textId="7B8E1B3D" w:rsidR="00880919" w:rsidRPr="00DE4CD2" w:rsidRDefault="00880919">
      <w:pPr>
        <w:pStyle w:val="Verzeichnis3"/>
        <w:tabs>
          <w:tab w:val="left" w:pos="1200"/>
          <w:tab w:val="right" w:leader="dot" w:pos="9622"/>
        </w:tabs>
        <w:rPr>
          <w:rFonts w:asciiTheme="majorHAnsi" w:eastAsiaTheme="minorEastAsia" w:hAnsiTheme="majorHAnsi" w:cstheme="majorHAnsi"/>
          <w:noProof/>
          <w:sz w:val="22"/>
          <w:szCs w:val="22"/>
          <w:lang w:val="en-US" w:eastAsia="de-DE"/>
        </w:rPr>
      </w:pPr>
      <w:r w:rsidRPr="00DE4CD2">
        <w:rPr>
          <w:rFonts w:asciiTheme="majorHAnsi" w:hAnsiTheme="majorHAnsi" w:cstheme="majorHAnsi"/>
          <w:noProof/>
        </w:rPr>
        <w:t>2.1.4</w:t>
      </w:r>
      <w:r w:rsidRPr="00DE4CD2">
        <w:rPr>
          <w:rFonts w:asciiTheme="majorHAnsi" w:eastAsiaTheme="minorEastAsia" w:hAnsiTheme="majorHAnsi" w:cstheme="majorHAnsi"/>
          <w:noProof/>
          <w:sz w:val="22"/>
          <w:szCs w:val="22"/>
          <w:lang w:val="en-US" w:eastAsia="de-DE"/>
        </w:rPr>
        <w:tab/>
      </w:r>
      <w:r w:rsidRPr="00DE4CD2">
        <w:rPr>
          <w:rFonts w:asciiTheme="majorHAnsi" w:hAnsiTheme="majorHAnsi" w:cstheme="majorHAnsi"/>
          <w:noProof/>
        </w:rPr>
        <w:t>Trademarks</w:t>
      </w:r>
      <w:r w:rsidRPr="00DE4CD2">
        <w:rPr>
          <w:rFonts w:asciiTheme="majorHAnsi" w:hAnsiTheme="majorHAnsi" w:cstheme="majorHAnsi"/>
          <w:noProof/>
        </w:rPr>
        <w:tab/>
      </w:r>
      <w:r w:rsidRPr="00DE4CD2">
        <w:rPr>
          <w:rFonts w:asciiTheme="majorHAnsi" w:hAnsiTheme="majorHAnsi" w:cstheme="majorHAnsi"/>
          <w:noProof/>
        </w:rPr>
        <w:fldChar w:fldCharType="begin"/>
      </w:r>
      <w:r w:rsidRPr="00DE4CD2">
        <w:rPr>
          <w:rFonts w:asciiTheme="majorHAnsi" w:hAnsiTheme="majorHAnsi" w:cstheme="majorHAnsi"/>
          <w:noProof/>
        </w:rPr>
        <w:instrText xml:space="preserve"> PAGEREF _Toc153536124 \h </w:instrText>
      </w:r>
      <w:r w:rsidRPr="00DE4CD2">
        <w:rPr>
          <w:rFonts w:asciiTheme="majorHAnsi" w:hAnsiTheme="majorHAnsi" w:cstheme="majorHAnsi"/>
          <w:noProof/>
        </w:rPr>
      </w:r>
      <w:r w:rsidRPr="00DE4CD2">
        <w:rPr>
          <w:rFonts w:asciiTheme="majorHAnsi" w:hAnsiTheme="majorHAnsi" w:cstheme="majorHAnsi"/>
          <w:noProof/>
        </w:rPr>
        <w:fldChar w:fldCharType="separate"/>
      </w:r>
      <w:r w:rsidRPr="00DE4CD2">
        <w:rPr>
          <w:rFonts w:asciiTheme="majorHAnsi" w:hAnsiTheme="majorHAnsi" w:cstheme="majorHAnsi"/>
          <w:noProof/>
        </w:rPr>
        <w:t>19</w:t>
      </w:r>
      <w:r w:rsidRPr="00DE4CD2">
        <w:rPr>
          <w:rFonts w:asciiTheme="majorHAnsi" w:hAnsiTheme="majorHAnsi" w:cstheme="majorHAnsi"/>
          <w:noProof/>
        </w:rPr>
        <w:fldChar w:fldCharType="end"/>
      </w:r>
    </w:p>
    <w:p w14:paraId="24CCE899" w14:textId="1BC38499" w:rsidR="00880919" w:rsidRPr="00DE4CD2" w:rsidRDefault="00880919">
      <w:pPr>
        <w:pStyle w:val="Verzeichnis3"/>
        <w:tabs>
          <w:tab w:val="left" w:pos="1200"/>
          <w:tab w:val="right" w:leader="dot" w:pos="9622"/>
        </w:tabs>
        <w:rPr>
          <w:rFonts w:asciiTheme="majorHAnsi" w:eastAsiaTheme="minorEastAsia" w:hAnsiTheme="majorHAnsi" w:cstheme="majorHAnsi"/>
          <w:noProof/>
          <w:sz w:val="22"/>
          <w:szCs w:val="22"/>
          <w:lang w:val="en-US" w:eastAsia="de-DE"/>
        </w:rPr>
      </w:pPr>
      <w:r w:rsidRPr="00DE4CD2">
        <w:rPr>
          <w:rFonts w:asciiTheme="majorHAnsi" w:hAnsiTheme="majorHAnsi" w:cstheme="majorHAnsi"/>
          <w:noProof/>
        </w:rPr>
        <w:t>2.1.5</w:t>
      </w:r>
      <w:r w:rsidRPr="00DE4CD2">
        <w:rPr>
          <w:rFonts w:asciiTheme="majorHAnsi" w:eastAsiaTheme="minorEastAsia" w:hAnsiTheme="majorHAnsi" w:cstheme="majorHAnsi"/>
          <w:noProof/>
          <w:sz w:val="22"/>
          <w:szCs w:val="22"/>
          <w:lang w:val="en-US" w:eastAsia="de-DE"/>
        </w:rPr>
        <w:tab/>
      </w:r>
      <w:r w:rsidRPr="00DE4CD2">
        <w:rPr>
          <w:rFonts w:asciiTheme="majorHAnsi" w:hAnsiTheme="majorHAnsi" w:cstheme="majorHAnsi"/>
          <w:noProof/>
        </w:rPr>
        <w:t>ESID</w:t>
      </w:r>
      <w:r w:rsidRPr="00DE4CD2">
        <w:rPr>
          <w:rFonts w:asciiTheme="majorHAnsi" w:hAnsiTheme="majorHAnsi" w:cstheme="majorHAnsi"/>
          <w:noProof/>
        </w:rPr>
        <w:tab/>
      </w:r>
      <w:r w:rsidRPr="00DE4CD2">
        <w:rPr>
          <w:rFonts w:asciiTheme="majorHAnsi" w:hAnsiTheme="majorHAnsi" w:cstheme="majorHAnsi"/>
          <w:noProof/>
        </w:rPr>
        <w:fldChar w:fldCharType="begin"/>
      </w:r>
      <w:r w:rsidRPr="00DE4CD2">
        <w:rPr>
          <w:rFonts w:asciiTheme="majorHAnsi" w:hAnsiTheme="majorHAnsi" w:cstheme="majorHAnsi"/>
          <w:noProof/>
        </w:rPr>
        <w:instrText xml:space="preserve"> PAGEREF _Toc153536125 \h </w:instrText>
      </w:r>
      <w:r w:rsidRPr="00DE4CD2">
        <w:rPr>
          <w:rFonts w:asciiTheme="majorHAnsi" w:hAnsiTheme="majorHAnsi" w:cstheme="majorHAnsi"/>
          <w:noProof/>
        </w:rPr>
      </w:r>
      <w:r w:rsidRPr="00DE4CD2">
        <w:rPr>
          <w:rFonts w:asciiTheme="majorHAnsi" w:hAnsiTheme="majorHAnsi" w:cstheme="majorHAnsi"/>
          <w:noProof/>
        </w:rPr>
        <w:fldChar w:fldCharType="separate"/>
      </w:r>
      <w:r w:rsidRPr="00DE4CD2">
        <w:rPr>
          <w:rFonts w:asciiTheme="majorHAnsi" w:hAnsiTheme="majorHAnsi" w:cstheme="majorHAnsi"/>
          <w:noProof/>
        </w:rPr>
        <w:t>27</w:t>
      </w:r>
      <w:r w:rsidRPr="00DE4CD2">
        <w:rPr>
          <w:rFonts w:asciiTheme="majorHAnsi" w:hAnsiTheme="majorHAnsi" w:cstheme="majorHAnsi"/>
          <w:noProof/>
        </w:rPr>
        <w:fldChar w:fldCharType="end"/>
      </w:r>
    </w:p>
    <w:p w14:paraId="6403F9B1" w14:textId="5B91B1DB" w:rsidR="00880919" w:rsidRPr="00DE4CD2" w:rsidRDefault="00880919">
      <w:pPr>
        <w:pStyle w:val="Verzeichnis2"/>
        <w:tabs>
          <w:tab w:val="left" w:pos="960"/>
          <w:tab w:val="right" w:leader="dot" w:pos="9622"/>
        </w:tabs>
        <w:rPr>
          <w:rFonts w:asciiTheme="majorHAnsi" w:eastAsiaTheme="minorEastAsia" w:hAnsiTheme="majorHAnsi" w:cstheme="majorHAnsi"/>
          <w:noProof/>
          <w:sz w:val="22"/>
          <w:szCs w:val="22"/>
          <w:lang w:val="en-US" w:eastAsia="de-DE"/>
        </w:rPr>
      </w:pPr>
      <w:r w:rsidRPr="00DE4CD2">
        <w:rPr>
          <w:rFonts w:asciiTheme="majorHAnsi" w:hAnsiTheme="majorHAnsi" w:cstheme="majorHAnsi"/>
          <w:noProof/>
        </w:rPr>
        <w:t>2.2</w:t>
      </w:r>
      <w:r w:rsidRPr="00DE4CD2">
        <w:rPr>
          <w:rFonts w:asciiTheme="majorHAnsi" w:eastAsiaTheme="minorEastAsia" w:hAnsiTheme="majorHAnsi" w:cstheme="majorHAnsi"/>
          <w:noProof/>
          <w:sz w:val="22"/>
          <w:szCs w:val="22"/>
          <w:lang w:val="en-US" w:eastAsia="de-DE"/>
        </w:rPr>
        <w:tab/>
      </w:r>
      <w:r w:rsidRPr="00DE4CD2">
        <w:rPr>
          <w:rFonts w:asciiTheme="majorHAnsi" w:hAnsiTheme="majorHAnsi" w:cstheme="majorHAnsi"/>
          <w:noProof/>
        </w:rPr>
        <w:t>Group 2 – Firm Level Datasets</w:t>
      </w:r>
      <w:r w:rsidRPr="00DE4CD2">
        <w:rPr>
          <w:rFonts w:asciiTheme="majorHAnsi" w:hAnsiTheme="majorHAnsi" w:cstheme="majorHAnsi"/>
          <w:noProof/>
        </w:rPr>
        <w:tab/>
      </w:r>
      <w:r w:rsidRPr="00DE4CD2">
        <w:rPr>
          <w:rFonts w:asciiTheme="majorHAnsi" w:hAnsiTheme="majorHAnsi" w:cstheme="majorHAnsi"/>
          <w:noProof/>
        </w:rPr>
        <w:fldChar w:fldCharType="begin"/>
      </w:r>
      <w:r w:rsidRPr="00DE4CD2">
        <w:rPr>
          <w:rFonts w:asciiTheme="majorHAnsi" w:hAnsiTheme="majorHAnsi" w:cstheme="majorHAnsi"/>
          <w:noProof/>
        </w:rPr>
        <w:instrText xml:space="preserve"> PAGEREF _Toc153536126 \h </w:instrText>
      </w:r>
      <w:r w:rsidRPr="00DE4CD2">
        <w:rPr>
          <w:rFonts w:asciiTheme="majorHAnsi" w:hAnsiTheme="majorHAnsi" w:cstheme="majorHAnsi"/>
          <w:noProof/>
        </w:rPr>
      </w:r>
      <w:r w:rsidRPr="00DE4CD2">
        <w:rPr>
          <w:rFonts w:asciiTheme="majorHAnsi" w:hAnsiTheme="majorHAnsi" w:cstheme="majorHAnsi"/>
          <w:noProof/>
        </w:rPr>
        <w:fldChar w:fldCharType="separate"/>
      </w:r>
      <w:r w:rsidRPr="00DE4CD2">
        <w:rPr>
          <w:rFonts w:asciiTheme="majorHAnsi" w:hAnsiTheme="majorHAnsi" w:cstheme="majorHAnsi"/>
          <w:noProof/>
        </w:rPr>
        <w:t>27</w:t>
      </w:r>
      <w:r w:rsidRPr="00DE4CD2">
        <w:rPr>
          <w:rFonts w:asciiTheme="majorHAnsi" w:hAnsiTheme="majorHAnsi" w:cstheme="majorHAnsi"/>
          <w:noProof/>
        </w:rPr>
        <w:fldChar w:fldCharType="end"/>
      </w:r>
    </w:p>
    <w:p w14:paraId="078ED96A" w14:textId="1F20D3ED" w:rsidR="00880919" w:rsidRPr="00DE4CD2" w:rsidRDefault="00880919">
      <w:pPr>
        <w:pStyle w:val="Verzeichnis3"/>
        <w:tabs>
          <w:tab w:val="left" w:pos="1200"/>
          <w:tab w:val="right" w:leader="dot" w:pos="9622"/>
        </w:tabs>
        <w:rPr>
          <w:rFonts w:asciiTheme="majorHAnsi" w:eastAsiaTheme="minorEastAsia" w:hAnsiTheme="majorHAnsi" w:cstheme="majorHAnsi"/>
          <w:noProof/>
          <w:sz w:val="22"/>
          <w:szCs w:val="22"/>
          <w:lang w:val="en-US" w:eastAsia="de-DE"/>
        </w:rPr>
      </w:pPr>
      <w:r w:rsidRPr="00DE4CD2">
        <w:rPr>
          <w:rFonts w:asciiTheme="majorHAnsi" w:hAnsiTheme="majorHAnsi" w:cstheme="majorHAnsi"/>
          <w:noProof/>
        </w:rPr>
        <w:t>2.2.1</w:t>
      </w:r>
      <w:r w:rsidRPr="00DE4CD2">
        <w:rPr>
          <w:rFonts w:asciiTheme="majorHAnsi" w:eastAsiaTheme="minorEastAsia" w:hAnsiTheme="majorHAnsi" w:cstheme="majorHAnsi"/>
          <w:noProof/>
          <w:sz w:val="22"/>
          <w:szCs w:val="22"/>
          <w:lang w:val="en-US" w:eastAsia="de-DE"/>
        </w:rPr>
        <w:tab/>
      </w:r>
      <w:r w:rsidRPr="00DE4CD2">
        <w:rPr>
          <w:rFonts w:asciiTheme="majorHAnsi" w:hAnsiTheme="majorHAnsi" w:cstheme="majorHAnsi"/>
          <w:noProof/>
        </w:rPr>
        <w:t>Cheetah</w:t>
      </w:r>
      <w:r w:rsidRPr="00DE4CD2">
        <w:rPr>
          <w:rFonts w:asciiTheme="majorHAnsi" w:hAnsiTheme="majorHAnsi" w:cstheme="majorHAnsi"/>
          <w:noProof/>
        </w:rPr>
        <w:tab/>
      </w:r>
      <w:r w:rsidRPr="00DE4CD2">
        <w:rPr>
          <w:rFonts w:asciiTheme="majorHAnsi" w:hAnsiTheme="majorHAnsi" w:cstheme="majorHAnsi"/>
          <w:noProof/>
        </w:rPr>
        <w:fldChar w:fldCharType="begin"/>
      </w:r>
      <w:r w:rsidRPr="00DE4CD2">
        <w:rPr>
          <w:rFonts w:asciiTheme="majorHAnsi" w:hAnsiTheme="majorHAnsi" w:cstheme="majorHAnsi"/>
          <w:noProof/>
        </w:rPr>
        <w:instrText xml:space="preserve"> PAGEREF _Toc153536127 \h </w:instrText>
      </w:r>
      <w:r w:rsidRPr="00DE4CD2">
        <w:rPr>
          <w:rFonts w:asciiTheme="majorHAnsi" w:hAnsiTheme="majorHAnsi" w:cstheme="majorHAnsi"/>
          <w:noProof/>
        </w:rPr>
      </w:r>
      <w:r w:rsidRPr="00DE4CD2">
        <w:rPr>
          <w:rFonts w:asciiTheme="majorHAnsi" w:hAnsiTheme="majorHAnsi" w:cstheme="majorHAnsi"/>
          <w:noProof/>
        </w:rPr>
        <w:fldChar w:fldCharType="separate"/>
      </w:r>
      <w:r w:rsidRPr="00DE4CD2">
        <w:rPr>
          <w:rFonts w:asciiTheme="majorHAnsi" w:hAnsiTheme="majorHAnsi" w:cstheme="majorHAnsi"/>
          <w:noProof/>
        </w:rPr>
        <w:t>27</w:t>
      </w:r>
      <w:r w:rsidRPr="00DE4CD2">
        <w:rPr>
          <w:rFonts w:asciiTheme="majorHAnsi" w:hAnsiTheme="majorHAnsi" w:cstheme="majorHAnsi"/>
          <w:noProof/>
        </w:rPr>
        <w:fldChar w:fldCharType="end"/>
      </w:r>
    </w:p>
    <w:p w14:paraId="0E377062" w14:textId="6E02AC87" w:rsidR="00880919" w:rsidRPr="00DE4CD2" w:rsidRDefault="00880919">
      <w:pPr>
        <w:pStyle w:val="Verzeichnis3"/>
        <w:tabs>
          <w:tab w:val="left" w:pos="1200"/>
          <w:tab w:val="right" w:leader="dot" w:pos="9622"/>
        </w:tabs>
        <w:rPr>
          <w:rFonts w:asciiTheme="majorHAnsi" w:eastAsiaTheme="minorEastAsia" w:hAnsiTheme="majorHAnsi" w:cstheme="majorHAnsi"/>
          <w:noProof/>
          <w:sz w:val="22"/>
          <w:szCs w:val="22"/>
          <w:lang w:val="en-US" w:eastAsia="de-DE"/>
        </w:rPr>
      </w:pPr>
      <w:r w:rsidRPr="00DE4CD2">
        <w:rPr>
          <w:rFonts w:asciiTheme="majorHAnsi" w:hAnsiTheme="majorHAnsi" w:cstheme="majorHAnsi"/>
          <w:noProof/>
        </w:rPr>
        <w:t>2.2.2</w:t>
      </w:r>
      <w:r w:rsidRPr="00DE4CD2">
        <w:rPr>
          <w:rFonts w:asciiTheme="majorHAnsi" w:eastAsiaTheme="minorEastAsia" w:hAnsiTheme="majorHAnsi" w:cstheme="majorHAnsi"/>
          <w:noProof/>
          <w:sz w:val="22"/>
          <w:szCs w:val="22"/>
          <w:lang w:val="en-US" w:eastAsia="de-DE"/>
        </w:rPr>
        <w:tab/>
      </w:r>
      <w:r w:rsidRPr="00DE4CD2">
        <w:rPr>
          <w:rFonts w:asciiTheme="majorHAnsi" w:hAnsiTheme="majorHAnsi" w:cstheme="majorHAnsi"/>
          <w:noProof/>
        </w:rPr>
        <w:t>VICO</w:t>
      </w:r>
      <w:r w:rsidRPr="00DE4CD2">
        <w:rPr>
          <w:rFonts w:asciiTheme="majorHAnsi" w:hAnsiTheme="majorHAnsi" w:cstheme="majorHAnsi"/>
          <w:noProof/>
        </w:rPr>
        <w:tab/>
      </w:r>
      <w:r w:rsidRPr="00DE4CD2">
        <w:rPr>
          <w:rFonts w:asciiTheme="majorHAnsi" w:hAnsiTheme="majorHAnsi" w:cstheme="majorHAnsi"/>
          <w:noProof/>
        </w:rPr>
        <w:fldChar w:fldCharType="begin"/>
      </w:r>
      <w:r w:rsidRPr="00DE4CD2">
        <w:rPr>
          <w:rFonts w:asciiTheme="majorHAnsi" w:hAnsiTheme="majorHAnsi" w:cstheme="majorHAnsi"/>
          <w:noProof/>
        </w:rPr>
        <w:instrText xml:space="preserve"> PAGEREF _Toc153536128 \h </w:instrText>
      </w:r>
      <w:r w:rsidRPr="00DE4CD2">
        <w:rPr>
          <w:rFonts w:asciiTheme="majorHAnsi" w:hAnsiTheme="majorHAnsi" w:cstheme="majorHAnsi"/>
          <w:noProof/>
        </w:rPr>
      </w:r>
      <w:r w:rsidRPr="00DE4CD2">
        <w:rPr>
          <w:rFonts w:asciiTheme="majorHAnsi" w:hAnsiTheme="majorHAnsi" w:cstheme="majorHAnsi"/>
          <w:noProof/>
        </w:rPr>
        <w:fldChar w:fldCharType="separate"/>
      </w:r>
      <w:r w:rsidRPr="00DE4CD2">
        <w:rPr>
          <w:rFonts w:asciiTheme="majorHAnsi" w:hAnsiTheme="majorHAnsi" w:cstheme="majorHAnsi"/>
          <w:noProof/>
        </w:rPr>
        <w:t>27</w:t>
      </w:r>
      <w:r w:rsidRPr="00DE4CD2">
        <w:rPr>
          <w:rFonts w:asciiTheme="majorHAnsi" w:hAnsiTheme="majorHAnsi" w:cstheme="majorHAnsi"/>
          <w:noProof/>
        </w:rPr>
        <w:fldChar w:fldCharType="end"/>
      </w:r>
    </w:p>
    <w:p w14:paraId="7FDF0DE7" w14:textId="0D4E1F6A" w:rsidR="00880919" w:rsidRPr="00DE4CD2" w:rsidRDefault="00880919">
      <w:pPr>
        <w:pStyle w:val="Verzeichnis3"/>
        <w:tabs>
          <w:tab w:val="left" w:pos="1200"/>
          <w:tab w:val="right" w:leader="dot" w:pos="9622"/>
        </w:tabs>
        <w:rPr>
          <w:rFonts w:asciiTheme="majorHAnsi" w:eastAsiaTheme="minorEastAsia" w:hAnsiTheme="majorHAnsi" w:cstheme="majorHAnsi"/>
          <w:noProof/>
          <w:sz w:val="22"/>
          <w:szCs w:val="22"/>
          <w:lang w:val="en-US" w:eastAsia="de-DE"/>
        </w:rPr>
      </w:pPr>
      <w:r w:rsidRPr="00DE4CD2">
        <w:rPr>
          <w:rFonts w:asciiTheme="majorHAnsi" w:hAnsiTheme="majorHAnsi" w:cstheme="majorHAnsi"/>
          <w:noProof/>
        </w:rPr>
        <w:t>2.2.3</w:t>
      </w:r>
      <w:r w:rsidRPr="00DE4CD2">
        <w:rPr>
          <w:rFonts w:asciiTheme="majorHAnsi" w:eastAsiaTheme="minorEastAsia" w:hAnsiTheme="majorHAnsi" w:cstheme="majorHAnsi"/>
          <w:noProof/>
          <w:sz w:val="22"/>
          <w:szCs w:val="22"/>
          <w:lang w:val="en-US" w:eastAsia="de-DE"/>
        </w:rPr>
        <w:tab/>
      </w:r>
      <w:r w:rsidRPr="00DE4CD2">
        <w:rPr>
          <w:rFonts w:asciiTheme="majorHAnsi" w:hAnsiTheme="majorHAnsi" w:cstheme="majorHAnsi"/>
          <w:noProof/>
        </w:rPr>
        <w:t>CIB-Cinnob</w:t>
      </w:r>
      <w:r w:rsidRPr="00DE4CD2">
        <w:rPr>
          <w:rFonts w:asciiTheme="majorHAnsi" w:hAnsiTheme="majorHAnsi" w:cstheme="majorHAnsi"/>
          <w:noProof/>
        </w:rPr>
        <w:tab/>
      </w:r>
      <w:r w:rsidRPr="00DE4CD2">
        <w:rPr>
          <w:rFonts w:asciiTheme="majorHAnsi" w:hAnsiTheme="majorHAnsi" w:cstheme="majorHAnsi"/>
          <w:noProof/>
        </w:rPr>
        <w:fldChar w:fldCharType="begin"/>
      </w:r>
      <w:r w:rsidRPr="00DE4CD2">
        <w:rPr>
          <w:rFonts w:asciiTheme="majorHAnsi" w:hAnsiTheme="majorHAnsi" w:cstheme="majorHAnsi"/>
          <w:noProof/>
        </w:rPr>
        <w:instrText xml:space="preserve"> PAGEREF _Toc153536129 \h </w:instrText>
      </w:r>
      <w:r w:rsidRPr="00DE4CD2">
        <w:rPr>
          <w:rFonts w:asciiTheme="majorHAnsi" w:hAnsiTheme="majorHAnsi" w:cstheme="majorHAnsi"/>
          <w:noProof/>
        </w:rPr>
      </w:r>
      <w:r w:rsidRPr="00DE4CD2">
        <w:rPr>
          <w:rFonts w:asciiTheme="majorHAnsi" w:hAnsiTheme="majorHAnsi" w:cstheme="majorHAnsi"/>
          <w:noProof/>
        </w:rPr>
        <w:fldChar w:fldCharType="separate"/>
      </w:r>
      <w:r w:rsidRPr="00DE4CD2">
        <w:rPr>
          <w:rFonts w:asciiTheme="majorHAnsi" w:hAnsiTheme="majorHAnsi" w:cstheme="majorHAnsi"/>
          <w:noProof/>
        </w:rPr>
        <w:t>27</w:t>
      </w:r>
      <w:r w:rsidRPr="00DE4CD2">
        <w:rPr>
          <w:rFonts w:asciiTheme="majorHAnsi" w:hAnsiTheme="majorHAnsi" w:cstheme="majorHAnsi"/>
          <w:noProof/>
        </w:rPr>
        <w:fldChar w:fldCharType="end"/>
      </w:r>
    </w:p>
    <w:p w14:paraId="2B2560DD" w14:textId="39961D27" w:rsidR="00880919" w:rsidRPr="00DE4CD2" w:rsidRDefault="00880919">
      <w:pPr>
        <w:pStyle w:val="Verzeichnis3"/>
        <w:tabs>
          <w:tab w:val="left" w:pos="1200"/>
          <w:tab w:val="right" w:leader="dot" w:pos="9622"/>
        </w:tabs>
        <w:rPr>
          <w:rFonts w:asciiTheme="majorHAnsi" w:eastAsiaTheme="minorEastAsia" w:hAnsiTheme="majorHAnsi" w:cstheme="majorHAnsi"/>
          <w:noProof/>
          <w:sz w:val="22"/>
          <w:szCs w:val="22"/>
          <w:lang w:val="en-US" w:eastAsia="de-DE"/>
        </w:rPr>
      </w:pPr>
      <w:r w:rsidRPr="00DE4CD2">
        <w:rPr>
          <w:rFonts w:asciiTheme="majorHAnsi" w:hAnsiTheme="majorHAnsi" w:cstheme="majorHAnsi"/>
          <w:noProof/>
        </w:rPr>
        <w:t>2.2.4</w:t>
      </w:r>
      <w:r w:rsidRPr="00DE4CD2">
        <w:rPr>
          <w:rFonts w:asciiTheme="majorHAnsi" w:eastAsiaTheme="minorEastAsia" w:hAnsiTheme="majorHAnsi" w:cstheme="majorHAnsi"/>
          <w:noProof/>
          <w:sz w:val="22"/>
          <w:szCs w:val="22"/>
          <w:lang w:val="en-US" w:eastAsia="de-DE"/>
        </w:rPr>
        <w:tab/>
      </w:r>
      <w:r w:rsidRPr="00DE4CD2">
        <w:rPr>
          <w:rFonts w:asciiTheme="majorHAnsi" w:hAnsiTheme="majorHAnsi" w:cstheme="majorHAnsi"/>
          <w:noProof/>
        </w:rPr>
        <w:t>FirmReg</w:t>
      </w:r>
      <w:r w:rsidRPr="00DE4CD2">
        <w:rPr>
          <w:rFonts w:asciiTheme="majorHAnsi" w:hAnsiTheme="majorHAnsi" w:cstheme="majorHAnsi"/>
          <w:noProof/>
        </w:rPr>
        <w:tab/>
      </w:r>
      <w:r w:rsidRPr="00DE4CD2">
        <w:rPr>
          <w:rFonts w:asciiTheme="majorHAnsi" w:hAnsiTheme="majorHAnsi" w:cstheme="majorHAnsi"/>
          <w:noProof/>
        </w:rPr>
        <w:fldChar w:fldCharType="begin"/>
      </w:r>
      <w:r w:rsidRPr="00DE4CD2">
        <w:rPr>
          <w:rFonts w:asciiTheme="majorHAnsi" w:hAnsiTheme="majorHAnsi" w:cstheme="majorHAnsi"/>
          <w:noProof/>
        </w:rPr>
        <w:instrText xml:space="preserve"> PAGEREF _Toc153536130 \h </w:instrText>
      </w:r>
      <w:r w:rsidRPr="00DE4CD2">
        <w:rPr>
          <w:rFonts w:asciiTheme="majorHAnsi" w:hAnsiTheme="majorHAnsi" w:cstheme="majorHAnsi"/>
          <w:noProof/>
        </w:rPr>
      </w:r>
      <w:r w:rsidRPr="00DE4CD2">
        <w:rPr>
          <w:rFonts w:asciiTheme="majorHAnsi" w:hAnsiTheme="majorHAnsi" w:cstheme="majorHAnsi"/>
          <w:noProof/>
        </w:rPr>
        <w:fldChar w:fldCharType="separate"/>
      </w:r>
      <w:r w:rsidRPr="00DE4CD2">
        <w:rPr>
          <w:rFonts w:asciiTheme="majorHAnsi" w:hAnsiTheme="majorHAnsi" w:cstheme="majorHAnsi"/>
          <w:noProof/>
        </w:rPr>
        <w:t>30</w:t>
      </w:r>
      <w:r w:rsidRPr="00DE4CD2">
        <w:rPr>
          <w:rFonts w:asciiTheme="majorHAnsi" w:hAnsiTheme="majorHAnsi" w:cstheme="majorHAnsi"/>
          <w:noProof/>
        </w:rPr>
        <w:fldChar w:fldCharType="end"/>
      </w:r>
    </w:p>
    <w:p w14:paraId="5401C132" w14:textId="7C4EC681" w:rsidR="00880919" w:rsidRPr="00DE4CD2" w:rsidRDefault="00880919">
      <w:pPr>
        <w:pStyle w:val="Verzeichnis2"/>
        <w:tabs>
          <w:tab w:val="left" w:pos="960"/>
          <w:tab w:val="right" w:leader="dot" w:pos="9622"/>
        </w:tabs>
        <w:rPr>
          <w:rFonts w:asciiTheme="majorHAnsi" w:eastAsiaTheme="minorEastAsia" w:hAnsiTheme="majorHAnsi" w:cstheme="majorHAnsi"/>
          <w:noProof/>
          <w:sz w:val="22"/>
          <w:szCs w:val="22"/>
          <w:lang w:val="en-US" w:eastAsia="de-DE"/>
        </w:rPr>
      </w:pPr>
      <w:r w:rsidRPr="00DE4CD2">
        <w:rPr>
          <w:rFonts w:asciiTheme="majorHAnsi" w:hAnsiTheme="majorHAnsi" w:cstheme="majorHAnsi"/>
          <w:noProof/>
        </w:rPr>
        <w:t>2.3</w:t>
      </w:r>
      <w:r w:rsidRPr="00DE4CD2">
        <w:rPr>
          <w:rFonts w:asciiTheme="majorHAnsi" w:eastAsiaTheme="minorEastAsia" w:hAnsiTheme="majorHAnsi" w:cstheme="majorHAnsi"/>
          <w:noProof/>
          <w:sz w:val="22"/>
          <w:szCs w:val="22"/>
          <w:lang w:val="en-US" w:eastAsia="de-DE"/>
        </w:rPr>
        <w:tab/>
      </w:r>
      <w:r w:rsidRPr="00DE4CD2">
        <w:rPr>
          <w:rFonts w:asciiTheme="majorHAnsi" w:hAnsiTheme="majorHAnsi" w:cstheme="majorHAnsi"/>
          <w:noProof/>
        </w:rPr>
        <w:t>Group 3 – Datasets on public research and human resources</w:t>
      </w:r>
      <w:r w:rsidRPr="00DE4CD2">
        <w:rPr>
          <w:rFonts w:asciiTheme="majorHAnsi" w:hAnsiTheme="majorHAnsi" w:cstheme="majorHAnsi"/>
          <w:noProof/>
        </w:rPr>
        <w:tab/>
      </w:r>
      <w:r w:rsidRPr="00DE4CD2">
        <w:rPr>
          <w:rFonts w:asciiTheme="majorHAnsi" w:hAnsiTheme="majorHAnsi" w:cstheme="majorHAnsi"/>
          <w:noProof/>
        </w:rPr>
        <w:fldChar w:fldCharType="begin"/>
      </w:r>
      <w:r w:rsidRPr="00DE4CD2">
        <w:rPr>
          <w:rFonts w:asciiTheme="majorHAnsi" w:hAnsiTheme="majorHAnsi" w:cstheme="majorHAnsi"/>
          <w:noProof/>
        </w:rPr>
        <w:instrText xml:space="preserve"> PAGEREF _Toc153536131 \h </w:instrText>
      </w:r>
      <w:r w:rsidRPr="00DE4CD2">
        <w:rPr>
          <w:rFonts w:asciiTheme="majorHAnsi" w:hAnsiTheme="majorHAnsi" w:cstheme="majorHAnsi"/>
          <w:noProof/>
        </w:rPr>
      </w:r>
      <w:r w:rsidRPr="00DE4CD2">
        <w:rPr>
          <w:rFonts w:asciiTheme="majorHAnsi" w:hAnsiTheme="majorHAnsi" w:cstheme="majorHAnsi"/>
          <w:noProof/>
        </w:rPr>
        <w:fldChar w:fldCharType="separate"/>
      </w:r>
      <w:r w:rsidRPr="00DE4CD2">
        <w:rPr>
          <w:rFonts w:asciiTheme="majorHAnsi" w:hAnsiTheme="majorHAnsi" w:cstheme="majorHAnsi"/>
          <w:noProof/>
        </w:rPr>
        <w:t>33</w:t>
      </w:r>
      <w:r w:rsidRPr="00DE4CD2">
        <w:rPr>
          <w:rFonts w:asciiTheme="majorHAnsi" w:hAnsiTheme="majorHAnsi" w:cstheme="majorHAnsi"/>
          <w:noProof/>
        </w:rPr>
        <w:fldChar w:fldCharType="end"/>
      </w:r>
    </w:p>
    <w:p w14:paraId="625D7CDE" w14:textId="64C9BC8D" w:rsidR="00880919" w:rsidRPr="00DE4CD2" w:rsidRDefault="00880919">
      <w:pPr>
        <w:pStyle w:val="Verzeichnis3"/>
        <w:tabs>
          <w:tab w:val="left" w:pos="1200"/>
          <w:tab w:val="right" w:leader="dot" w:pos="9622"/>
        </w:tabs>
        <w:rPr>
          <w:rFonts w:asciiTheme="majorHAnsi" w:eastAsiaTheme="minorEastAsia" w:hAnsiTheme="majorHAnsi" w:cstheme="majorHAnsi"/>
          <w:noProof/>
          <w:sz w:val="22"/>
          <w:szCs w:val="22"/>
          <w:lang w:val="en-US" w:eastAsia="de-DE"/>
        </w:rPr>
      </w:pPr>
      <w:r w:rsidRPr="00DE4CD2">
        <w:rPr>
          <w:rFonts w:asciiTheme="majorHAnsi" w:hAnsiTheme="majorHAnsi" w:cstheme="majorHAnsi"/>
          <w:noProof/>
        </w:rPr>
        <w:t>2.3.1</w:t>
      </w:r>
      <w:r w:rsidRPr="00DE4CD2">
        <w:rPr>
          <w:rFonts w:asciiTheme="majorHAnsi" w:eastAsiaTheme="minorEastAsia" w:hAnsiTheme="majorHAnsi" w:cstheme="majorHAnsi"/>
          <w:noProof/>
          <w:sz w:val="22"/>
          <w:szCs w:val="22"/>
          <w:lang w:val="en-US" w:eastAsia="de-DE"/>
        </w:rPr>
        <w:tab/>
      </w:r>
      <w:r w:rsidRPr="00DE4CD2">
        <w:rPr>
          <w:rFonts w:asciiTheme="majorHAnsi" w:hAnsiTheme="majorHAnsi" w:cstheme="majorHAnsi"/>
          <w:noProof/>
        </w:rPr>
        <w:t>RISIS-ETER</w:t>
      </w:r>
      <w:r w:rsidRPr="00DE4CD2">
        <w:rPr>
          <w:rFonts w:asciiTheme="majorHAnsi" w:hAnsiTheme="majorHAnsi" w:cstheme="majorHAnsi"/>
          <w:noProof/>
        </w:rPr>
        <w:tab/>
      </w:r>
      <w:r w:rsidRPr="00DE4CD2">
        <w:rPr>
          <w:rFonts w:asciiTheme="majorHAnsi" w:hAnsiTheme="majorHAnsi" w:cstheme="majorHAnsi"/>
          <w:noProof/>
        </w:rPr>
        <w:fldChar w:fldCharType="begin"/>
      </w:r>
      <w:r w:rsidRPr="00DE4CD2">
        <w:rPr>
          <w:rFonts w:asciiTheme="majorHAnsi" w:hAnsiTheme="majorHAnsi" w:cstheme="majorHAnsi"/>
          <w:noProof/>
        </w:rPr>
        <w:instrText xml:space="preserve"> PAGEREF _Toc153536132 \h </w:instrText>
      </w:r>
      <w:r w:rsidRPr="00DE4CD2">
        <w:rPr>
          <w:rFonts w:asciiTheme="majorHAnsi" w:hAnsiTheme="majorHAnsi" w:cstheme="majorHAnsi"/>
          <w:noProof/>
        </w:rPr>
      </w:r>
      <w:r w:rsidRPr="00DE4CD2">
        <w:rPr>
          <w:rFonts w:asciiTheme="majorHAnsi" w:hAnsiTheme="majorHAnsi" w:cstheme="majorHAnsi"/>
          <w:noProof/>
        </w:rPr>
        <w:fldChar w:fldCharType="separate"/>
      </w:r>
      <w:r w:rsidRPr="00DE4CD2">
        <w:rPr>
          <w:rFonts w:asciiTheme="majorHAnsi" w:hAnsiTheme="majorHAnsi" w:cstheme="majorHAnsi"/>
          <w:noProof/>
        </w:rPr>
        <w:t>33</w:t>
      </w:r>
      <w:r w:rsidRPr="00DE4CD2">
        <w:rPr>
          <w:rFonts w:asciiTheme="majorHAnsi" w:hAnsiTheme="majorHAnsi" w:cstheme="majorHAnsi"/>
          <w:noProof/>
        </w:rPr>
        <w:fldChar w:fldCharType="end"/>
      </w:r>
    </w:p>
    <w:p w14:paraId="378C4B75" w14:textId="7357BE8B" w:rsidR="00880919" w:rsidRPr="00DE4CD2" w:rsidRDefault="00880919">
      <w:pPr>
        <w:pStyle w:val="Verzeichnis3"/>
        <w:tabs>
          <w:tab w:val="left" w:pos="1200"/>
          <w:tab w:val="right" w:leader="dot" w:pos="9622"/>
        </w:tabs>
        <w:rPr>
          <w:rFonts w:asciiTheme="majorHAnsi" w:eastAsiaTheme="minorEastAsia" w:hAnsiTheme="majorHAnsi" w:cstheme="majorHAnsi"/>
          <w:noProof/>
          <w:sz w:val="22"/>
          <w:szCs w:val="22"/>
          <w:lang w:val="en-US" w:eastAsia="de-DE"/>
        </w:rPr>
      </w:pPr>
      <w:r w:rsidRPr="00DE4CD2">
        <w:rPr>
          <w:rFonts w:asciiTheme="majorHAnsi" w:hAnsiTheme="majorHAnsi" w:cstheme="majorHAnsi"/>
          <w:noProof/>
        </w:rPr>
        <w:t>2.3.2</w:t>
      </w:r>
      <w:r w:rsidRPr="00DE4CD2">
        <w:rPr>
          <w:rFonts w:asciiTheme="majorHAnsi" w:eastAsiaTheme="minorEastAsia" w:hAnsiTheme="majorHAnsi" w:cstheme="majorHAnsi"/>
          <w:noProof/>
          <w:sz w:val="22"/>
          <w:szCs w:val="22"/>
          <w:lang w:val="en-US" w:eastAsia="de-DE"/>
        </w:rPr>
        <w:tab/>
      </w:r>
      <w:r w:rsidRPr="00DE4CD2">
        <w:rPr>
          <w:rFonts w:asciiTheme="majorHAnsi" w:hAnsiTheme="majorHAnsi" w:cstheme="majorHAnsi"/>
          <w:noProof/>
        </w:rPr>
        <w:t>DDC</w:t>
      </w:r>
      <w:r w:rsidRPr="00DE4CD2">
        <w:rPr>
          <w:rFonts w:asciiTheme="majorHAnsi" w:hAnsiTheme="majorHAnsi" w:cstheme="majorHAnsi"/>
          <w:noProof/>
        </w:rPr>
        <w:tab/>
      </w:r>
      <w:r w:rsidRPr="00DE4CD2">
        <w:rPr>
          <w:rFonts w:asciiTheme="majorHAnsi" w:hAnsiTheme="majorHAnsi" w:cstheme="majorHAnsi"/>
          <w:noProof/>
        </w:rPr>
        <w:fldChar w:fldCharType="begin"/>
      </w:r>
      <w:r w:rsidRPr="00DE4CD2">
        <w:rPr>
          <w:rFonts w:asciiTheme="majorHAnsi" w:hAnsiTheme="majorHAnsi" w:cstheme="majorHAnsi"/>
          <w:noProof/>
        </w:rPr>
        <w:instrText xml:space="preserve"> PAGEREF _Toc153536133 \h </w:instrText>
      </w:r>
      <w:r w:rsidRPr="00DE4CD2">
        <w:rPr>
          <w:rFonts w:asciiTheme="majorHAnsi" w:hAnsiTheme="majorHAnsi" w:cstheme="majorHAnsi"/>
          <w:noProof/>
        </w:rPr>
      </w:r>
      <w:r w:rsidRPr="00DE4CD2">
        <w:rPr>
          <w:rFonts w:asciiTheme="majorHAnsi" w:hAnsiTheme="majorHAnsi" w:cstheme="majorHAnsi"/>
          <w:noProof/>
        </w:rPr>
        <w:fldChar w:fldCharType="separate"/>
      </w:r>
      <w:r w:rsidRPr="00DE4CD2">
        <w:rPr>
          <w:rFonts w:asciiTheme="majorHAnsi" w:hAnsiTheme="majorHAnsi" w:cstheme="majorHAnsi"/>
          <w:noProof/>
        </w:rPr>
        <w:t>37</w:t>
      </w:r>
      <w:r w:rsidRPr="00DE4CD2">
        <w:rPr>
          <w:rFonts w:asciiTheme="majorHAnsi" w:hAnsiTheme="majorHAnsi" w:cstheme="majorHAnsi"/>
          <w:noProof/>
        </w:rPr>
        <w:fldChar w:fldCharType="end"/>
      </w:r>
    </w:p>
    <w:p w14:paraId="1C37962E" w14:textId="49211BC8" w:rsidR="00880919" w:rsidRPr="00DE4CD2" w:rsidRDefault="00880919">
      <w:pPr>
        <w:pStyle w:val="Verzeichnis3"/>
        <w:tabs>
          <w:tab w:val="left" w:pos="1200"/>
          <w:tab w:val="right" w:leader="dot" w:pos="9622"/>
        </w:tabs>
        <w:rPr>
          <w:rFonts w:asciiTheme="majorHAnsi" w:eastAsiaTheme="minorEastAsia" w:hAnsiTheme="majorHAnsi" w:cstheme="majorHAnsi"/>
          <w:noProof/>
          <w:sz w:val="22"/>
          <w:szCs w:val="22"/>
          <w:lang w:val="en-US" w:eastAsia="de-DE"/>
        </w:rPr>
      </w:pPr>
      <w:r w:rsidRPr="00DE4CD2">
        <w:rPr>
          <w:rFonts w:asciiTheme="majorHAnsi" w:hAnsiTheme="majorHAnsi" w:cstheme="majorHAnsi"/>
          <w:noProof/>
        </w:rPr>
        <w:t>2.3.3</w:t>
      </w:r>
      <w:r w:rsidRPr="00DE4CD2">
        <w:rPr>
          <w:rFonts w:asciiTheme="majorHAnsi" w:eastAsiaTheme="minorEastAsia" w:hAnsiTheme="majorHAnsi" w:cstheme="majorHAnsi"/>
          <w:noProof/>
          <w:sz w:val="22"/>
          <w:szCs w:val="22"/>
          <w:lang w:val="en-US" w:eastAsia="de-DE"/>
        </w:rPr>
        <w:tab/>
      </w:r>
      <w:r w:rsidRPr="00DE4CD2">
        <w:rPr>
          <w:rFonts w:asciiTheme="majorHAnsi" w:hAnsiTheme="majorHAnsi" w:cstheme="majorHAnsi"/>
          <w:noProof/>
        </w:rPr>
        <w:t>OrgReg</w:t>
      </w:r>
      <w:r w:rsidRPr="00DE4CD2">
        <w:rPr>
          <w:rFonts w:asciiTheme="majorHAnsi" w:hAnsiTheme="majorHAnsi" w:cstheme="majorHAnsi"/>
          <w:noProof/>
        </w:rPr>
        <w:tab/>
      </w:r>
      <w:r w:rsidRPr="00DE4CD2">
        <w:rPr>
          <w:rFonts w:asciiTheme="majorHAnsi" w:hAnsiTheme="majorHAnsi" w:cstheme="majorHAnsi"/>
          <w:noProof/>
        </w:rPr>
        <w:fldChar w:fldCharType="begin"/>
      </w:r>
      <w:r w:rsidRPr="00DE4CD2">
        <w:rPr>
          <w:rFonts w:asciiTheme="majorHAnsi" w:hAnsiTheme="majorHAnsi" w:cstheme="majorHAnsi"/>
          <w:noProof/>
        </w:rPr>
        <w:instrText xml:space="preserve"> PAGEREF _Toc153536134 \h </w:instrText>
      </w:r>
      <w:r w:rsidRPr="00DE4CD2">
        <w:rPr>
          <w:rFonts w:asciiTheme="majorHAnsi" w:hAnsiTheme="majorHAnsi" w:cstheme="majorHAnsi"/>
          <w:noProof/>
        </w:rPr>
      </w:r>
      <w:r w:rsidRPr="00DE4CD2">
        <w:rPr>
          <w:rFonts w:asciiTheme="majorHAnsi" w:hAnsiTheme="majorHAnsi" w:cstheme="majorHAnsi"/>
          <w:noProof/>
        </w:rPr>
        <w:fldChar w:fldCharType="separate"/>
      </w:r>
      <w:r w:rsidRPr="00DE4CD2">
        <w:rPr>
          <w:rFonts w:asciiTheme="majorHAnsi" w:hAnsiTheme="majorHAnsi" w:cstheme="majorHAnsi"/>
          <w:noProof/>
        </w:rPr>
        <w:t>44</w:t>
      </w:r>
      <w:r w:rsidRPr="00DE4CD2">
        <w:rPr>
          <w:rFonts w:asciiTheme="majorHAnsi" w:hAnsiTheme="majorHAnsi" w:cstheme="majorHAnsi"/>
          <w:noProof/>
        </w:rPr>
        <w:fldChar w:fldCharType="end"/>
      </w:r>
    </w:p>
    <w:p w14:paraId="1B8931EA" w14:textId="6333E70E" w:rsidR="00880919" w:rsidRPr="00DE4CD2" w:rsidRDefault="00880919">
      <w:pPr>
        <w:pStyle w:val="Verzeichnis2"/>
        <w:tabs>
          <w:tab w:val="left" w:pos="960"/>
          <w:tab w:val="right" w:leader="dot" w:pos="9622"/>
        </w:tabs>
        <w:rPr>
          <w:rFonts w:asciiTheme="majorHAnsi" w:eastAsiaTheme="minorEastAsia" w:hAnsiTheme="majorHAnsi" w:cstheme="majorHAnsi"/>
          <w:noProof/>
          <w:sz w:val="22"/>
          <w:szCs w:val="22"/>
          <w:lang w:val="en-US" w:eastAsia="de-DE"/>
        </w:rPr>
      </w:pPr>
      <w:r w:rsidRPr="00DE4CD2">
        <w:rPr>
          <w:rFonts w:asciiTheme="majorHAnsi" w:hAnsiTheme="majorHAnsi" w:cstheme="majorHAnsi"/>
          <w:noProof/>
        </w:rPr>
        <w:t>2.4</w:t>
      </w:r>
      <w:r w:rsidRPr="00DE4CD2">
        <w:rPr>
          <w:rFonts w:asciiTheme="majorHAnsi" w:eastAsiaTheme="minorEastAsia" w:hAnsiTheme="majorHAnsi" w:cstheme="majorHAnsi"/>
          <w:noProof/>
          <w:sz w:val="22"/>
          <w:szCs w:val="22"/>
          <w:lang w:val="en-US" w:eastAsia="de-DE"/>
        </w:rPr>
        <w:tab/>
      </w:r>
      <w:r w:rsidRPr="00DE4CD2">
        <w:rPr>
          <w:rFonts w:asciiTheme="majorHAnsi" w:hAnsiTheme="majorHAnsi" w:cstheme="majorHAnsi"/>
          <w:noProof/>
        </w:rPr>
        <w:t>Group 4 – Datasets supporting policy learning</w:t>
      </w:r>
      <w:r w:rsidRPr="00DE4CD2">
        <w:rPr>
          <w:rFonts w:asciiTheme="majorHAnsi" w:hAnsiTheme="majorHAnsi" w:cstheme="majorHAnsi"/>
          <w:noProof/>
        </w:rPr>
        <w:tab/>
      </w:r>
      <w:r w:rsidRPr="00DE4CD2">
        <w:rPr>
          <w:rFonts w:asciiTheme="majorHAnsi" w:hAnsiTheme="majorHAnsi" w:cstheme="majorHAnsi"/>
          <w:noProof/>
        </w:rPr>
        <w:fldChar w:fldCharType="begin"/>
      </w:r>
      <w:r w:rsidRPr="00DE4CD2">
        <w:rPr>
          <w:rFonts w:asciiTheme="majorHAnsi" w:hAnsiTheme="majorHAnsi" w:cstheme="majorHAnsi"/>
          <w:noProof/>
        </w:rPr>
        <w:instrText xml:space="preserve"> PAGEREF _Toc153536135 \h </w:instrText>
      </w:r>
      <w:r w:rsidRPr="00DE4CD2">
        <w:rPr>
          <w:rFonts w:asciiTheme="majorHAnsi" w:hAnsiTheme="majorHAnsi" w:cstheme="majorHAnsi"/>
          <w:noProof/>
        </w:rPr>
      </w:r>
      <w:r w:rsidRPr="00DE4CD2">
        <w:rPr>
          <w:rFonts w:asciiTheme="majorHAnsi" w:hAnsiTheme="majorHAnsi" w:cstheme="majorHAnsi"/>
          <w:noProof/>
        </w:rPr>
        <w:fldChar w:fldCharType="separate"/>
      </w:r>
      <w:r w:rsidRPr="00DE4CD2">
        <w:rPr>
          <w:rFonts w:asciiTheme="majorHAnsi" w:hAnsiTheme="majorHAnsi" w:cstheme="majorHAnsi"/>
          <w:noProof/>
        </w:rPr>
        <w:t>46</w:t>
      </w:r>
      <w:r w:rsidRPr="00DE4CD2">
        <w:rPr>
          <w:rFonts w:asciiTheme="majorHAnsi" w:hAnsiTheme="majorHAnsi" w:cstheme="majorHAnsi"/>
          <w:noProof/>
        </w:rPr>
        <w:fldChar w:fldCharType="end"/>
      </w:r>
    </w:p>
    <w:p w14:paraId="794C9141" w14:textId="4EAB6445" w:rsidR="00880919" w:rsidRPr="00DE4CD2" w:rsidRDefault="00880919">
      <w:pPr>
        <w:pStyle w:val="Verzeichnis3"/>
        <w:tabs>
          <w:tab w:val="left" w:pos="1200"/>
          <w:tab w:val="right" w:leader="dot" w:pos="9622"/>
        </w:tabs>
        <w:rPr>
          <w:rFonts w:asciiTheme="majorHAnsi" w:eastAsiaTheme="minorEastAsia" w:hAnsiTheme="majorHAnsi" w:cstheme="majorHAnsi"/>
          <w:noProof/>
          <w:sz w:val="22"/>
          <w:szCs w:val="22"/>
          <w:lang w:val="de-DE" w:eastAsia="de-DE"/>
        </w:rPr>
      </w:pPr>
      <w:r w:rsidRPr="00DE4CD2">
        <w:rPr>
          <w:rFonts w:asciiTheme="majorHAnsi" w:hAnsiTheme="majorHAnsi" w:cstheme="majorHAnsi"/>
          <w:noProof/>
        </w:rPr>
        <w:t>2.4.1</w:t>
      </w:r>
      <w:r w:rsidRPr="00DE4CD2">
        <w:rPr>
          <w:rFonts w:asciiTheme="majorHAnsi" w:eastAsiaTheme="minorEastAsia" w:hAnsiTheme="majorHAnsi" w:cstheme="majorHAnsi"/>
          <w:noProof/>
          <w:sz w:val="22"/>
          <w:szCs w:val="22"/>
          <w:lang w:val="de-DE" w:eastAsia="de-DE"/>
        </w:rPr>
        <w:tab/>
      </w:r>
      <w:r w:rsidRPr="00DE4CD2">
        <w:rPr>
          <w:rFonts w:asciiTheme="majorHAnsi" w:hAnsiTheme="majorHAnsi" w:cstheme="majorHAnsi"/>
          <w:noProof/>
        </w:rPr>
        <w:t>SIPER</w:t>
      </w:r>
      <w:r w:rsidRPr="00DE4CD2">
        <w:rPr>
          <w:rFonts w:asciiTheme="majorHAnsi" w:hAnsiTheme="majorHAnsi" w:cstheme="majorHAnsi"/>
          <w:noProof/>
        </w:rPr>
        <w:tab/>
      </w:r>
      <w:r w:rsidRPr="00DE4CD2">
        <w:rPr>
          <w:rFonts w:asciiTheme="majorHAnsi" w:hAnsiTheme="majorHAnsi" w:cstheme="majorHAnsi"/>
          <w:noProof/>
        </w:rPr>
        <w:fldChar w:fldCharType="begin"/>
      </w:r>
      <w:r w:rsidRPr="00DE4CD2">
        <w:rPr>
          <w:rFonts w:asciiTheme="majorHAnsi" w:hAnsiTheme="majorHAnsi" w:cstheme="majorHAnsi"/>
          <w:noProof/>
        </w:rPr>
        <w:instrText xml:space="preserve"> PAGEREF _Toc153536136 \h </w:instrText>
      </w:r>
      <w:r w:rsidRPr="00DE4CD2">
        <w:rPr>
          <w:rFonts w:asciiTheme="majorHAnsi" w:hAnsiTheme="majorHAnsi" w:cstheme="majorHAnsi"/>
          <w:noProof/>
        </w:rPr>
      </w:r>
      <w:r w:rsidRPr="00DE4CD2">
        <w:rPr>
          <w:rFonts w:asciiTheme="majorHAnsi" w:hAnsiTheme="majorHAnsi" w:cstheme="majorHAnsi"/>
          <w:noProof/>
        </w:rPr>
        <w:fldChar w:fldCharType="separate"/>
      </w:r>
      <w:r w:rsidRPr="00DE4CD2">
        <w:rPr>
          <w:rFonts w:asciiTheme="majorHAnsi" w:hAnsiTheme="majorHAnsi" w:cstheme="majorHAnsi"/>
          <w:noProof/>
        </w:rPr>
        <w:t>46</w:t>
      </w:r>
      <w:r w:rsidRPr="00DE4CD2">
        <w:rPr>
          <w:rFonts w:asciiTheme="majorHAnsi" w:hAnsiTheme="majorHAnsi" w:cstheme="majorHAnsi"/>
          <w:noProof/>
        </w:rPr>
        <w:fldChar w:fldCharType="end"/>
      </w:r>
    </w:p>
    <w:p w14:paraId="096D741C" w14:textId="50020E77" w:rsidR="00880919" w:rsidRPr="00DE4CD2" w:rsidRDefault="00880919">
      <w:pPr>
        <w:pStyle w:val="Verzeichnis3"/>
        <w:tabs>
          <w:tab w:val="left" w:pos="1200"/>
          <w:tab w:val="right" w:leader="dot" w:pos="9622"/>
        </w:tabs>
        <w:rPr>
          <w:rFonts w:asciiTheme="majorHAnsi" w:eastAsiaTheme="minorEastAsia" w:hAnsiTheme="majorHAnsi" w:cstheme="majorHAnsi"/>
          <w:noProof/>
          <w:sz w:val="22"/>
          <w:szCs w:val="22"/>
          <w:lang w:val="de-DE" w:eastAsia="de-DE"/>
        </w:rPr>
      </w:pPr>
      <w:r w:rsidRPr="00DE4CD2">
        <w:rPr>
          <w:rFonts w:asciiTheme="majorHAnsi" w:hAnsiTheme="majorHAnsi" w:cstheme="majorHAnsi"/>
          <w:noProof/>
        </w:rPr>
        <w:t>2.4.2</w:t>
      </w:r>
      <w:r w:rsidRPr="00DE4CD2">
        <w:rPr>
          <w:rFonts w:asciiTheme="majorHAnsi" w:eastAsiaTheme="minorEastAsia" w:hAnsiTheme="majorHAnsi" w:cstheme="majorHAnsi"/>
          <w:noProof/>
          <w:sz w:val="22"/>
          <w:szCs w:val="22"/>
          <w:lang w:val="de-DE" w:eastAsia="de-DE"/>
        </w:rPr>
        <w:tab/>
      </w:r>
      <w:r w:rsidRPr="00DE4CD2">
        <w:rPr>
          <w:rFonts w:asciiTheme="majorHAnsi" w:hAnsiTheme="majorHAnsi" w:cstheme="majorHAnsi"/>
          <w:noProof/>
        </w:rPr>
        <w:t>EFIL</w:t>
      </w:r>
      <w:r w:rsidRPr="00DE4CD2">
        <w:rPr>
          <w:rFonts w:asciiTheme="majorHAnsi" w:hAnsiTheme="majorHAnsi" w:cstheme="majorHAnsi"/>
          <w:noProof/>
        </w:rPr>
        <w:tab/>
      </w:r>
      <w:r w:rsidRPr="00DE4CD2">
        <w:rPr>
          <w:rFonts w:asciiTheme="majorHAnsi" w:hAnsiTheme="majorHAnsi" w:cstheme="majorHAnsi"/>
          <w:noProof/>
        </w:rPr>
        <w:fldChar w:fldCharType="begin"/>
      </w:r>
      <w:r w:rsidRPr="00DE4CD2">
        <w:rPr>
          <w:rFonts w:asciiTheme="majorHAnsi" w:hAnsiTheme="majorHAnsi" w:cstheme="majorHAnsi"/>
          <w:noProof/>
        </w:rPr>
        <w:instrText xml:space="preserve"> PAGEREF _Toc153536137 \h </w:instrText>
      </w:r>
      <w:r w:rsidRPr="00DE4CD2">
        <w:rPr>
          <w:rFonts w:asciiTheme="majorHAnsi" w:hAnsiTheme="majorHAnsi" w:cstheme="majorHAnsi"/>
          <w:noProof/>
        </w:rPr>
      </w:r>
      <w:r w:rsidRPr="00DE4CD2">
        <w:rPr>
          <w:rFonts w:asciiTheme="majorHAnsi" w:hAnsiTheme="majorHAnsi" w:cstheme="majorHAnsi"/>
          <w:noProof/>
        </w:rPr>
        <w:fldChar w:fldCharType="separate"/>
      </w:r>
      <w:r w:rsidRPr="00DE4CD2">
        <w:rPr>
          <w:rFonts w:asciiTheme="majorHAnsi" w:hAnsiTheme="majorHAnsi" w:cstheme="majorHAnsi"/>
          <w:noProof/>
        </w:rPr>
        <w:t>51</w:t>
      </w:r>
      <w:r w:rsidRPr="00DE4CD2">
        <w:rPr>
          <w:rFonts w:asciiTheme="majorHAnsi" w:hAnsiTheme="majorHAnsi" w:cstheme="majorHAnsi"/>
          <w:noProof/>
        </w:rPr>
        <w:fldChar w:fldCharType="end"/>
      </w:r>
    </w:p>
    <w:p w14:paraId="470C15A3" w14:textId="48419A39" w:rsidR="00880919" w:rsidRPr="00DE4CD2" w:rsidRDefault="00880919">
      <w:pPr>
        <w:pStyle w:val="Verzeichnis1"/>
        <w:tabs>
          <w:tab w:val="right" w:leader="dot" w:pos="9622"/>
        </w:tabs>
        <w:rPr>
          <w:rFonts w:asciiTheme="majorHAnsi" w:eastAsiaTheme="minorEastAsia" w:hAnsiTheme="majorHAnsi" w:cstheme="majorHAnsi"/>
          <w:noProof/>
          <w:sz w:val="22"/>
          <w:szCs w:val="22"/>
          <w:lang w:val="de-DE" w:eastAsia="de-DE"/>
        </w:rPr>
      </w:pPr>
      <w:r w:rsidRPr="00DE4CD2">
        <w:rPr>
          <w:rFonts w:asciiTheme="majorHAnsi" w:hAnsiTheme="majorHAnsi" w:cstheme="majorHAnsi"/>
          <w:noProof/>
        </w:rPr>
        <w:t>References</w:t>
      </w:r>
      <w:r w:rsidRPr="00DE4CD2">
        <w:rPr>
          <w:rFonts w:asciiTheme="majorHAnsi" w:hAnsiTheme="majorHAnsi" w:cstheme="majorHAnsi"/>
          <w:noProof/>
        </w:rPr>
        <w:tab/>
      </w:r>
      <w:r w:rsidRPr="00DE4CD2">
        <w:rPr>
          <w:rFonts w:asciiTheme="majorHAnsi" w:hAnsiTheme="majorHAnsi" w:cstheme="majorHAnsi"/>
          <w:noProof/>
        </w:rPr>
        <w:fldChar w:fldCharType="begin"/>
      </w:r>
      <w:r w:rsidRPr="00DE4CD2">
        <w:rPr>
          <w:rFonts w:asciiTheme="majorHAnsi" w:hAnsiTheme="majorHAnsi" w:cstheme="majorHAnsi"/>
          <w:noProof/>
        </w:rPr>
        <w:instrText xml:space="preserve"> PAGEREF _Toc153536138 \h </w:instrText>
      </w:r>
      <w:r w:rsidRPr="00DE4CD2">
        <w:rPr>
          <w:rFonts w:asciiTheme="majorHAnsi" w:hAnsiTheme="majorHAnsi" w:cstheme="majorHAnsi"/>
          <w:noProof/>
        </w:rPr>
      </w:r>
      <w:r w:rsidRPr="00DE4CD2">
        <w:rPr>
          <w:rFonts w:asciiTheme="majorHAnsi" w:hAnsiTheme="majorHAnsi" w:cstheme="majorHAnsi"/>
          <w:noProof/>
        </w:rPr>
        <w:fldChar w:fldCharType="separate"/>
      </w:r>
      <w:r w:rsidRPr="00DE4CD2">
        <w:rPr>
          <w:rFonts w:asciiTheme="majorHAnsi" w:hAnsiTheme="majorHAnsi" w:cstheme="majorHAnsi"/>
          <w:noProof/>
        </w:rPr>
        <w:t>59</w:t>
      </w:r>
      <w:r w:rsidRPr="00DE4CD2">
        <w:rPr>
          <w:rFonts w:asciiTheme="majorHAnsi" w:hAnsiTheme="majorHAnsi" w:cstheme="majorHAnsi"/>
          <w:noProof/>
        </w:rPr>
        <w:fldChar w:fldCharType="end"/>
      </w:r>
    </w:p>
    <w:p w14:paraId="26A3A617" w14:textId="35A6E249" w:rsidR="00780E4A" w:rsidRPr="00DE4CD2" w:rsidRDefault="00D651B9" w:rsidP="00BC7F33">
      <w:pPr>
        <w:pStyle w:val="Listenabsatz"/>
        <w:spacing w:after="120" w:line="360" w:lineRule="auto"/>
        <w:jc w:val="both"/>
        <w:outlineLvl w:val="0"/>
        <w:rPr>
          <w:rStyle w:val="Fett"/>
          <w:rFonts w:asciiTheme="majorHAnsi" w:hAnsiTheme="majorHAnsi" w:cstheme="majorHAnsi"/>
          <w:sz w:val="32"/>
        </w:rPr>
      </w:pPr>
      <w:r w:rsidRPr="00DE4CD2">
        <w:rPr>
          <w:rStyle w:val="Fett"/>
          <w:rFonts w:asciiTheme="majorHAnsi" w:hAnsiTheme="majorHAnsi" w:cstheme="majorHAnsi"/>
          <w:sz w:val="32"/>
        </w:rPr>
        <w:fldChar w:fldCharType="end"/>
      </w:r>
    </w:p>
    <w:p w14:paraId="30CC9253" w14:textId="33165591" w:rsidR="00BC7F33" w:rsidRPr="00DE4CD2" w:rsidRDefault="00BC7F33" w:rsidP="00BC7F33">
      <w:pPr>
        <w:pStyle w:val="Listenabsatz"/>
        <w:spacing w:after="120" w:line="360" w:lineRule="auto"/>
        <w:jc w:val="both"/>
        <w:outlineLvl w:val="0"/>
        <w:rPr>
          <w:rStyle w:val="Fett"/>
          <w:rFonts w:asciiTheme="majorHAnsi" w:hAnsiTheme="majorHAnsi" w:cstheme="majorHAnsi"/>
          <w:sz w:val="32"/>
        </w:rPr>
      </w:pPr>
    </w:p>
    <w:p w14:paraId="7ADD663A" w14:textId="2B517D8F" w:rsidR="00BC7F33" w:rsidRPr="00DE4CD2" w:rsidRDefault="00BC7F33" w:rsidP="00BC7F33">
      <w:pPr>
        <w:pStyle w:val="Listenabsatz"/>
        <w:spacing w:after="120" w:line="360" w:lineRule="auto"/>
        <w:jc w:val="both"/>
        <w:outlineLvl w:val="0"/>
        <w:rPr>
          <w:rStyle w:val="Fett"/>
          <w:rFonts w:asciiTheme="majorHAnsi" w:hAnsiTheme="majorHAnsi" w:cstheme="majorHAnsi"/>
          <w:sz w:val="32"/>
        </w:rPr>
      </w:pPr>
    </w:p>
    <w:p w14:paraId="704A8FF8" w14:textId="6BAD46CE" w:rsidR="00BC7F33" w:rsidRPr="00DE4CD2" w:rsidRDefault="00BC7F33" w:rsidP="00BC7F33">
      <w:pPr>
        <w:pStyle w:val="Listenabsatz"/>
        <w:spacing w:after="120" w:line="360" w:lineRule="auto"/>
        <w:jc w:val="both"/>
        <w:outlineLvl w:val="0"/>
        <w:rPr>
          <w:rStyle w:val="Fett"/>
          <w:rFonts w:asciiTheme="majorHAnsi" w:hAnsiTheme="majorHAnsi" w:cstheme="majorHAnsi"/>
          <w:sz w:val="32"/>
        </w:rPr>
      </w:pPr>
    </w:p>
    <w:p w14:paraId="71824DDC" w14:textId="51FDB2AD" w:rsidR="00BC7F33" w:rsidRPr="00DE4CD2" w:rsidRDefault="00BC7F33" w:rsidP="00BC7F33">
      <w:pPr>
        <w:pStyle w:val="Listenabsatz"/>
        <w:spacing w:after="120" w:line="360" w:lineRule="auto"/>
        <w:jc w:val="both"/>
        <w:outlineLvl w:val="0"/>
        <w:rPr>
          <w:rStyle w:val="Fett"/>
          <w:rFonts w:asciiTheme="majorHAnsi" w:hAnsiTheme="majorHAnsi" w:cstheme="majorHAnsi"/>
          <w:sz w:val="32"/>
        </w:rPr>
      </w:pPr>
    </w:p>
    <w:p w14:paraId="0CBC8538" w14:textId="76A2C698" w:rsidR="00BC7F33" w:rsidRPr="00DE4CD2" w:rsidRDefault="00BC7F33" w:rsidP="00BC7F33">
      <w:pPr>
        <w:pStyle w:val="Listenabsatz"/>
        <w:spacing w:after="120" w:line="360" w:lineRule="auto"/>
        <w:jc w:val="both"/>
        <w:outlineLvl w:val="0"/>
        <w:rPr>
          <w:rStyle w:val="Fett"/>
          <w:rFonts w:asciiTheme="majorHAnsi" w:hAnsiTheme="majorHAnsi" w:cstheme="majorHAnsi"/>
          <w:sz w:val="32"/>
        </w:rPr>
      </w:pPr>
    </w:p>
    <w:p w14:paraId="5DA9A1A3" w14:textId="5FD1DB11" w:rsidR="00BC7F33" w:rsidRPr="00DE4CD2" w:rsidRDefault="00BC7F33" w:rsidP="00BC7F33">
      <w:pPr>
        <w:pStyle w:val="Listenabsatz"/>
        <w:spacing w:after="120" w:line="360" w:lineRule="auto"/>
        <w:jc w:val="both"/>
        <w:outlineLvl w:val="0"/>
        <w:rPr>
          <w:rStyle w:val="Fett"/>
          <w:rFonts w:asciiTheme="majorHAnsi" w:hAnsiTheme="majorHAnsi" w:cstheme="majorHAnsi"/>
          <w:sz w:val="32"/>
        </w:rPr>
      </w:pPr>
    </w:p>
    <w:p w14:paraId="10CE16A9" w14:textId="7CC2CFB8" w:rsidR="00BC7F33" w:rsidRPr="00DE4CD2" w:rsidRDefault="00BC7F33" w:rsidP="00BC7F33">
      <w:pPr>
        <w:pStyle w:val="Listenabsatz"/>
        <w:spacing w:after="120" w:line="360" w:lineRule="auto"/>
        <w:jc w:val="both"/>
        <w:outlineLvl w:val="0"/>
        <w:rPr>
          <w:rStyle w:val="Fett"/>
          <w:rFonts w:asciiTheme="majorHAnsi" w:hAnsiTheme="majorHAnsi" w:cstheme="majorHAnsi"/>
          <w:sz w:val="32"/>
        </w:rPr>
      </w:pPr>
    </w:p>
    <w:p w14:paraId="6F278A62" w14:textId="02C6AC6B" w:rsidR="00780E4A" w:rsidRPr="00DE4CD2" w:rsidRDefault="00DE4CD2" w:rsidP="00ED6220">
      <w:pPr>
        <w:pStyle w:val="berschrift1"/>
        <w:rPr>
          <w:rFonts w:asciiTheme="majorHAnsi" w:hAnsiTheme="majorHAnsi" w:cstheme="majorHAnsi"/>
          <w:color w:val="auto"/>
        </w:rPr>
      </w:pPr>
      <w:bookmarkStart w:id="0" w:name="_Toc153536118"/>
      <w:r>
        <w:rPr>
          <w:rFonts w:asciiTheme="majorHAnsi" w:hAnsiTheme="majorHAnsi" w:cstheme="majorHAnsi"/>
          <w:color w:val="auto"/>
        </w:rPr>
        <w:lastRenderedPageBreak/>
        <w:t>I</w:t>
      </w:r>
      <w:r w:rsidR="00ED6220" w:rsidRPr="00DE4CD2">
        <w:rPr>
          <w:rFonts w:asciiTheme="majorHAnsi" w:hAnsiTheme="majorHAnsi" w:cstheme="majorHAnsi"/>
          <w:color w:val="auto"/>
        </w:rPr>
        <w:t>ntroduction</w:t>
      </w:r>
      <w:bookmarkEnd w:id="0"/>
    </w:p>
    <w:p w14:paraId="679A885E" w14:textId="77777777" w:rsidR="00BC7F33" w:rsidRPr="00DE4CD2" w:rsidRDefault="00BC7F33" w:rsidP="00BC7F33">
      <w:pPr>
        <w:jc w:val="both"/>
        <w:rPr>
          <w:rFonts w:asciiTheme="majorHAnsi" w:hAnsiTheme="majorHAnsi" w:cstheme="majorHAnsi"/>
        </w:rPr>
      </w:pPr>
    </w:p>
    <w:p w14:paraId="2D9C3733" w14:textId="111773B5" w:rsidR="00BC7F33" w:rsidRPr="00DE4CD2" w:rsidRDefault="00BC7F33" w:rsidP="00BC7F33">
      <w:pPr>
        <w:jc w:val="both"/>
        <w:rPr>
          <w:rFonts w:asciiTheme="majorHAnsi" w:hAnsiTheme="majorHAnsi" w:cstheme="majorHAnsi"/>
        </w:rPr>
      </w:pPr>
      <w:r w:rsidRPr="00DE4CD2">
        <w:rPr>
          <w:rFonts w:asciiTheme="majorHAnsi" w:hAnsiTheme="majorHAnsi" w:cstheme="majorHAnsi"/>
        </w:rPr>
        <w:t>The RISIS datasets constitute the fundament of RISIS as an infrastructure. They are not only the basis for accessing systematic and robust, quantitative and qualitative information on research and innovation activities and related policies, but also for the construction of RISIS positioning indicators. After five years of development since 2019 (with the start of RISIS2 as a funded project), all datasets are open according to the workplan and have produced significant interest generating 430+ access requests in the RISIS datasets portal. Activities accomplished do by far not only relate to maintenance of the datasets, i.e. update and extension to keep them relevant, but also involved significant deepening activities, i.e. new database modules and contents addressing upcoming research and policy questions, including four dedicated new datasets. Maintenance and deepening have been done following the FAIR principles of scientific data management, with a special attention to the problems of data quality.</w:t>
      </w:r>
    </w:p>
    <w:p w14:paraId="5CFE7B77" w14:textId="77777777" w:rsidR="00BC7F33" w:rsidRPr="00DE4CD2" w:rsidRDefault="00BC7F33" w:rsidP="00BC7F33">
      <w:pPr>
        <w:jc w:val="both"/>
        <w:rPr>
          <w:rFonts w:asciiTheme="majorHAnsi" w:hAnsiTheme="majorHAnsi" w:cstheme="majorHAnsi"/>
        </w:rPr>
      </w:pPr>
    </w:p>
    <w:p w14:paraId="29D35933" w14:textId="51F82B81" w:rsidR="00BC7F33" w:rsidRPr="00DE4CD2" w:rsidRDefault="00BC7F33" w:rsidP="00BC7F33">
      <w:pPr>
        <w:jc w:val="both"/>
        <w:rPr>
          <w:rFonts w:asciiTheme="majorHAnsi" w:hAnsiTheme="majorHAnsi" w:cstheme="majorHAnsi"/>
        </w:rPr>
      </w:pPr>
      <w:r w:rsidRPr="00DE4CD2">
        <w:rPr>
          <w:rFonts w:asciiTheme="majorHAnsi" w:hAnsiTheme="majorHAnsi" w:cstheme="majorHAnsi"/>
        </w:rPr>
        <w:t xml:space="preserve">This report is intended to summarize jointly the status of the datasets </w:t>
      </w:r>
      <w:r w:rsidR="00B9782C" w:rsidRPr="00DE4CD2">
        <w:rPr>
          <w:rFonts w:asciiTheme="majorHAnsi" w:hAnsiTheme="majorHAnsi" w:cstheme="majorHAnsi"/>
        </w:rPr>
        <w:t>at the end of RISIS as a European project</w:t>
      </w:r>
      <w:r w:rsidRPr="00DE4CD2">
        <w:rPr>
          <w:rFonts w:asciiTheme="majorHAnsi" w:hAnsiTheme="majorHAnsi" w:cstheme="majorHAnsi"/>
        </w:rPr>
        <w:t xml:space="preserve">, their value added, illustrated by a selection of interesting use cases. The report is organized along the four main groups of datasets families: </w:t>
      </w:r>
    </w:p>
    <w:p w14:paraId="2C11D29E" w14:textId="77777777" w:rsidR="00BC7F33" w:rsidRPr="00DE4CD2" w:rsidRDefault="00BC7F33" w:rsidP="00BC7F33">
      <w:pPr>
        <w:jc w:val="both"/>
        <w:rPr>
          <w:rFonts w:asciiTheme="majorHAnsi" w:hAnsiTheme="majorHAnsi" w:cstheme="majorHAnsi"/>
        </w:rPr>
      </w:pPr>
    </w:p>
    <w:p w14:paraId="42C9D01D" w14:textId="77777777" w:rsidR="00BC7F33" w:rsidRPr="00DE4CD2" w:rsidRDefault="00BC7F33" w:rsidP="00BC7F33">
      <w:pPr>
        <w:pStyle w:val="Listenabsatz"/>
        <w:numPr>
          <w:ilvl w:val="0"/>
          <w:numId w:val="18"/>
        </w:numPr>
        <w:ind w:left="567" w:hanging="567"/>
        <w:jc w:val="both"/>
        <w:rPr>
          <w:rFonts w:asciiTheme="majorHAnsi" w:hAnsiTheme="majorHAnsi" w:cstheme="majorHAnsi"/>
        </w:rPr>
      </w:pPr>
      <w:r w:rsidRPr="00DE4CD2">
        <w:rPr>
          <w:rFonts w:asciiTheme="majorHAnsi" w:hAnsiTheme="majorHAnsi" w:cstheme="majorHAnsi"/>
        </w:rPr>
        <w:t xml:space="preserve">R&amp;D output-oriented datasets: This includes different forms of R&amp;D outputs, such as conventional ones in form of scientific publications (CWTS publication database), patenting activities (RISIS patent) and funded R&amp;D projects (EUPRO), but also two new important dimensions of non-technological innovation, including trademarks (ISI-TM database) and social innovation projects (ESID).  </w:t>
      </w:r>
    </w:p>
    <w:p w14:paraId="5341C4C5" w14:textId="77777777" w:rsidR="00BC7F33" w:rsidRPr="00DE4CD2" w:rsidRDefault="00BC7F33" w:rsidP="00BC7F33">
      <w:pPr>
        <w:pStyle w:val="Listenabsatz"/>
        <w:ind w:left="567"/>
        <w:jc w:val="both"/>
        <w:rPr>
          <w:rFonts w:asciiTheme="majorHAnsi" w:hAnsiTheme="majorHAnsi" w:cstheme="majorHAnsi"/>
        </w:rPr>
      </w:pPr>
    </w:p>
    <w:p w14:paraId="1D26AA69" w14:textId="77777777" w:rsidR="00BC7F33" w:rsidRPr="00DE4CD2" w:rsidRDefault="00BC7F33" w:rsidP="00BC7F33">
      <w:pPr>
        <w:pStyle w:val="Listenabsatz"/>
        <w:numPr>
          <w:ilvl w:val="0"/>
          <w:numId w:val="18"/>
        </w:numPr>
        <w:ind w:left="567" w:hanging="567"/>
        <w:jc w:val="both"/>
        <w:rPr>
          <w:rFonts w:asciiTheme="majorHAnsi" w:hAnsiTheme="majorHAnsi" w:cstheme="majorHAnsi"/>
        </w:rPr>
      </w:pPr>
      <w:r w:rsidRPr="00DE4CD2">
        <w:rPr>
          <w:rFonts w:asciiTheme="majorHAnsi" w:hAnsiTheme="majorHAnsi" w:cstheme="majorHAnsi"/>
        </w:rPr>
        <w:t>Firm oriented datasets with three datasets on different types of firms being the main unit of observation (including large R&amp;D performers in the CIB database, startups from the VICO database, and fast-growing mid-sized firms available from the Cheetah database) and the FIRMREG register.</w:t>
      </w:r>
    </w:p>
    <w:p w14:paraId="6F6446BF" w14:textId="77777777" w:rsidR="00BC7F33" w:rsidRPr="00DE4CD2" w:rsidRDefault="00BC7F33" w:rsidP="00BC7F33">
      <w:pPr>
        <w:pStyle w:val="Listenabsatz"/>
        <w:rPr>
          <w:rFonts w:asciiTheme="majorHAnsi" w:hAnsiTheme="majorHAnsi" w:cstheme="majorHAnsi"/>
        </w:rPr>
      </w:pPr>
    </w:p>
    <w:p w14:paraId="74FB0DF6" w14:textId="38A9E11C" w:rsidR="00BC7F33" w:rsidRPr="00DE4CD2" w:rsidRDefault="00BC7F33" w:rsidP="00BC7F33">
      <w:pPr>
        <w:pStyle w:val="Listenabsatz"/>
        <w:numPr>
          <w:ilvl w:val="0"/>
          <w:numId w:val="18"/>
        </w:numPr>
        <w:ind w:left="567" w:hanging="567"/>
        <w:jc w:val="both"/>
        <w:rPr>
          <w:rFonts w:asciiTheme="majorHAnsi" w:hAnsiTheme="majorHAnsi" w:cstheme="majorHAnsi"/>
        </w:rPr>
      </w:pPr>
      <w:r w:rsidRPr="00DE4CD2">
        <w:rPr>
          <w:rFonts w:asciiTheme="majorHAnsi" w:hAnsiTheme="majorHAnsi" w:cstheme="majorHAnsi"/>
        </w:rPr>
        <w:t>Public research and human resources: This includes two datasets on higher education, universities and public research organisations (ETER and ORGREG), and one newly developed dataset on Human resources (DDC).</w:t>
      </w:r>
    </w:p>
    <w:p w14:paraId="5E538AE1" w14:textId="77777777" w:rsidR="00BC7F33" w:rsidRPr="00DE4CD2" w:rsidRDefault="00BC7F33" w:rsidP="00BC7F33">
      <w:pPr>
        <w:pStyle w:val="Listenabsatz"/>
        <w:rPr>
          <w:rFonts w:asciiTheme="majorHAnsi" w:hAnsiTheme="majorHAnsi" w:cstheme="majorHAnsi"/>
        </w:rPr>
      </w:pPr>
    </w:p>
    <w:p w14:paraId="4603C4F6" w14:textId="77777777" w:rsidR="00BC7F33" w:rsidRPr="00DE4CD2" w:rsidRDefault="00BC7F33" w:rsidP="00BC7F33">
      <w:pPr>
        <w:pStyle w:val="Listenabsatz"/>
        <w:numPr>
          <w:ilvl w:val="0"/>
          <w:numId w:val="18"/>
        </w:numPr>
        <w:ind w:left="567" w:hanging="567"/>
        <w:jc w:val="both"/>
        <w:rPr>
          <w:rFonts w:asciiTheme="majorHAnsi" w:hAnsiTheme="majorHAnsi" w:cstheme="majorHAnsi"/>
        </w:rPr>
      </w:pPr>
      <w:r w:rsidRPr="00DE4CD2">
        <w:rPr>
          <w:rFonts w:asciiTheme="majorHAnsi" w:hAnsiTheme="majorHAnsi" w:cstheme="majorHAnsi"/>
        </w:rPr>
        <w:t xml:space="preserve">Policy-learning datasets: This category addresses long-standing issues for policymakers. It includes SIPER that is a repository of policy evaluations worldwide, and a new dataset, EFIL that aims at characterising and measuring policy mixes and instrument portfolios of policies beyond qualitative descriptions. </w:t>
      </w:r>
    </w:p>
    <w:p w14:paraId="19A7E870" w14:textId="77777777" w:rsidR="00BC7F33" w:rsidRPr="00DE4CD2" w:rsidRDefault="00BC7F33" w:rsidP="00BC7F33">
      <w:pPr>
        <w:jc w:val="both"/>
        <w:rPr>
          <w:rFonts w:asciiTheme="majorHAnsi" w:hAnsiTheme="majorHAnsi" w:cstheme="majorHAnsi"/>
        </w:rPr>
      </w:pPr>
    </w:p>
    <w:p w14:paraId="23BB40AA" w14:textId="6BA94BA1" w:rsidR="00E33FCC" w:rsidRPr="00DE4CD2" w:rsidRDefault="00B9782C" w:rsidP="00E33FCC">
      <w:pPr>
        <w:jc w:val="both"/>
        <w:rPr>
          <w:rFonts w:asciiTheme="majorHAnsi" w:hAnsiTheme="majorHAnsi" w:cstheme="majorHAnsi"/>
        </w:rPr>
      </w:pPr>
      <w:r w:rsidRPr="00DE4CD2">
        <w:rPr>
          <w:rFonts w:asciiTheme="majorHAnsi" w:hAnsiTheme="majorHAnsi" w:cstheme="majorHAnsi"/>
        </w:rPr>
        <w:t xml:space="preserve">In what follows we demonstrate for the four dataset groups the current status of development and major achievements enabled  by RISIS2 – dataset by dataset – illustrated by interesting use case done within RISIS. This report is complemented with a combined view on project-based usages in the </w:t>
      </w:r>
      <w:r w:rsidR="007C68EA" w:rsidRPr="00DE4CD2">
        <w:rPr>
          <w:rFonts w:asciiTheme="majorHAnsi" w:hAnsiTheme="majorHAnsi" w:cstheme="majorHAnsi"/>
          <w:b/>
          <w:bCs/>
        </w:rPr>
        <w:t>F</w:t>
      </w:r>
      <w:r w:rsidRPr="00DE4CD2">
        <w:rPr>
          <w:rFonts w:asciiTheme="majorHAnsi" w:hAnsiTheme="majorHAnsi" w:cstheme="majorHAnsi"/>
          <w:b/>
          <w:bCs/>
        </w:rPr>
        <w:t xml:space="preserve">inal </w:t>
      </w:r>
      <w:r w:rsidR="007C68EA" w:rsidRPr="00DE4CD2">
        <w:rPr>
          <w:rFonts w:asciiTheme="majorHAnsi" w:hAnsiTheme="majorHAnsi" w:cstheme="majorHAnsi"/>
          <w:b/>
          <w:bCs/>
        </w:rPr>
        <w:t>R</w:t>
      </w:r>
      <w:r w:rsidRPr="00DE4CD2">
        <w:rPr>
          <w:rFonts w:asciiTheme="majorHAnsi" w:hAnsiTheme="majorHAnsi" w:cstheme="majorHAnsi"/>
          <w:b/>
          <w:bCs/>
        </w:rPr>
        <w:t>eport on Access (see Deliverable D8.5)</w:t>
      </w:r>
      <w:r w:rsidRPr="00DE4CD2">
        <w:rPr>
          <w:rFonts w:asciiTheme="majorHAnsi" w:hAnsiTheme="majorHAnsi" w:cstheme="majorHAnsi"/>
        </w:rPr>
        <w:t>. Note that f</w:t>
      </w:r>
      <w:r w:rsidR="00BC7F33" w:rsidRPr="00DE4CD2">
        <w:rPr>
          <w:rFonts w:asciiTheme="majorHAnsi" w:hAnsiTheme="majorHAnsi" w:cstheme="majorHAnsi"/>
        </w:rPr>
        <w:t>our datasets that have not been maintained or deepened anymore, but are still accessible, are not part of this report (the Nano dataset, MORE and PROFILE on research careers and J</w:t>
      </w:r>
      <w:r w:rsidRPr="00DE4CD2">
        <w:rPr>
          <w:rFonts w:asciiTheme="majorHAnsi" w:hAnsiTheme="majorHAnsi" w:cstheme="majorHAnsi"/>
        </w:rPr>
        <w:t>O</w:t>
      </w:r>
      <w:r w:rsidR="00BC7F33" w:rsidRPr="00DE4CD2">
        <w:rPr>
          <w:rFonts w:asciiTheme="majorHAnsi" w:hAnsiTheme="majorHAnsi" w:cstheme="majorHAnsi"/>
        </w:rPr>
        <w:t xml:space="preserve">REP on transnational </w:t>
      </w:r>
      <w:proofErr w:type="spellStart"/>
      <w:r w:rsidR="00BC7F33" w:rsidRPr="00DE4CD2">
        <w:rPr>
          <w:rFonts w:asciiTheme="majorHAnsi" w:hAnsiTheme="majorHAnsi" w:cstheme="majorHAnsi"/>
        </w:rPr>
        <w:t>programms</w:t>
      </w:r>
      <w:proofErr w:type="spellEnd"/>
      <w:r w:rsidRPr="00DE4CD2">
        <w:rPr>
          <w:rFonts w:asciiTheme="majorHAnsi" w:hAnsiTheme="majorHAnsi" w:cstheme="majorHAnsi"/>
        </w:rPr>
        <w:t>; access statistics on them are also provided in Deliverable D8.5</w:t>
      </w:r>
      <w:r w:rsidR="00BC7F33" w:rsidRPr="00DE4CD2">
        <w:rPr>
          <w:rFonts w:asciiTheme="majorHAnsi" w:hAnsiTheme="majorHAnsi" w:cstheme="majorHAnsi"/>
        </w:rPr>
        <w:t xml:space="preserve">). </w:t>
      </w:r>
    </w:p>
    <w:p w14:paraId="342913EA" w14:textId="6CC1C1B9" w:rsidR="00DB318E" w:rsidRPr="00DE4CD2" w:rsidRDefault="00DB318E">
      <w:pPr>
        <w:rPr>
          <w:rFonts w:asciiTheme="majorHAnsi" w:hAnsiTheme="majorHAnsi" w:cstheme="majorHAnsi"/>
        </w:rPr>
      </w:pPr>
      <w:r w:rsidRPr="00DE4CD2">
        <w:rPr>
          <w:rFonts w:asciiTheme="majorHAnsi" w:hAnsiTheme="majorHAnsi" w:cstheme="majorHAnsi"/>
        </w:rPr>
        <w:br w:type="page"/>
      </w:r>
    </w:p>
    <w:p w14:paraId="6031D369" w14:textId="77777777" w:rsidR="00DB318E" w:rsidRPr="00DE4CD2" w:rsidRDefault="00DB318E">
      <w:pPr>
        <w:rPr>
          <w:rFonts w:asciiTheme="majorHAnsi" w:hAnsiTheme="majorHAnsi" w:cstheme="majorHAnsi"/>
        </w:rPr>
      </w:pPr>
    </w:p>
    <w:p w14:paraId="633DE1C3" w14:textId="78400F1D" w:rsidR="00ED6220" w:rsidRPr="00DE4CD2" w:rsidRDefault="00462963" w:rsidP="00ED6220">
      <w:pPr>
        <w:pStyle w:val="berschrift1"/>
        <w:rPr>
          <w:rFonts w:asciiTheme="majorHAnsi" w:hAnsiTheme="majorHAnsi" w:cstheme="majorHAnsi"/>
          <w:color w:val="auto"/>
        </w:rPr>
      </w:pPr>
      <w:bookmarkStart w:id="1" w:name="_Toc153536119"/>
      <w:bookmarkStart w:id="2" w:name="_Toc90991801"/>
      <w:r w:rsidRPr="00DE4CD2">
        <w:rPr>
          <w:rFonts w:asciiTheme="majorHAnsi" w:hAnsiTheme="majorHAnsi" w:cstheme="majorHAnsi"/>
          <w:color w:val="auto"/>
        </w:rPr>
        <w:t>Final status and main achievements</w:t>
      </w:r>
      <w:r w:rsidR="00DB318E" w:rsidRPr="00DE4CD2">
        <w:rPr>
          <w:rFonts w:asciiTheme="majorHAnsi" w:hAnsiTheme="majorHAnsi" w:cstheme="majorHAnsi"/>
          <w:color w:val="auto"/>
        </w:rPr>
        <w:t xml:space="preserve"> of RISIS datasets</w:t>
      </w:r>
      <w:bookmarkEnd w:id="1"/>
      <w:r w:rsidR="00DB318E" w:rsidRPr="00DE4CD2">
        <w:rPr>
          <w:rFonts w:asciiTheme="majorHAnsi" w:hAnsiTheme="majorHAnsi" w:cstheme="majorHAnsi"/>
          <w:color w:val="auto"/>
        </w:rPr>
        <w:t xml:space="preserve"> </w:t>
      </w:r>
    </w:p>
    <w:p w14:paraId="0B4CEC9A" w14:textId="211D848C" w:rsidR="005B3E1A" w:rsidRPr="00DE4CD2" w:rsidRDefault="005B3E1A" w:rsidP="005B3E1A">
      <w:pPr>
        <w:rPr>
          <w:rFonts w:asciiTheme="majorHAnsi" w:hAnsiTheme="majorHAnsi" w:cstheme="majorHAnsi"/>
        </w:rPr>
      </w:pPr>
    </w:p>
    <w:p w14:paraId="14D56B1D" w14:textId="7AAA8E3E" w:rsidR="005B3E1A" w:rsidRPr="00DE4CD2" w:rsidRDefault="005B3E1A" w:rsidP="00B402FA">
      <w:pPr>
        <w:pStyle w:val="berschrift2"/>
        <w:rPr>
          <w:rFonts w:asciiTheme="majorHAnsi" w:hAnsiTheme="majorHAnsi" w:cstheme="majorHAnsi"/>
          <w:color w:val="auto"/>
        </w:rPr>
      </w:pPr>
      <w:bookmarkStart w:id="3" w:name="_Toc153536120"/>
      <w:r w:rsidRPr="00DE4CD2">
        <w:rPr>
          <w:rFonts w:asciiTheme="majorHAnsi" w:hAnsiTheme="majorHAnsi" w:cstheme="majorHAnsi"/>
          <w:color w:val="auto"/>
        </w:rPr>
        <w:t>Group 1 – Datasets focused on R&amp;D Markers and Outputs</w:t>
      </w:r>
      <w:bookmarkEnd w:id="3"/>
    </w:p>
    <w:p w14:paraId="7B9ABF5B" w14:textId="77777777" w:rsidR="00FF0B92" w:rsidRPr="00DE4CD2" w:rsidRDefault="00FF0B92" w:rsidP="00FF0B92">
      <w:pPr>
        <w:pStyle w:val="berschrift3"/>
        <w:rPr>
          <w:rFonts w:asciiTheme="majorHAnsi" w:hAnsiTheme="majorHAnsi" w:cstheme="majorHAnsi"/>
          <w:color w:val="auto"/>
        </w:rPr>
      </w:pPr>
      <w:bookmarkStart w:id="4" w:name="_Toc153536121"/>
      <w:r w:rsidRPr="00DE4CD2">
        <w:rPr>
          <w:rFonts w:asciiTheme="majorHAnsi" w:hAnsiTheme="majorHAnsi" w:cstheme="majorHAnsi"/>
          <w:color w:val="auto"/>
        </w:rPr>
        <w:t>EUPRO</w:t>
      </w:r>
      <w:bookmarkEnd w:id="4"/>
    </w:p>
    <w:p w14:paraId="4A164076" w14:textId="6E3F5C04" w:rsidR="00FF0B92" w:rsidRPr="00DE4CD2" w:rsidRDefault="00FF0B92" w:rsidP="00FF0B92">
      <w:pPr>
        <w:rPr>
          <w:rFonts w:asciiTheme="majorHAnsi" w:hAnsiTheme="majorHAnsi" w:cstheme="majorHAnsi"/>
        </w:rPr>
      </w:pPr>
    </w:p>
    <w:p w14:paraId="7D7C5A4F" w14:textId="77777777" w:rsidR="00FF0B92" w:rsidRPr="00DE4CD2" w:rsidRDefault="00FF0B92" w:rsidP="00946DAC">
      <w:pPr>
        <w:spacing w:after="240"/>
        <w:rPr>
          <w:rFonts w:asciiTheme="majorHAnsi" w:hAnsiTheme="majorHAnsi" w:cstheme="majorHAnsi"/>
          <w:b/>
          <w:bCs/>
          <w:i/>
          <w:iCs/>
        </w:rPr>
      </w:pPr>
      <w:r w:rsidRPr="00DE4CD2">
        <w:rPr>
          <w:rFonts w:asciiTheme="majorHAnsi" w:hAnsiTheme="majorHAnsi" w:cstheme="majorHAnsi"/>
          <w:b/>
          <w:bCs/>
          <w:i/>
          <w:iCs/>
        </w:rPr>
        <w:t xml:space="preserve">Present State and value added </w:t>
      </w:r>
    </w:p>
    <w:p w14:paraId="6C1467D0" w14:textId="1EE96FA4" w:rsidR="00132C96" w:rsidRPr="00DE4CD2" w:rsidRDefault="00B34277" w:rsidP="00B34277">
      <w:pPr>
        <w:jc w:val="both"/>
        <w:rPr>
          <w:rFonts w:asciiTheme="majorHAnsi" w:hAnsiTheme="majorHAnsi" w:cstheme="majorHAnsi"/>
          <w:lang w:val="en-US"/>
        </w:rPr>
      </w:pPr>
      <w:r w:rsidRPr="00DE4CD2">
        <w:rPr>
          <w:rFonts w:asciiTheme="majorHAnsi" w:hAnsiTheme="majorHAnsi" w:cstheme="majorHAnsi"/>
          <w:lang w:val="en-US"/>
        </w:rPr>
        <w:t xml:space="preserve">EUPRO is a unique dataset providing systematic and standardized information on </w:t>
      </w:r>
      <w:r w:rsidRPr="00DE4CD2">
        <w:rPr>
          <w:rFonts w:asciiTheme="majorHAnsi" w:hAnsiTheme="majorHAnsi" w:cstheme="majorHAnsi"/>
          <w:b/>
          <w:bCs/>
          <w:lang w:val="en-US"/>
        </w:rPr>
        <w:t>R&amp;D projects</w:t>
      </w:r>
      <w:r w:rsidRPr="00DE4CD2">
        <w:rPr>
          <w:rFonts w:asciiTheme="majorHAnsi" w:hAnsiTheme="majorHAnsi" w:cstheme="majorHAnsi"/>
          <w:lang w:val="en-US"/>
        </w:rPr>
        <w:t xml:space="preserve"> and their </w:t>
      </w:r>
      <w:r w:rsidRPr="00DE4CD2">
        <w:rPr>
          <w:rFonts w:asciiTheme="majorHAnsi" w:hAnsiTheme="majorHAnsi" w:cstheme="majorHAnsi"/>
          <w:b/>
          <w:bCs/>
          <w:lang w:val="en-US"/>
        </w:rPr>
        <w:t>participating actors</w:t>
      </w:r>
      <w:r w:rsidRPr="00DE4CD2">
        <w:rPr>
          <w:rFonts w:asciiTheme="majorHAnsi" w:hAnsiTheme="majorHAnsi" w:cstheme="majorHAnsi"/>
          <w:lang w:val="en-US"/>
        </w:rPr>
        <w:t xml:space="preserve"> of different European and national R&amp;D policy </w:t>
      </w:r>
      <w:proofErr w:type="spellStart"/>
      <w:r w:rsidRPr="00DE4CD2">
        <w:rPr>
          <w:rFonts w:asciiTheme="majorHAnsi" w:hAnsiTheme="majorHAnsi" w:cstheme="majorHAnsi"/>
          <w:lang w:val="en-US"/>
        </w:rPr>
        <w:t>programmes</w:t>
      </w:r>
      <w:proofErr w:type="spellEnd"/>
      <w:r w:rsidRPr="00DE4CD2">
        <w:rPr>
          <w:rFonts w:asciiTheme="majorHAnsi" w:hAnsiTheme="majorHAnsi" w:cstheme="majorHAnsi"/>
          <w:lang w:val="en-US"/>
        </w:rPr>
        <w:t xml:space="preserve">. </w:t>
      </w:r>
      <w:r w:rsidR="00742DAF" w:rsidRPr="00DE4CD2">
        <w:rPr>
          <w:rFonts w:asciiTheme="majorHAnsi" w:hAnsiTheme="majorHAnsi" w:cstheme="majorHAnsi"/>
          <w:lang w:val="en-US"/>
        </w:rPr>
        <w:t xml:space="preserve">Here, projects are viewed as </w:t>
      </w:r>
      <w:r w:rsidR="00774D4C" w:rsidRPr="00DE4CD2">
        <w:rPr>
          <w:rFonts w:asciiTheme="majorHAnsi" w:hAnsiTheme="majorHAnsi" w:cstheme="majorHAnsi"/>
          <w:lang w:val="en-US"/>
        </w:rPr>
        <w:t xml:space="preserve">markers of ‘science in the making’ that complement classical indicators of </w:t>
      </w:r>
      <w:r w:rsidR="00742DAF" w:rsidRPr="00DE4CD2">
        <w:rPr>
          <w:rFonts w:asciiTheme="majorHAnsi" w:hAnsiTheme="majorHAnsi" w:cstheme="majorHAnsi"/>
          <w:lang w:val="en-US"/>
        </w:rPr>
        <w:t xml:space="preserve">R&amp;D </w:t>
      </w:r>
      <w:r w:rsidR="00774D4C" w:rsidRPr="00DE4CD2">
        <w:rPr>
          <w:rFonts w:asciiTheme="majorHAnsi" w:hAnsiTheme="majorHAnsi" w:cstheme="majorHAnsi"/>
          <w:lang w:val="en-US"/>
        </w:rPr>
        <w:t xml:space="preserve">output </w:t>
      </w:r>
      <w:r w:rsidR="00742DAF" w:rsidRPr="00DE4CD2">
        <w:rPr>
          <w:rFonts w:asciiTheme="majorHAnsi" w:hAnsiTheme="majorHAnsi" w:cstheme="majorHAnsi"/>
          <w:lang w:val="en-US"/>
        </w:rPr>
        <w:t>such as patents or publications</w:t>
      </w:r>
      <w:r w:rsidR="00774D4C" w:rsidRPr="00DE4CD2">
        <w:rPr>
          <w:rFonts w:asciiTheme="majorHAnsi" w:hAnsiTheme="majorHAnsi" w:cstheme="majorHAnsi"/>
          <w:lang w:val="en-US"/>
        </w:rPr>
        <w:t>.</w:t>
      </w:r>
      <w:r w:rsidR="00742DAF" w:rsidRPr="00DE4CD2">
        <w:rPr>
          <w:rFonts w:asciiTheme="majorHAnsi" w:hAnsiTheme="majorHAnsi" w:cstheme="majorHAnsi"/>
          <w:lang w:val="en-US"/>
        </w:rPr>
        <w:t xml:space="preserve"> Moreover, projects are organized in multiple teams, often located across different geographical but also disciplinary spaces (see Scherngell and Barber 2009</w:t>
      </w:r>
      <w:r w:rsidR="00132C96" w:rsidRPr="00DE4CD2">
        <w:rPr>
          <w:rFonts w:asciiTheme="majorHAnsi" w:hAnsiTheme="majorHAnsi" w:cstheme="majorHAnsi"/>
          <w:lang w:val="en-US"/>
        </w:rPr>
        <w:t xml:space="preserve">), and have become in the respect one of the most widely used indicators for capturing R&amp;D collaborations (see Scherngell 2021). </w:t>
      </w:r>
    </w:p>
    <w:p w14:paraId="49E1DA67" w14:textId="77777777" w:rsidR="00132C96" w:rsidRPr="00DE4CD2" w:rsidRDefault="00132C96" w:rsidP="00B34277">
      <w:pPr>
        <w:jc w:val="both"/>
        <w:rPr>
          <w:rFonts w:asciiTheme="majorHAnsi" w:hAnsiTheme="majorHAnsi" w:cstheme="majorHAnsi"/>
          <w:lang w:val="en-US"/>
        </w:rPr>
      </w:pPr>
    </w:p>
    <w:p w14:paraId="3FE4E879" w14:textId="47B3BBFA" w:rsidR="00B111B1" w:rsidRPr="00DE4CD2" w:rsidRDefault="00B34277" w:rsidP="00B34277">
      <w:pPr>
        <w:jc w:val="both"/>
        <w:rPr>
          <w:rFonts w:asciiTheme="majorHAnsi" w:hAnsiTheme="majorHAnsi" w:cstheme="majorHAnsi"/>
          <w:lang w:val="en-US"/>
        </w:rPr>
      </w:pPr>
      <w:r w:rsidRPr="00DE4CD2">
        <w:rPr>
          <w:rFonts w:asciiTheme="majorHAnsi" w:hAnsiTheme="majorHAnsi" w:cstheme="majorHAnsi"/>
        </w:rPr>
        <w:t>I</w:t>
      </w:r>
      <w:r w:rsidR="00132C96" w:rsidRPr="00DE4CD2">
        <w:rPr>
          <w:rFonts w:asciiTheme="majorHAnsi" w:hAnsiTheme="majorHAnsi" w:cstheme="majorHAnsi"/>
        </w:rPr>
        <w:t xml:space="preserve">n this respect, the EUPRO database </w:t>
      </w:r>
      <w:r w:rsidRPr="00DE4CD2">
        <w:rPr>
          <w:rFonts w:asciiTheme="majorHAnsi" w:hAnsiTheme="majorHAnsi" w:cstheme="majorHAnsi"/>
        </w:rPr>
        <w:t xml:space="preserve">constitutes </w:t>
      </w:r>
      <w:r w:rsidRPr="00DE4CD2">
        <w:rPr>
          <w:rFonts w:asciiTheme="majorHAnsi" w:hAnsiTheme="majorHAnsi" w:cstheme="majorHAnsi"/>
          <w:lang w:val="en-US"/>
        </w:rPr>
        <w:t>a unique information source with systematic, standardized and inter-linked information on R&amp;D projects</w:t>
      </w:r>
      <w:r w:rsidR="00132C96" w:rsidRPr="00DE4CD2">
        <w:rPr>
          <w:rFonts w:asciiTheme="majorHAnsi" w:hAnsiTheme="majorHAnsi" w:cstheme="majorHAnsi"/>
          <w:lang w:val="en-US"/>
        </w:rPr>
        <w:t xml:space="preserve">. Figure 1 illustrates the main modules of EUPRO as an umbrella of datasets </w:t>
      </w:r>
      <w:r w:rsidR="00B111B1" w:rsidRPr="00DE4CD2">
        <w:rPr>
          <w:rFonts w:asciiTheme="majorHAnsi" w:hAnsiTheme="majorHAnsi" w:cstheme="majorHAnsi"/>
          <w:lang w:val="en-US"/>
        </w:rPr>
        <w:t xml:space="preserve">collecting systematically information on R&amp;D projects funded from different Research Funding </w:t>
      </w:r>
      <w:proofErr w:type="spellStart"/>
      <w:r w:rsidR="00B111B1" w:rsidRPr="00DE4CD2">
        <w:rPr>
          <w:rFonts w:asciiTheme="majorHAnsi" w:hAnsiTheme="majorHAnsi" w:cstheme="majorHAnsi"/>
          <w:lang w:val="en-US"/>
        </w:rPr>
        <w:t>Organisations</w:t>
      </w:r>
      <w:proofErr w:type="spellEnd"/>
      <w:r w:rsidR="00B111B1" w:rsidRPr="00DE4CD2">
        <w:rPr>
          <w:rFonts w:asciiTheme="majorHAnsi" w:hAnsiTheme="majorHAnsi" w:cstheme="majorHAnsi"/>
          <w:lang w:val="en-US"/>
        </w:rPr>
        <w:t xml:space="preserve"> (RFOs). The </w:t>
      </w:r>
      <w:r w:rsidR="00B111B1" w:rsidRPr="00DE4CD2">
        <w:rPr>
          <w:rFonts w:asciiTheme="majorHAnsi" w:hAnsiTheme="majorHAnsi" w:cstheme="majorHAnsi"/>
          <w:b/>
          <w:bCs/>
          <w:lang w:val="en-US"/>
        </w:rPr>
        <w:t>EC-PRO</w:t>
      </w:r>
      <w:r w:rsidR="00B111B1" w:rsidRPr="00DE4CD2">
        <w:rPr>
          <w:rFonts w:asciiTheme="majorHAnsi" w:hAnsiTheme="majorHAnsi" w:cstheme="majorHAnsi"/>
          <w:lang w:val="en-US"/>
        </w:rPr>
        <w:t xml:space="preserve"> module covers projects funded at European or transnational level, most importantly by t</w:t>
      </w:r>
      <w:r w:rsidRPr="00DE4CD2">
        <w:rPr>
          <w:rFonts w:asciiTheme="majorHAnsi" w:hAnsiTheme="majorHAnsi" w:cstheme="majorHAnsi"/>
          <w:lang w:val="en-US"/>
        </w:rPr>
        <w:t xml:space="preserve">he European Framework </w:t>
      </w:r>
      <w:proofErr w:type="spellStart"/>
      <w:r w:rsidRPr="00DE4CD2">
        <w:rPr>
          <w:rFonts w:asciiTheme="majorHAnsi" w:hAnsiTheme="majorHAnsi" w:cstheme="majorHAnsi"/>
          <w:lang w:val="en-US"/>
        </w:rPr>
        <w:t>Programmes</w:t>
      </w:r>
      <w:proofErr w:type="spellEnd"/>
      <w:r w:rsidRPr="00DE4CD2">
        <w:rPr>
          <w:rFonts w:asciiTheme="majorHAnsi" w:hAnsiTheme="majorHAnsi" w:cstheme="majorHAnsi"/>
          <w:lang w:val="en-US"/>
        </w:rPr>
        <w:t xml:space="preserve">, </w:t>
      </w:r>
      <w:r w:rsidR="00B111B1" w:rsidRPr="00DE4CD2">
        <w:rPr>
          <w:rFonts w:asciiTheme="majorHAnsi" w:hAnsiTheme="majorHAnsi" w:cstheme="majorHAnsi"/>
          <w:lang w:val="en-US"/>
        </w:rPr>
        <w:t xml:space="preserve">while the </w:t>
      </w:r>
      <w:r w:rsidR="00B111B1" w:rsidRPr="00DE4CD2">
        <w:rPr>
          <w:rFonts w:asciiTheme="majorHAnsi" w:hAnsiTheme="majorHAnsi" w:cstheme="majorHAnsi"/>
          <w:b/>
          <w:bCs/>
          <w:lang w:val="en-US"/>
        </w:rPr>
        <w:t>NATPRO</w:t>
      </w:r>
      <w:r w:rsidR="00B111B1" w:rsidRPr="00DE4CD2">
        <w:rPr>
          <w:rFonts w:asciiTheme="majorHAnsi" w:hAnsiTheme="majorHAnsi" w:cstheme="majorHAnsi"/>
          <w:lang w:val="en-US"/>
        </w:rPr>
        <w:t xml:space="preserve"> module focuses on the collection of R&amp;D projects funded at national level by selected</w:t>
      </w:r>
      <w:r w:rsidRPr="00DE4CD2">
        <w:rPr>
          <w:rFonts w:asciiTheme="majorHAnsi" w:hAnsiTheme="majorHAnsi" w:cstheme="majorHAnsi"/>
          <w:lang w:val="en-US"/>
        </w:rPr>
        <w:t xml:space="preserve"> </w:t>
      </w:r>
      <w:r w:rsidR="00B111B1" w:rsidRPr="00DE4CD2">
        <w:rPr>
          <w:rFonts w:asciiTheme="majorHAnsi" w:hAnsiTheme="majorHAnsi" w:cstheme="majorHAnsi"/>
          <w:lang w:val="en-US"/>
        </w:rPr>
        <w:t>RFOs</w:t>
      </w:r>
      <w:r w:rsidRPr="00DE4CD2">
        <w:rPr>
          <w:rFonts w:asciiTheme="majorHAnsi" w:hAnsiTheme="majorHAnsi" w:cstheme="majorHAnsi"/>
          <w:lang w:val="en-US"/>
        </w:rPr>
        <w:t xml:space="preserve"> (currently covering </w:t>
      </w:r>
      <w:r w:rsidR="008672BE" w:rsidRPr="00DE4CD2">
        <w:rPr>
          <w:rFonts w:asciiTheme="majorHAnsi" w:hAnsiTheme="majorHAnsi" w:cstheme="majorHAnsi"/>
          <w:lang w:val="en-US"/>
        </w:rPr>
        <w:t>16</w:t>
      </w:r>
      <w:r w:rsidRPr="00DE4CD2">
        <w:rPr>
          <w:rFonts w:asciiTheme="majorHAnsi" w:hAnsiTheme="majorHAnsi" w:cstheme="majorHAnsi"/>
          <w:lang w:val="en-US"/>
        </w:rPr>
        <w:t xml:space="preserve"> European countries). </w:t>
      </w:r>
    </w:p>
    <w:p w14:paraId="5262C741" w14:textId="77777777" w:rsidR="00B111B1" w:rsidRPr="00DE4CD2" w:rsidRDefault="00B111B1" w:rsidP="00B34277">
      <w:pPr>
        <w:jc w:val="both"/>
        <w:rPr>
          <w:rFonts w:asciiTheme="majorHAnsi" w:hAnsiTheme="majorHAnsi" w:cstheme="majorHAnsi"/>
          <w:lang w:val="en-US"/>
        </w:rPr>
      </w:pPr>
    </w:p>
    <w:p w14:paraId="3DF505B5" w14:textId="77777777" w:rsidR="00B111B1" w:rsidRPr="00DE4CD2" w:rsidRDefault="00B111B1" w:rsidP="00B111B1">
      <w:pPr>
        <w:pStyle w:val="Beschriftung"/>
        <w:keepNext/>
        <w:rPr>
          <w:rFonts w:asciiTheme="majorHAnsi" w:hAnsiTheme="majorHAnsi" w:cstheme="majorHAnsi"/>
          <w:color w:val="auto"/>
          <w:sz w:val="24"/>
          <w:szCs w:val="24"/>
        </w:rPr>
      </w:pPr>
      <w:r w:rsidRPr="00DE4CD2">
        <w:rPr>
          <w:rFonts w:asciiTheme="majorHAnsi" w:hAnsiTheme="majorHAnsi" w:cstheme="majorHAnsi"/>
          <w:color w:val="auto"/>
          <w:sz w:val="24"/>
          <w:szCs w:val="24"/>
        </w:rPr>
        <w:t xml:space="preserve">Figure 1: EUPRO as an umbrella for datasets on project-based R&amp;D collaboration in Europe </w:t>
      </w:r>
    </w:p>
    <w:p w14:paraId="7BE8B66F" w14:textId="77777777" w:rsidR="00B111B1" w:rsidRPr="00DE4CD2" w:rsidRDefault="00B111B1" w:rsidP="00B111B1">
      <w:pPr>
        <w:spacing w:line="276" w:lineRule="auto"/>
        <w:jc w:val="both"/>
        <w:rPr>
          <w:rFonts w:asciiTheme="majorHAnsi" w:hAnsiTheme="majorHAnsi" w:cstheme="majorHAnsi"/>
        </w:rPr>
      </w:pPr>
      <w:r w:rsidRPr="00DE4CD2">
        <w:rPr>
          <w:rFonts w:asciiTheme="majorHAnsi" w:hAnsiTheme="majorHAnsi" w:cstheme="majorHAnsi"/>
          <w:noProof/>
        </w:rPr>
        <w:drawing>
          <wp:inline distT="0" distB="0" distL="0" distR="0" wp14:anchorId="3C9891B4" wp14:editId="11BBA2BF">
            <wp:extent cx="4580409" cy="2674961"/>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02485" cy="2687854"/>
                    </a:xfrm>
                    <a:prstGeom prst="rect">
                      <a:avLst/>
                    </a:prstGeom>
                    <a:noFill/>
                  </pic:spPr>
                </pic:pic>
              </a:graphicData>
            </a:graphic>
          </wp:inline>
        </w:drawing>
      </w:r>
      <w:r w:rsidRPr="00DE4CD2">
        <w:rPr>
          <w:rFonts w:asciiTheme="majorHAnsi" w:hAnsiTheme="majorHAnsi" w:cstheme="majorHAnsi"/>
        </w:rPr>
        <w:t xml:space="preserve"> </w:t>
      </w:r>
    </w:p>
    <w:p w14:paraId="77D56ED8" w14:textId="504037E5" w:rsidR="00132C96" w:rsidRPr="00DE4CD2" w:rsidRDefault="00F15FFA" w:rsidP="00B34277">
      <w:pPr>
        <w:jc w:val="both"/>
        <w:rPr>
          <w:rFonts w:asciiTheme="majorHAnsi" w:hAnsiTheme="majorHAnsi" w:cstheme="majorHAnsi"/>
          <w:lang w:val="en-US"/>
        </w:rPr>
      </w:pPr>
      <w:r w:rsidRPr="00DE4CD2">
        <w:rPr>
          <w:rFonts w:asciiTheme="majorHAnsi" w:hAnsiTheme="majorHAnsi" w:cstheme="majorHAnsi"/>
          <w:lang w:val="en-US"/>
        </w:rPr>
        <w:t xml:space="preserve">Figure 2 provides an overview of the basic structure of the EUPRO modules and linkages to external </w:t>
      </w:r>
      <w:proofErr w:type="spellStart"/>
      <w:r w:rsidRPr="00DE4CD2">
        <w:rPr>
          <w:rFonts w:asciiTheme="majorHAnsi" w:hAnsiTheme="majorHAnsi" w:cstheme="majorHAnsi"/>
          <w:lang w:val="en-US"/>
        </w:rPr>
        <w:t>organisation</w:t>
      </w:r>
      <w:proofErr w:type="spellEnd"/>
      <w:r w:rsidRPr="00DE4CD2">
        <w:rPr>
          <w:rFonts w:asciiTheme="majorHAnsi" w:hAnsiTheme="majorHAnsi" w:cstheme="majorHAnsi"/>
          <w:lang w:val="en-US"/>
        </w:rPr>
        <w:t xml:space="preserve"> registers (www.risis2.eu/risis-organisation-registers), namely </w:t>
      </w:r>
      <w:proofErr w:type="spellStart"/>
      <w:r w:rsidRPr="00DE4CD2">
        <w:rPr>
          <w:rFonts w:asciiTheme="majorHAnsi" w:hAnsiTheme="majorHAnsi" w:cstheme="majorHAnsi"/>
          <w:lang w:val="en-US"/>
        </w:rPr>
        <w:t>OrgReg</w:t>
      </w:r>
      <w:proofErr w:type="spellEnd"/>
      <w:r w:rsidRPr="00DE4CD2">
        <w:rPr>
          <w:rFonts w:asciiTheme="majorHAnsi" w:hAnsiTheme="majorHAnsi" w:cstheme="majorHAnsi"/>
          <w:lang w:val="en-US"/>
        </w:rPr>
        <w:t xml:space="preserve"> (the RISIS register on public research) and </w:t>
      </w:r>
      <w:proofErr w:type="spellStart"/>
      <w:r w:rsidRPr="00DE4CD2">
        <w:rPr>
          <w:rFonts w:asciiTheme="majorHAnsi" w:hAnsiTheme="majorHAnsi" w:cstheme="majorHAnsi"/>
          <w:lang w:val="en-US"/>
        </w:rPr>
        <w:t>FirmReg</w:t>
      </w:r>
      <w:proofErr w:type="spellEnd"/>
      <w:r w:rsidRPr="00DE4CD2">
        <w:rPr>
          <w:rFonts w:asciiTheme="majorHAnsi" w:hAnsiTheme="majorHAnsi" w:cstheme="majorHAnsi"/>
          <w:lang w:val="en-US"/>
        </w:rPr>
        <w:t xml:space="preserve"> (the RISIS register on firms), enabling actor-level </w:t>
      </w:r>
      <w:proofErr w:type="spellStart"/>
      <w:r w:rsidRPr="00DE4CD2">
        <w:rPr>
          <w:rFonts w:asciiTheme="majorHAnsi" w:hAnsiTheme="majorHAnsi" w:cstheme="majorHAnsi"/>
          <w:lang w:val="en-US"/>
        </w:rPr>
        <w:lastRenderedPageBreak/>
        <w:t>harmonisation</w:t>
      </w:r>
      <w:proofErr w:type="spellEnd"/>
      <w:r w:rsidRPr="00DE4CD2">
        <w:rPr>
          <w:rFonts w:asciiTheme="majorHAnsi" w:hAnsiTheme="majorHAnsi" w:cstheme="majorHAnsi"/>
          <w:lang w:val="en-US"/>
        </w:rPr>
        <w:t xml:space="preserve"> across the different modules of EUPRO, but also to other RISIS datasets. Moreover, figure 2 also points to two important integrative dimensions and functionalities of EUPRO, that is first, the geocoding at the level of addresses of participants to projects, and second, the thematic breakdown of projects going beyond standard classification, focusing on policy relevant topics such as Key Enabling Technologies (KETs) and Sustainable Development Goals (SDGs). This has made EUPRO also to one of the main integrative datasets of RISIS overall, contributing to the registers but also to all indicator activities (KNOWMAK, </w:t>
      </w:r>
      <w:proofErr w:type="spellStart"/>
      <w:r w:rsidRPr="00DE4CD2">
        <w:rPr>
          <w:rFonts w:asciiTheme="majorHAnsi" w:hAnsiTheme="majorHAnsi" w:cstheme="majorHAnsi"/>
          <w:lang w:val="en-US"/>
        </w:rPr>
        <w:t>OrgReg</w:t>
      </w:r>
      <w:proofErr w:type="spellEnd"/>
      <w:r w:rsidRPr="00DE4CD2">
        <w:rPr>
          <w:rFonts w:asciiTheme="majorHAnsi" w:hAnsiTheme="majorHAnsi" w:cstheme="majorHAnsi"/>
          <w:lang w:val="en-US"/>
        </w:rPr>
        <w:t xml:space="preserve"> indicators module, </w:t>
      </w:r>
      <w:proofErr w:type="spellStart"/>
      <w:r w:rsidRPr="00DE4CD2">
        <w:rPr>
          <w:rFonts w:asciiTheme="majorHAnsi" w:hAnsiTheme="majorHAnsi" w:cstheme="majorHAnsi"/>
          <w:lang w:val="en-US"/>
        </w:rPr>
        <w:t>Cinnob</w:t>
      </w:r>
      <w:proofErr w:type="spellEnd"/>
      <w:r w:rsidRPr="00DE4CD2">
        <w:rPr>
          <w:rFonts w:asciiTheme="majorHAnsi" w:hAnsiTheme="majorHAnsi" w:cstheme="majorHAnsi"/>
          <w:lang w:val="en-US"/>
        </w:rPr>
        <w:t xml:space="preserve">, </w:t>
      </w:r>
      <w:proofErr w:type="spellStart"/>
      <w:r w:rsidRPr="00DE4CD2">
        <w:rPr>
          <w:rFonts w:asciiTheme="majorHAnsi" w:hAnsiTheme="majorHAnsi" w:cstheme="majorHAnsi"/>
          <w:lang w:val="en-US"/>
        </w:rPr>
        <w:t>FirmReg</w:t>
      </w:r>
      <w:proofErr w:type="spellEnd"/>
      <w:r w:rsidRPr="00DE4CD2">
        <w:rPr>
          <w:rFonts w:asciiTheme="majorHAnsi" w:hAnsiTheme="majorHAnsi" w:cstheme="majorHAnsi"/>
          <w:lang w:val="en-US"/>
        </w:rPr>
        <w:t xml:space="preserve"> indicators, etc.). </w:t>
      </w:r>
    </w:p>
    <w:p w14:paraId="0E2C9D07" w14:textId="77777777" w:rsidR="00B111B1" w:rsidRPr="00DE4CD2" w:rsidRDefault="00B111B1" w:rsidP="00B111B1">
      <w:pPr>
        <w:pBdr>
          <w:top w:val="none" w:sz="0" w:space="0" w:color="auto"/>
          <w:left w:val="none" w:sz="0" w:space="0" w:color="auto"/>
          <w:bottom w:val="none" w:sz="0" w:space="0" w:color="auto"/>
          <w:right w:val="none" w:sz="0" w:space="0" w:color="auto"/>
          <w:between w:val="none" w:sz="0" w:space="0" w:color="auto"/>
        </w:pBdr>
        <w:jc w:val="center"/>
        <w:rPr>
          <w:rFonts w:asciiTheme="majorHAnsi" w:eastAsiaTheme="minorEastAsia" w:hAnsiTheme="majorHAnsi" w:cstheme="majorHAnsi"/>
          <w:i/>
        </w:rPr>
      </w:pPr>
    </w:p>
    <w:p w14:paraId="59BFB554" w14:textId="75D841C3" w:rsidR="008F44B7" w:rsidRPr="00DE4CD2" w:rsidRDefault="008F44B7" w:rsidP="008F44B7">
      <w:pPr>
        <w:pStyle w:val="Beschriftung"/>
        <w:keepNext/>
        <w:rPr>
          <w:rFonts w:asciiTheme="majorHAnsi" w:hAnsiTheme="majorHAnsi" w:cstheme="majorHAnsi"/>
          <w:color w:val="auto"/>
          <w:sz w:val="24"/>
          <w:szCs w:val="24"/>
        </w:rPr>
      </w:pPr>
      <w:r w:rsidRPr="00DE4CD2">
        <w:rPr>
          <w:rFonts w:asciiTheme="majorHAnsi" w:hAnsiTheme="majorHAnsi" w:cstheme="majorHAnsi"/>
          <w:color w:val="auto"/>
          <w:sz w:val="24"/>
          <w:szCs w:val="24"/>
        </w:rPr>
        <w:t>Figure 2: EUPRO basic structure</w:t>
      </w:r>
    </w:p>
    <w:p w14:paraId="65278076" w14:textId="7628167C" w:rsidR="008F44B7" w:rsidRPr="00DE4CD2" w:rsidRDefault="00723E3E" w:rsidP="00B34277">
      <w:pPr>
        <w:jc w:val="both"/>
        <w:rPr>
          <w:rFonts w:asciiTheme="majorHAnsi" w:hAnsiTheme="majorHAnsi" w:cstheme="majorHAnsi"/>
        </w:rPr>
      </w:pPr>
      <w:r w:rsidRPr="00DE4CD2">
        <w:rPr>
          <w:rFonts w:asciiTheme="majorHAnsi" w:hAnsiTheme="majorHAnsi" w:cstheme="majorHAnsi"/>
          <w:noProof/>
        </w:rPr>
        <w:drawing>
          <wp:inline distT="0" distB="0" distL="0" distR="0" wp14:anchorId="7AF39425" wp14:editId="0FCDE9FE">
            <wp:extent cx="5915095" cy="3816350"/>
            <wp:effectExtent l="0" t="0" r="9525" b="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2560" cy="3834070"/>
                    </a:xfrm>
                    <a:prstGeom prst="rect">
                      <a:avLst/>
                    </a:prstGeom>
                    <a:noFill/>
                    <a:ln>
                      <a:noFill/>
                    </a:ln>
                  </pic:spPr>
                </pic:pic>
              </a:graphicData>
            </a:graphic>
          </wp:inline>
        </w:drawing>
      </w:r>
    </w:p>
    <w:p w14:paraId="348CFBAB" w14:textId="77777777" w:rsidR="00B34277" w:rsidRPr="00DE4CD2" w:rsidRDefault="00B34277" w:rsidP="007E1A47">
      <w:pPr>
        <w:rPr>
          <w:rFonts w:asciiTheme="majorHAnsi" w:hAnsiTheme="majorHAnsi" w:cstheme="majorHAnsi"/>
          <w:b/>
          <w:bCs/>
          <w:i/>
          <w:iCs/>
          <w:lang w:val="en-US"/>
        </w:rPr>
      </w:pPr>
    </w:p>
    <w:p w14:paraId="7A266AA9" w14:textId="44358944" w:rsidR="00B34277" w:rsidRPr="00DE4CD2" w:rsidRDefault="007E1A47" w:rsidP="00946DAC">
      <w:pPr>
        <w:spacing w:after="240"/>
        <w:rPr>
          <w:rFonts w:asciiTheme="majorHAnsi" w:hAnsiTheme="majorHAnsi" w:cstheme="majorHAnsi"/>
          <w:b/>
          <w:bCs/>
          <w:i/>
          <w:iCs/>
        </w:rPr>
      </w:pPr>
      <w:r w:rsidRPr="00DE4CD2">
        <w:rPr>
          <w:rFonts w:asciiTheme="majorHAnsi" w:hAnsiTheme="majorHAnsi" w:cstheme="majorHAnsi"/>
          <w:b/>
          <w:bCs/>
          <w:i/>
          <w:iCs/>
        </w:rPr>
        <w:t>Main achievement</w:t>
      </w:r>
      <w:r w:rsidR="00695CB7" w:rsidRPr="00DE4CD2">
        <w:rPr>
          <w:rFonts w:asciiTheme="majorHAnsi" w:hAnsiTheme="majorHAnsi" w:cstheme="majorHAnsi"/>
          <w:b/>
          <w:bCs/>
          <w:i/>
          <w:iCs/>
        </w:rPr>
        <w:t>s</w:t>
      </w:r>
    </w:p>
    <w:p w14:paraId="326DE73B" w14:textId="30459E56" w:rsidR="00CF2500" w:rsidRPr="00DE4CD2" w:rsidRDefault="008A4E4C" w:rsidP="00CF2500">
      <w:pPr>
        <w:jc w:val="both"/>
        <w:rPr>
          <w:rFonts w:asciiTheme="majorHAnsi" w:hAnsiTheme="majorHAnsi" w:cstheme="majorHAnsi"/>
          <w:lang w:val="en-US"/>
        </w:rPr>
      </w:pPr>
      <w:r w:rsidRPr="00DE4CD2">
        <w:rPr>
          <w:rFonts w:asciiTheme="majorHAnsi" w:hAnsiTheme="majorHAnsi" w:cstheme="majorHAnsi"/>
          <w:lang w:val="en-US"/>
        </w:rPr>
        <w:t xml:space="preserve">Table 1 contains an overview of the main achievements of EUPRO that RISIS 2 enabled. In essence, there are two main dimension to be distinguished. </w:t>
      </w:r>
      <w:r w:rsidRPr="00DE4CD2">
        <w:rPr>
          <w:rFonts w:asciiTheme="majorHAnsi" w:hAnsiTheme="majorHAnsi" w:cstheme="majorHAnsi"/>
          <w:i/>
          <w:iCs/>
          <w:lang w:val="en-US"/>
        </w:rPr>
        <w:t>First</w:t>
      </w:r>
      <w:r w:rsidRPr="00DE4CD2">
        <w:rPr>
          <w:rFonts w:asciiTheme="majorHAnsi" w:hAnsiTheme="majorHAnsi" w:cstheme="majorHAnsi"/>
          <w:lang w:val="en-US"/>
        </w:rPr>
        <w:t xml:space="preserve">, RISIS2 not only co-funded the usual annual update of the EC-PRO module of EUPRO, but even more importantly allowed EUPRO to be advanced in terms of </w:t>
      </w:r>
      <w:proofErr w:type="spellStart"/>
      <w:r w:rsidRPr="00DE4CD2">
        <w:rPr>
          <w:rFonts w:asciiTheme="majorHAnsi" w:hAnsiTheme="majorHAnsi" w:cstheme="majorHAnsi"/>
          <w:lang w:val="en-US"/>
        </w:rPr>
        <w:t>harmonizsation</w:t>
      </w:r>
      <w:proofErr w:type="spellEnd"/>
      <w:r w:rsidRPr="00DE4CD2">
        <w:rPr>
          <w:rFonts w:asciiTheme="majorHAnsi" w:hAnsiTheme="majorHAnsi" w:cstheme="majorHAnsi"/>
          <w:lang w:val="en-US"/>
        </w:rPr>
        <w:t xml:space="preserve"> and integration with other RISIS datasets, in particular via the matching of participants to projects to the RISIS registers (</w:t>
      </w:r>
      <w:proofErr w:type="spellStart"/>
      <w:r w:rsidRPr="00DE4CD2">
        <w:rPr>
          <w:rFonts w:asciiTheme="majorHAnsi" w:hAnsiTheme="majorHAnsi" w:cstheme="majorHAnsi"/>
          <w:lang w:val="en-US"/>
        </w:rPr>
        <w:t>OrgReg</w:t>
      </w:r>
      <w:proofErr w:type="spellEnd"/>
      <w:r w:rsidRPr="00DE4CD2">
        <w:rPr>
          <w:rFonts w:asciiTheme="majorHAnsi" w:hAnsiTheme="majorHAnsi" w:cstheme="majorHAnsi"/>
          <w:lang w:val="en-US"/>
        </w:rPr>
        <w:t xml:space="preserve"> and </w:t>
      </w:r>
      <w:proofErr w:type="spellStart"/>
      <w:r w:rsidRPr="00DE4CD2">
        <w:rPr>
          <w:rFonts w:asciiTheme="majorHAnsi" w:hAnsiTheme="majorHAnsi" w:cstheme="majorHAnsi"/>
          <w:lang w:val="en-US"/>
        </w:rPr>
        <w:t>FirmReg</w:t>
      </w:r>
      <w:proofErr w:type="spellEnd"/>
      <w:r w:rsidRPr="00DE4CD2">
        <w:rPr>
          <w:rFonts w:asciiTheme="majorHAnsi" w:hAnsiTheme="majorHAnsi" w:cstheme="majorHAnsi"/>
          <w:lang w:val="en-US"/>
        </w:rPr>
        <w:t xml:space="preserve">), but also via geographical (geocoding, assignment to RISIS NUTS adapted geographical breakdown) and topical (KETs, SDGs) integration. </w:t>
      </w:r>
      <w:r w:rsidRPr="00DE4CD2">
        <w:rPr>
          <w:rFonts w:asciiTheme="majorHAnsi" w:hAnsiTheme="majorHAnsi" w:cstheme="majorHAnsi"/>
          <w:i/>
          <w:iCs/>
          <w:lang w:val="en-US"/>
        </w:rPr>
        <w:t>Second</w:t>
      </w:r>
      <w:r w:rsidRPr="00DE4CD2">
        <w:rPr>
          <w:rFonts w:asciiTheme="majorHAnsi" w:hAnsiTheme="majorHAnsi" w:cstheme="majorHAnsi"/>
          <w:lang w:val="en-US"/>
        </w:rPr>
        <w:t xml:space="preserve">, in relation to the workplan of WP9 (datasets deepening), EUPRO has shifted attention to include also nationally funded R&amp;D projects </w:t>
      </w:r>
      <w:r w:rsidR="00CF2500" w:rsidRPr="00DE4CD2">
        <w:rPr>
          <w:rFonts w:asciiTheme="majorHAnsi" w:hAnsiTheme="majorHAnsi" w:cstheme="majorHAnsi"/>
          <w:lang w:val="en-US"/>
        </w:rPr>
        <w:t>(</w:t>
      </w:r>
      <w:r w:rsidRPr="00DE4CD2">
        <w:rPr>
          <w:rFonts w:asciiTheme="majorHAnsi" w:hAnsiTheme="majorHAnsi" w:cstheme="majorHAnsi"/>
          <w:lang w:val="en-US"/>
        </w:rPr>
        <w:t xml:space="preserve">referred to as the </w:t>
      </w:r>
      <w:r w:rsidRPr="00DE4CD2">
        <w:rPr>
          <w:rFonts w:asciiTheme="majorHAnsi" w:hAnsiTheme="majorHAnsi" w:cstheme="majorHAnsi"/>
          <w:bCs/>
          <w:i/>
          <w:iCs/>
          <w:lang w:val="en-US"/>
        </w:rPr>
        <w:t>NATPRO module</w:t>
      </w:r>
      <w:r w:rsidRPr="00DE4CD2">
        <w:rPr>
          <w:rFonts w:asciiTheme="majorHAnsi" w:hAnsiTheme="majorHAnsi" w:cstheme="majorHAnsi"/>
          <w:lang w:val="en-US"/>
        </w:rPr>
        <w:t xml:space="preserve"> </w:t>
      </w:r>
      <w:r w:rsidR="00CF2500" w:rsidRPr="00DE4CD2">
        <w:rPr>
          <w:rFonts w:asciiTheme="majorHAnsi" w:hAnsiTheme="majorHAnsi" w:cstheme="majorHAnsi"/>
          <w:lang w:val="en-US"/>
        </w:rPr>
        <w:t>as described above)</w:t>
      </w:r>
      <w:r w:rsidRPr="00DE4CD2">
        <w:rPr>
          <w:rFonts w:asciiTheme="majorHAnsi" w:hAnsiTheme="majorHAnsi" w:cstheme="majorHAnsi"/>
          <w:lang w:val="en-US"/>
        </w:rPr>
        <w:t xml:space="preserve">. While it </w:t>
      </w:r>
      <w:r w:rsidR="00CF2500" w:rsidRPr="00DE4CD2">
        <w:rPr>
          <w:rFonts w:asciiTheme="majorHAnsi" w:hAnsiTheme="majorHAnsi" w:cstheme="majorHAnsi"/>
          <w:lang w:val="en-US"/>
        </w:rPr>
        <w:t xml:space="preserve">has been not feasible </w:t>
      </w:r>
      <w:r w:rsidRPr="00DE4CD2">
        <w:rPr>
          <w:rFonts w:asciiTheme="majorHAnsi" w:hAnsiTheme="majorHAnsi" w:cstheme="majorHAnsi"/>
          <w:lang w:val="en-US"/>
        </w:rPr>
        <w:t xml:space="preserve">to cover the whole landscape of national R&amp;D funding across all European countries, the </w:t>
      </w:r>
      <w:r w:rsidR="00CF2500" w:rsidRPr="00DE4CD2">
        <w:rPr>
          <w:rFonts w:asciiTheme="majorHAnsi" w:hAnsiTheme="majorHAnsi" w:cstheme="majorHAnsi"/>
          <w:lang w:val="en-US"/>
        </w:rPr>
        <w:t>activity has been</w:t>
      </w:r>
      <w:r w:rsidRPr="00DE4CD2">
        <w:rPr>
          <w:rFonts w:asciiTheme="majorHAnsi" w:hAnsiTheme="majorHAnsi" w:cstheme="majorHAnsi"/>
          <w:lang w:val="en-US"/>
        </w:rPr>
        <w:t xml:space="preserve"> designed and constructed in a modular way, delimiting its focus to specific national funding </w:t>
      </w:r>
      <w:proofErr w:type="spellStart"/>
      <w:r w:rsidRPr="00DE4CD2">
        <w:rPr>
          <w:rFonts w:asciiTheme="majorHAnsi" w:hAnsiTheme="majorHAnsi" w:cstheme="majorHAnsi"/>
          <w:lang w:val="en-US"/>
        </w:rPr>
        <w:t>programmes</w:t>
      </w:r>
      <w:proofErr w:type="spellEnd"/>
      <w:r w:rsidRPr="00DE4CD2">
        <w:rPr>
          <w:rFonts w:asciiTheme="majorHAnsi" w:hAnsiTheme="majorHAnsi" w:cstheme="majorHAnsi"/>
          <w:lang w:val="en-US"/>
        </w:rPr>
        <w:t xml:space="preserve"> and selected countries depending on data availability. However, also with a limited set of </w:t>
      </w:r>
      <w:proofErr w:type="spellStart"/>
      <w:r w:rsidRPr="00DE4CD2">
        <w:rPr>
          <w:rFonts w:asciiTheme="majorHAnsi" w:hAnsiTheme="majorHAnsi" w:cstheme="majorHAnsi"/>
          <w:lang w:val="en-US"/>
        </w:rPr>
        <w:t>programmes</w:t>
      </w:r>
      <w:proofErr w:type="spellEnd"/>
      <w:r w:rsidRPr="00DE4CD2">
        <w:rPr>
          <w:rFonts w:asciiTheme="majorHAnsi" w:hAnsiTheme="majorHAnsi" w:cstheme="majorHAnsi"/>
          <w:lang w:val="en-US"/>
        </w:rPr>
        <w:t xml:space="preserve"> and countries, the NATPRO extension is able to respond to interesting policy questions, such as investigating the relation </w:t>
      </w:r>
      <w:r w:rsidRPr="00DE4CD2">
        <w:rPr>
          <w:rFonts w:asciiTheme="majorHAnsi" w:hAnsiTheme="majorHAnsi" w:cstheme="majorHAnsi"/>
          <w:lang w:val="en-US"/>
        </w:rPr>
        <w:lastRenderedPageBreak/>
        <w:t xml:space="preserve">between national and European funding in terms of thematic complementarity and/or organizational overlapping, the structure and dynamics of multi-level networks, or the relationships between a set of characteristics of organizations (e.g. of universities taken from RISIS-ETER) and their ability to attract national vs. European funding. </w:t>
      </w:r>
      <w:r w:rsidR="00CF2500" w:rsidRPr="00DE4CD2">
        <w:rPr>
          <w:rFonts w:asciiTheme="majorHAnsi" w:hAnsiTheme="majorHAnsi" w:cstheme="majorHAnsi"/>
          <w:lang w:val="en-US"/>
        </w:rPr>
        <w:t xml:space="preserve">First access requests to address such issues have been received in 2023 (e.g. one project request on R&amp;D funding related to AI across countries, another on gender issues in national funding).  </w:t>
      </w:r>
    </w:p>
    <w:p w14:paraId="3D4DCF89" w14:textId="77777777" w:rsidR="00CF2500" w:rsidRPr="00DE4CD2" w:rsidRDefault="00CF2500" w:rsidP="00CF2500">
      <w:pPr>
        <w:jc w:val="both"/>
        <w:rPr>
          <w:rFonts w:asciiTheme="majorHAnsi" w:hAnsiTheme="majorHAnsi" w:cstheme="majorHAnsi"/>
          <w:lang w:val="en-US"/>
        </w:rPr>
      </w:pPr>
    </w:p>
    <w:p w14:paraId="65445E83" w14:textId="3D4C906F" w:rsidR="00B34277" w:rsidRPr="00DE4CD2" w:rsidRDefault="00B34277" w:rsidP="00CF2500">
      <w:pPr>
        <w:pStyle w:val="Beschriftung"/>
        <w:keepNext/>
        <w:rPr>
          <w:rFonts w:asciiTheme="majorHAnsi" w:hAnsiTheme="majorHAnsi" w:cstheme="majorHAnsi"/>
          <w:color w:val="auto"/>
          <w:sz w:val="24"/>
          <w:szCs w:val="24"/>
        </w:rPr>
      </w:pPr>
      <w:r w:rsidRPr="00DE4CD2">
        <w:rPr>
          <w:rFonts w:asciiTheme="majorHAnsi" w:hAnsiTheme="majorHAnsi" w:cstheme="majorHAnsi"/>
          <w:color w:val="auto"/>
          <w:sz w:val="24"/>
          <w:szCs w:val="24"/>
        </w:rPr>
        <w:t xml:space="preserve">Table </w:t>
      </w:r>
      <w:r w:rsidR="008A4E4C" w:rsidRPr="00DE4CD2">
        <w:rPr>
          <w:rFonts w:asciiTheme="majorHAnsi" w:hAnsiTheme="majorHAnsi" w:cstheme="majorHAnsi"/>
          <w:color w:val="auto"/>
          <w:sz w:val="24"/>
          <w:szCs w:val="24"/>
        </w:rPr>
        <w:t>1</w:t>
      </w:r>
      <w:r w:rsidRPr="00DE4CD2">
        <w:rPr>
          <w:rFonts w:asciiTheme="majorHAnsi" w:hAnsiTheme="majorHAnsi" w:cstheme="majorHAnsi"/>
          <w:color w:val="auto"/>
          <w:sz w:val="24"/>
          <w:szCs w:val="24"/>
        </w:rPr>
        <w:t xml:space="preserve"> Main achievements that RISIS 2 enabled</w:t>
      </w:r>
    </w:p>
    <w:tbl>
      <w:tblPr>
        <w:tblStyle w:val="Tabellenraster"/>
        <w:tblW w:w="9634" w:type="dxa"/>
        <w:tblLayout w:type="fixed"/>
        <w:tblLook w:val="04A0" w:firstRow="1" w:lastRow="0" w:firstColumn="1" w:lastColumn="0" w:noHBand="0" w:noVBand="1"/>
      </w:tblPr>
      <w:tblGrid>
        <w:gridCol w:w="2263"/>
        <w:gridCol w:w="7371"/>
      </w:tblGrid>
      <w:tr w:rsidR="00FC3526" w:rsidRPr="00DE4CD2" w14:paraId="3849746D" w14:textId="77777777" w:rsidTr="00695CB7">
        <w:trPr>
          <w:cantSplit/>
        </w:trPr>
        <w:tc>
          <w:tcPr>
            <w:tcW w:w="2263" w:type="dxa"/>
          </w:tcPr>
          <w:p w14:paraId="0AEAABC6" w14:textId="7E2A2A35" w:rsidR="00B34277" w:rsidRPr="00DE4CD2" w:rsidRDefault="00B34277" w:rsidP="008924F4">
            <w:pPr>
              <w:keepNext/>
              <w:keepLines/>
              <w:spacing w:before="20" w:after="20" w:line="276" w:lineRule="auto"/>
              <w:rPr>
                <w:rFonts w:asciiTheme="majorHAnsi" w:hAnsiTheme="majorHAnsi" w:cstheme="majorHAnsi"/>
                <w:b/>
                <w:sz w:val="24"/>
                <w:szCs w:val="24"/>
              </w:rPr>
            </w:pPr>
            <w:r w:rsidRPr="00DE4CD2">
              <w:rPr>
                <w:rFonts w:asciiTheme="majorHAnsi" w:hAnsiTheme="majorHAnsi" w:cstheme="majorHAnsi"/>
                <w:b/>
                <w:sz w:val="24"/>
                <w:szCs w:val="24"/>
              </w:rPr>
              <w:t xml:space="preserve">Achievement </w:t>
            </w:r>
          </w:p>
        </w:tc>
        <w:tc>
          <w:tcPr>
            <w:tcW w:w="7371" w:type="dxa"/>
          </w:tcPr>
          <w:p w14:paraId="67CC78C9" w14:textId="6551CAF2" w:rsidR="00B34277" w:rsidRPr="00DE4CD2" w:rsidRDefault="00B34277" w:rsidP="00B34277">
            <w:pPr>
              <w:keepNext/>
              <w:keepLines/>
              <w:spacing w:before="20" w:after="20" w:line="276" w:lineRule="auto"/>
              <w:rPr>
                <w:rFonts w:asciiTheme="majorHAnsi" w:hAnsiTheme="majorHAnsi" w:cstheme="majorHAnsi"/>
                <w:b/>
                <w:sz w:val="24"/>
                <w:szCs w:val="24"/>
              </w:rPr>
            </w:pPr>
            <w:r w:rsidRPr="00DE4CD2">
              <w:rPr>
                <w:rFonts w:asciiTheme="majorHAnsi" w:hAnsiTheme="majorHAnsi" w:cstheme="majorHAnsi"/>
                <w:b/>
                <w:sz w:val="24"/>
                <w:szCs w:val="24"/>
              </w:rPr>
              <w:t>Description</w:t>
            </w:r>
          </w:p>
        </w:tc>
      </w:tr>
      <w:tr w:rsidR="00FC3526" w:rsidRPr="00DE4CD2" w14:paraId="15851B09" w14:textId="77777777" w:rsidTr="00695CB7">
        <w:trPr>
          <w:cantSplit/>
        </w:trPr>
        <w:tc>
          <w:tcPr>
            <w:tcW w:w="2263" w:type="dxa"/>
          </w:tcPr>
          <w:p w14:paraId="750440ED" w14:textId="68196FE8" w:rsidR="00B34277" w:rsidRPr="00DE4CD2" w:rsidRDefault="00B34277" w:rsidP="008924F4">
            <w:pPr>
              <w:keepNext/>
              <w:keepLines/>
              <w:spacing w:before="20" w:after="20" w:line="276" w:lineRule="auto"/>
              <w:rPr>
                <w:rFonts w:asciiTheme="majorHAnsi" w:hAnsiTheme="majorHAnsi" w:cstheme="majorHAnsi"/>
                <w:b/>
                <w:bCs/>
                <w:i/>
                <w:iCs/>
                <w:sz w:val="24"/>
                <w:szCs w:val="24"/>
              </w:rPr>
            </w:pPr>
            <w:r w:rsidRPr="00DE4CD2">
              <w:rPr>
                <w:rFonts w:asciiTheme="majorHAnsi" w:hAnsiTheme="majorHAnsi" w:cstheme="majorHAnsi"/>
                <w:b/>
                <w:bCs/>
                <w:i/>
                <w:iCs/>
                <w:sz w:val="24"/>
                <w:szCs w:val="24"/>
              </w:rPr>
              <w:t>NATPRO</w:t>
            </w:r>
          </w:p>
        </w:tc>
        <w:tc>
          <w:tcPr>
            <w:tcW w:w="7371" w:type="dxa"/>
          </w:tcPr>
          <w:p w14:paraId="3F3BC14E" w14:textId="08D3704C" w:rsidR="00B34277" w:rsidRPr="00DE4CD2" w:rsidRDefault="00CF2500" w:rsidP="00CF2500">
            <w:pPr>
              <w:keepNext/>
              <w:keepLines/>
              <w:spacing w:before="20" w:after="20" w:line="276" w:lineRule="auto"/>
              <w:rPr>
                <w:rFonts w:asciiTheme="majorHAnsi" w:hAnsiTheme="majorHAnsi" w:cstheme="majorHAnsi"/>
                <w:sz w:val="24"/>
                <w:szCs w:val="24"/>
              </w:rPr>
            </w:pPr>
            <w:r w:rsidRPr="00DE4CD2">
              <w:rPr>
                <w:rFonts w:asciiTheme="majorHAnsi" w:hAnsiTheme="majorHAnsi" w:cstheme="majorHAnsi"/>
                <w:sz w:val="24"/>
                <w:szCs w:val="24"/>
              </w:rPr>
              <w:t>Inclusion of R&amp;D projects funded at national level as an important complement to European funding</w:t>
            </w:r>
          </w:p>
        </w:tc>
      </w:tr>
      <w:tr w:rsidR="00FC3526" w:rsidRPr="00DE4CD2" w14:paraId="3F5F7BAC" w14:textId="77777777" w:rsidTr="00695CB7">
        <w:trPr>
          <w:cantSplit/>
        </w:trPr>
        <w:tc>
          <w:tcPr>
            <w:tcW w:w="2263" w:type="dxa"/>
          </w:tcPr>
          <w:p w14:paraId="2E6AF5BF" w14:textId="251632B0" w:rsidR="00B34277" w:rsidRPr="00DE4CD2" w:rsidRDefault="00B34277" w:rsidP="008924F4">
            <w:pPr>
              <w:keepNext/>
              <w:keepLines/>
              <w:spacing w:before="20" w:after="20" w:line="276" w:lineRule="auto"/>
              <w:rPr>
                <w:rFonts w:asciiTheme="majorHAnsi" w:hAnsiTheme="majorHAnsi" w:cstheme="majorHAnsi"/>
                <w:b/>
                <w:bCs/>
                <w:i/>
                <w:iCs/>
                <w:sz w:val="24"/>
                <w:szCs w:val="24"/>
              </w:rPr>
            </w:pPr>
            <w:proofErr w:type="spellStart"/>
            <w:r w:rsidRPr="00DE4CD2">
              <w:rPr>
                <w:rFonts w:asciiTheme="majorHAnsi" w:hAnsiTheme="majorHAnsi" w:cstheme="majorHAnsi"/>
                <w:b/>
                <w:bCs/>
                <w:i/>
                <w:iCs/>
                <w:sz w:val="24"/>
                <w:szCs w:val="24"/>
              </w:rPr>
              <w:t>OrgReg</w:t>
            </w:r>
            <w:proofErr w:type="spellEnd"/>
            <w:r w:rsidRPr="00DE4CD2">
              <w:rPr>
                <w:rFonts w:asciiTheme="majorHAnsi" w:hAnsiTheme="majorHAnsi" w:cstheme="majorHAnsi"/>
                <w:b/>
                <w:bCs/>
                <w:i/>
                <w:iCs/>
                <w:sz w:val="24"/>
                <w:szCs w:val="24"/>
              </w:rPr>
              <w:t xml:space="preserve"> </w:t>
            </w:r>
          </w:p>
        </w:tc>
        <w:tc>
          <w:tcPr>
            <w:tcW w:w="7371" w:type="dxa"/>
          </w:tcPr>
          <w:p w14:paraId="5862732E" w14:textId="00584C10" w:rsidR="00B34277" w:rsidRPr="00DE4CD2" w:rsidRDefault="00CF2500" w:rsidP="00CF2500">
            <w:pPr>
              <w:keepNext/>
              <w:keepLines/>
              <w:spacing w:before="20" w:after="20" w:line="276" w:lineRule="auto"/>
              <w:rPr>
                <w:rFonts w:asciiTheme="majorHAnsi" w:hAnsiTheme="majorHAnsi" w:cstheme="majorHAnsi"/>
                <w:sz w:val="24"/>
                <w:szCs w:val="24"/>
              </w:rPr>
            </w:pPr>
            <w:r w:rsidRPr="00DE4CD2">
              <w:rPr>
                <w:rFonts w:asciiTheme="majorHAnsi" w:hAnsiTheme="majorHAnsi" w:cstheme="majorHAnsi"/>
                <w:sz w:val="24"/>
                <w:szCs w:val="24"/>
              </w:rPr>
              <w:t>Harmonisation to the RISIS register on public sector research actors</w:t>
            </w:r>
          </w:p>
        </w:tc>
      </w:tr>
      <w:tr w:rsidR="00FC3526" w:rsidRPr="00DE4CD2" w14:paraId="2D2831E8" w14:textId="77777777" w:rsidTr="00695CB7">
        <w:trPr>
          <w:cantSplit/>
        </w:trPr>
        <w:tc>
          <w:tcPr>
            <w:tcW w:w="2263" w:type="dxa"/>
          </w:tcPr>
          <w:p w14:paraId="4D18595D" w14:textId="15ED32D9" w:rsidR="00B34277" w:rsidRPr="00DE4CD2" w:rsidRDefault="00B34277" w:rsidP="008924F4">
            <w:pPr>
              <w:keepNext/>
              <w:keepLines/>
              <w:spacing w:before="20" w:after="20" w:line="276" w:lineRule="auto"/>
              <w:rPr>
                <w:rFonts w:asciiTheme="majorHAnsi" w:hAnsiTheme="majorHAnsi" w:cstheme="majorHAnsi"/>
                <w:b/>
                <w:bCs/>
                <w:i/>
                <w:iCs/>
                <w:sz w:val="24"/>
                <w:szCs w:val="24"/>
              </w:rPr>
            </w:pPr>
            <w:proofErr w:type="spellStart"/>
            <w:r w:rsidRPr="00DE4CD2">
              <w:rPr>
                <w:rFonts w:asciiTheme="majorHAnsi" w:hAnsiTheme="majorHAnsi" w:cstheme="majorHAnsi"/>
                <w:b/>
                <w:bCs/>
                <w:i/>
                <w:iCs/>
                <w:sz w:val="24"/>
                <w:szCs w:val="24"/>
              </w:rPr>
              <w:t>FirmReg</w:t>
            </w:r>
            <w:proofErr w:type="spellEnd"/>
            <w:r w:rsidRPr="00DE4CD2">
              <w:rPr>
                <w:rFonts w:asciiTheme="majorHAnsi" w:hAnsiTheme="majorHAnsi" w:cstheme="majorHAnsi"/>
                <w:b/>
                <w:bCs/>
                <w:i/>
                <w:iCs/>
                <w:sz w:val="24"/>
                <w:szCs w:val="24"/>
              </w:rPr>
              <w:t xml:space="preserve"> </w:t>
            </w:r>
          </w:p>
        </w:tc>
        <w:tc>
          <w:tcPr>
            <w:tcW w:w="7371" w:type="dxa"/>
          </w:tcPr>
          <w:p w14:paraId="3A29237F" w14:textId="440E6B65" w:rsidR="00B34277" w:rsidRPr="00DE4CD2" w:rsidRDefault="00CF2500" w:rsidP="00CF2500">
            <w:pPr>
              <w:keepNext/>
              <w:keepLines/>
              <w:spacing w:before="20" w:after="20" w:line="276" w:lineRule="auto"/>
              <w:rPr>
                <w:rFonts w:asciiTheme="majorHAnsi" w:hAnsiTheme="majorHAnsi" w:cstheme="majorHAnsi"/>
                <w:sz w:val="24"/>
                <w:szCs w:val="24"/>
              </w:rPr>
            </w:pPr>
            <w:r w:rsidRPr="00DE4CD2">
              <w:rPr>
                <w:rFonts w:asciiTheme="majorHAnsi" w:hAnsiTheme="majorHAnsi" w:cstheme="majorHAnsi"/>
                <w:sz w:val="24"/>
                <w:szCs w:val="24"/>
              </w:rPr>
              <w:t>Harmonisation to the RISIS register on firms</w:t>
            </w:r>
          </w:p>
        </w:tc>
      </w:tr>
      <w:tr w:rsidR="00FC3526" w:rsidRPr="00DE4CD2" w14:paraId="573AC9F3" w14:textId="77777777" w:rsidTr="00695CB7">
        <w:trPr>
          <w:cantSplit/>
        </w:trPr>
        <w:tc>
          <w:tcPr>
            <w:tcW w:w="2263" w:type="dxa"/>
          </w:tcPr>
          <w:p w14:paraId="7A0F5E4E" w14:textId="57B297DC" w:rsidR="00B34277" w:rsidRPr="00DE4CD2" w:rsidRDefault="00B34277" w:rsidP="008924F4">
            <w:pPr>
              <w:keepNext/>
              <w:keepLines/>
              <w:spacing w:before="20" w:after="20" w:line="276" w:lineRule="auto"/>
              <w:rPr>
                <w:rFonts w:asciiTheme="majorHAnsi" w:hAnsiTheme="majorHAnsi" w:cstheme="majorHAnsi"/>
                <w:b/>
                <w:bCs/>
                <w:i/>
                <w:iCs/>
                <w:sz w:val="24"/>
                <w:szCs w:val="24"/>
              </w:rPr>
            </w:pPr>
            <w:r w:rsidRPr="00DE4CD2">
              <w:rPr>
                <w:rFonts w:asciiTheme="majorHAnsi" w:hAnsiTheme="majorHAnsi" w:cstheme="majorHAnsi"/>
                <w:b/>
                <w:bCs/>
                <w:i/>
                <w:iCs/>
                <w:sz w:val="24"/>
                <w:szCs w:val="24"/>
              </w:rPr>
              <w:t xml:space="preserve">Geocoding </w:t>
            </w:r>
          </w:p>
        </w:tc>
        <w:tc>
          <w:tcPr>
            <w:tcW w:w="7371" w:type="dxa"/>
          </w:tcPr>
          <w:p w14:paraId="3AA1CC0D" w14:textId="61F99C4E" w:rsidR="00B34277" w:rsidRPr="00DE4CD2" w:rsidRDefault="00CF2500" w:rsidP="00CF2500">
            <w:pPr>
              <w:keepNext/>
              <w:keepLines/>
              <w:spacing w:before="20" w:after="20" w:line="276" w:lineRule="auto"/>
              <w:rPr>
                <w:rFonts w:asciiTheme="majorHAnsi" w:hAnsiTheme="majorHAnsi" w:cstheme="majorHAnsi"/>
                <w:sz w:val="24"/>
                <w:szCs w:val="24"/>
              </w:rPr>
            </w:pPr>
            <w:r w:rsidRPr="00DE4CD2">
              <w:rPr>
                <w:rFonts w:asciiTheme="majorHAnsi" w:hAnsiTheme="majorHAnsi" w:cstheme="majorHAnsi"/>
                <w:sz w:val="24"/>
                <w:szCs w:val="24"/>
              </w:rPr>
              <w:t>Geocoding at the level of addresses of participants to projects; assignment to different breakdowns (including RISIS NUTS-</w:t>
            </w:r>
            <w:proofErr w:type="spellStart"/>
            <w:r w:rsidRPr="00DE4CD2">
              <w:rPr>
                <w:rFonts w:asciiTheme="majorHAnsi" w:hAnsiTheme="majorHAnsi" w:cstheme="majorHAnsi"/>
                <w:sz w:val="24"/>
                <w:szCs w:val="24"/>
              </w:rPr>
              <w:t>adpated</w:t>
            </w:r>
            <w:proofErr w:type="spellEnd"/>
            <w:r w:rsidRPr="00DE4CD2">
              <w:rPr>
                <w:rFonts w:asciiTheme="majorHAnsi" w:hAnsiTheme="majorHAnsi" w:cstheme="majorHAnsi"/>
                <w:sz w:val="24"/>
                <w:szCs w:val="24"/>
              </w:rPr>
              <w:t>)</w:t>
            </w:r>
          </w:p>
        </w:tc>
      </w:tr>
      <w:tr w:rsidR="00B34277" w:rsidRPr="00DE4CD2" w14:paraId="2FDFA841" w14:textId="77777777" w:rsidTr="00695CB7">
        <w:trPr>
          <w:cantSplit/>
        </w:trPr>
        <w:tc>
          <w:tcPr>
            <w:tcW w:w="2263" w:type="dxa"/>
          </w:tcPr>
          <w:p w14:paraId="056243A7" w14:textId="26FD18CA" w:rsidR="00B34277" w:rsidRPr="00DE4CD2" w:rsidRDefault="00B34277" w:rsidP="008924F4">
            <w:pPr>
              <w:keepNext/>
              <w:keepLines/>
              <w:spacing w:before="20" w:after="20" w:line="276" w:lineRule="auto"/>
              <w:rPr>
                <w:rFonts w:asciiTheme="majorHAnsi" w:hAnsiTheme="majorHAnsi" w:cstheme="majorHAnsi"/>
                <w:b/>
                <w:bCs/>
                <w:i/>
                <w:iCs/>
                <w:sz w:val="24"/>
                <w:szCs w:val="24"/>
              </w:rPr>
            </w:pPr>
            <w:r w:rsidRPr="00DE4CD2">
              <w:rPr>
                <w:rFonts w:asciiTheme="majorHAnsi" w:hAnsiTheme="majorHAnsi" w:cstheme="majorHAnsi"/>
                <w:b/>
                <w:bCs/>
                <w:i/>
                <w:iCs/>
                <w:sz w:val="24"/>
                <w:szCs w:val="24"/>
              </w:rPr>
              <w:t xml:space="preserve">Topics </w:t>
            </w:r>
          </w:p>
        </w:tc>
        <w:tc>
          <w:tcPr>
            <w:tcW w:w="7371" w:type="dxa"/>
          </w:tcPr>
          <w:p w14:paraId="25C9FF03" w14:textId="7F963C2A" w:rsidR="00B34277" w:rsidRPr="00DE4CD2" w:rsidRDefault="00695CB7" w:rsidP="00CF2500">
            <w:pPr>
              <w:keepNext/>
              <w:keepLines/>
              <w:spacing w:before="20" w:after="20" w:line="276" w:lineRule="auto"/>
              <w:rPr>
                <w:rFonts w:asciiTheme="majorHAnsi" w:hAnsiTheme="majorHAnsi" w:cstheme="majorHAnsi"/>
                <w:sz w:val="24"/>
                <w:szCs w:val="24"/>
              </w:rPr>
            </w:pPr>
            <w:r w:rsidRPr="00DE4CD2">
              <w:rPr>
                <w:rFonts w:asciiTheme="majorHAnsi" w:hAnsiTheme="majorHAnsi" w:cstheme="majorHAnsi"/>
                <w:sz w:val="24"/>
                <w:szCs w:val="24"/>
              </w:rPr>
              <w:t>Topical assignment of projects to policy relevant dimensions, in particular KETs and SDGs</w:t>
            </w:r>
          </w:p>
        </w:tc>
      </w:tr>
    </w:tbl>
    <w:p w14:paraId="414DEB30" w14:textId="16030A5F" w:rsidR="00B34277" w:rsidRPr="00DE4CD2" w:rsidRDefault="00B34277" w:rsidP="00B34277">
      <w:pPr>
        <w:jc w:val="both"/>
        <w:rPr>
          <w:rFonts w:asciiTheme="majorHAnsi" w:hAnsiTheme="majorHAnsi" w:cstheme="majorHAnsi"/>
          <w:highlight w:val="yellow"/>
          <w:lang w:val="en-US"/>
        </w:rPr>
      </w:pPr>
    </w:p>
    <w:p w14:paraId="5F7C1888" w14:textId="1335F409" w:rsidR="00CF2500" w:rsidRPr="00DE4CD2" w:rsidRDefault="00CF2500" w:rsidP="00CF2500">
      <w:pPr>
        <w:pStyle w:val="Beschriftung"/>
        <w:keepNext/>
        <w:jc w:val="both"/>
        <w:rPr>
          <w:rFonts w:asciiTheme="majorHAnsi" w:hAnsiTheme="majorHAnsi" w:cstheme="majorHAnsi"/>
          <w:i w:val="0"/>
          <w:iCs w:val="0"/>
          <w:color w:val="auto"/>
          <w:sz w:val="24"/>
          <w:szCs w:val="24"/>
          <w:lang w:val="en-US"/>
        </w:rPr>
      </w:pPr>
      <w:r w:rsidRPr="00DE4CD2">
        <w:rPr>
          <w:rFonts w:asciiTheme="majorHAnsi" w:hAnsiTheme="majorHAnsi" w:cstheme="majorHAnsi"/>
          <w:i w:val="0"/>
          <w:iCs w:val="0"/>
          <w:color w:val="auto"/>
          <w:sz w:val="24"/>
          <w:szCs w:val="24"/>
          <w:lang w:val="en-US"/>
        </w:rPr>
        <w:t xml:space="preserve">With these achievements in RISIS2, EUPRO has not only being advanced in terms of integration and harmonization enabling to address completely new research questions. It has also immensely increased its perimeter, on the one hand with the regular update, and on the other with the development of the NATPRO module. EUPRO currently covers systematic and harmonized information on more than </w:t>
      </w:r>
      <w:r w:rsidR="00D04683" w:rsidRPr="00DE4CD2">
        <w:rPr>
          <w:rFonts w:asciiTheme="majorHAnsi" w:hAnsiTheme="majorHAnsi" w:cstheme="majorHAnsi"/>
          <w:i w:val="0"/>
          <w:iCs w:val="0"/>
          <w:color w:val="auto"/>
          <w:sz w:val="24"/>
          <w:szCs w:val="24"/>
          <w:lang w:val="en-US"/>
        </w:rPr>
        <w:t>65</w:t>
      </w:r>
      <w:r w:rsidRPr="00DE4CD2">
        <w:rPr>
          <w:rFonts w:asciiTheme="majorHAnsi" w:hAnsiTheme="majorHAnsi" w:cstheme="majorHAnsi"/>
          <w:i w:val="0"/>
          <w:iCs w:val="0"/>
          <w:color w:val="auto"/>
          <w:sz w:val="24"/>
          <w:szCs w:val="24"/>
          <w:lang w:val="en-US"/>
        </w:rPr>
        <w:t>0,000 R&amp;D projects and 1,</w:t>
      </w:r>
      <w:r w:rsidR="00D04683" w:rsidRPr="00DE4CD2">
        <w:rPr>
          <w:rFonts w:asciiTheme="majorHAnsi" w:hAnsiTheme="majorHAnsi" w:cstheme="majorHAnsi"/>
          <w:i w:val="0"/>
          <w:iCs w:val="0"/>
          <w:color w:val="auto"/>
          <w:sz w:val="24"/>
          <w:szCs w:val="24"/>
          <w:lang w:val="en-US"/>
        </w:rPr>
        <w:t>7</w:t>
      </w:r>
      <w:r w:rsidRPr="00DE4CD2">
        <w:rPr>
          <w:rFonts w:asciiTheme="majorHAnsi" w:hAnsiTheme="majorHAnsi" w:cstheme="majorHAnsi"/>
          <w:i w:val="0"/>
          <w:iCs w:val="0"/>
          <w:color w:val="auto"/>
          <w:sz w:val="24"/>
          <w:szCs w:val="24"/>
          <w:lang w:val="en-US"/>
        </w:rPr>
        <w:t xml:space="preserve"> Mio participations (see Table</w:t>
      </w:r>
      <w:r w:rsidR="00D04683" w:rsidRPr="00DE4CD2">
        <w:rPr>
          <w:rFonts w:asciiTheme="majorHAnsi" w:hAnsiTheme="majorHAnsi" w:cstheme="majorHAnsi"/>
          <w:i w:val="0"/>
          <w:iCs w:val="0"/>
          <w:color w:val="auto"/>
          <w:sz w:val="24"/>
          <w:szCs w:val="24"/>
          <w:lang w:val="en-US"/>
        </w:rPr>
        <w:t xml:space="preserve"> 2</w:t>
      </w:r>
      <w:r w:rsidRPr="00DE4CD2">
        <w:rPr>
          <w:rFonts w:asciiTheme="majorHAnsi" w:hAnsiTheme="majorHAnsi" w:cstheme="majorHAnsi"/>
          <w:i w:val="0"/>
          <w:iCs w:val="0"/>
          <w:color w:val="auto"/>
          <w:sz w:val="24"/>
          <w:szCs w:val="24"/>
          <w:lang w:val="en-US"/>
        </w:rPr>
        <w:t>).</w:t>
      </w:r>
    </w:p>
    <w:p w14:paraId="706E2640" w14:textId="6BEC3362" w:rsidR="00723E3E" w:rsidRPr="00DE4CD2" w:rsidRDefault="00723E3E" w:rsidP="00723E3E">
      <w:pPr>
        <w:pStyle w:val="Beschriftung"/>
        <w:keepNext/>
        <w:rPr>
          <w:rFonts w:asciiTheme="majorHAnsi" w:hAnsiTheme="majorHAnsi" w:cstheme="majorHAnsi"/>
          <w:color w:val="auto"/>
          <w:sz w:val="24"/>
          <w:szCs w:val="24"/>
        </w:rPr>
      </w:pPr>
      <w:r w:rsidRPr="00DE4CD2">
        <w:rPr>
          <w:rFonts w:asciiTheme="majorHAnsi" w:hAnsiTheme="majorHAnsi" w:cstheme="majorHAnsi"/>
          <w:color w:val="auto"/>
          <w:sz w:val="24"/>
          <w:szCs w:val="24"/>
        </w:rPr>
        <w:t xml:space="preserve">Table </w:t>
      </w:r>
      <w:r w:rsidR="008A4E4C" w:rsidRPr="00DE4CD2">
        <w:rPr>
          <w:rFonts w:asciiTheme="majorHAnsi" w:hAnsiTheme="majorHAnsi" w:cstheme="majorHAnsi"/>
          <w:color w:val="auto"/>
          <w:sz w:val="24"/>
          <w:szCs w:val="24"/>
        </w:rPr>
        <w:t>2</w:t>
      </w:r>
      <w:r w:rsidRPr="00DE4CD2">
        <w:rPr>
          <w:rFonts w:asciiTheme="majorHAnsi" w:hAnsiTheme="majorHAnsi" w:cstheme="majorHAnsi"/>
          <w:color w:val="auto"/>
          <w:sz w:val="24"/>
          <w:szCs w:val="24"/>
        </w:rPr>
        <w:t xml:space="preserve"> EUPRO perimeter 2023 </w:t>
      </w:r>
    </w:p>
    <w:tbl>
      <w:tblPr>
        <w:tblStyle w:val="Tabellenraster"/>
        <w:tblW w:w="0" w:type="auto"/>
        <w:tblLayout w:type="fixed"/>
        <w:tblLook w:val="04A0" w:firstRow="1" w:lastRow="0" w:firstColumn="1" w:lastColumn="0" w:noHBand="0" w:noVBand="1"/>
      </w:tblPr>
      <w:tblGrid>
        <w:gridCol w:w="2305"/>
        <w:gridCol w:w="1741"/>
        <w:gridCol w:w="1741"/>
        <w:gridCol w:w="1742"/>
      </w:tblGrid>
      <w:tr w:rsidR="00FC3526" w:rsidRPr="00DE4CD2" w14:paraId="67FAACEF" w14:textId="77777777" w:rsidTr="00F35FF8">
        <w:trPr>
          <w:cantSplit/>
        </w:trPr>
        <w:tc>
          <w:tcPr>
            <w:tcW w:w="2305" w:type="dxa"/>
            <w:tcBorders>
              <w:top w:val="single" w:sz="4" w:space="0" w:color="auto"/>
              <w:left w:val="single" w:sz="4" w:space="0" w:color="auto"/>
              <w:bottom w:val="single" w:sz="4" w:space="0" w:color="auto"/>
              <w:right w:val="single" w:sz="4" w:space="0" w:color="auto"/>
            </w:tcBorders>
            <w:vAlign w:val="center"/>
            <w:hideMark/>
          </w:tcPr>
          <w:p w14:paraId="4CBE678D" w14:textId="77777777" w:rsidR="00723E3E" w:rsidRPr="00DE4CD2" w:rsidRDefault="00723E3E" w:rsidP="00F35FF8">
            <w:pPr>
              <w:keepNext/>
              <w:keepLines/>
              <w:rPr>
                <w:rFonts w:asciiTheme="majorHAnsi" w:hAnsiTheme="majorHAnsi" w:cstheme="majorHAnsi"/>
                <w:b/>
              </w:rPr>
            </w:pPr>
            <w:r w:rsidRPr="00DE4CD2">
              <w:rPr>
                <w:rFonts w:asciiTheme="majorHAnsi" w:hAnsiTheme="majorHAnsi" w:cstheme="majorHAnsi"/>
                <w:b/>
              </w:rPr>
              <w:t>Programme / Module</w:t>
            </w:r>
          </w:p>
        </w:tc>
        <w:tc>
          <w:tcPr>
            <w:tcW w:w="1741" w:type="dxa"/>
            <w:tcBorders>
              <w:top w:val="single" w:sz="4" w:space="0" w:color="auto"/>
              <w:left w:val="single" w:sz="4" w:space="0" w:color="auto"/>
              <w:bottom w:val="single" w:sz="4" w:space="0" w:color="auto"/>
              <w:right w:val="single" w:sz="4" w:space="0" w:color="auto"/>
            </w:tcBorders>
            <w:vAlign w:val="center"/>
            <w:hideMark/>
          </w:tcPr>
          <w:p w14:paraId="3F976144" w14:textId="77777777" w:rsidR="00723E3E" w:rsidRPr="00DE4CD2" w:rsidRDefault="00723E3E" w:rsidP="00F35FF8">
            <w:pPr>
              <w:keepNext/>
              <w:keepLines/>
              <w:jc w:val="center"/>
              <w:rPr>
                <w:rFonts w:asciiTheme="majorHAnsi" w:hAnsiTheme="majorHAnsi" w:cstheme="majorHAnsi"/>
                <w:b/>
              </w:rPr>
            </w:pPr>
            <w:r w:rsidRPr="00DE4CD2">
              <w:rPr>
                <w:rFonts w:asciiTheme="majorHAnsi" w:hAnsiTheme="majorHAnsi" w:cstheme="majorHAnsi"/>
                <w:b/>
              </w:rPr>
              <w:t>Period</w:t>
            </w:r>
          </w:p>
        </w:tc>
        <w:tc>
          <w:tcPr>
            <w:tcW w:w="1741" w:type="dxa"/>
            <w:tcBorders>
              <w:top w:val="single" w:sz="4" w:space="0" w:color="auto"/>
              <w:left w:val="single" w:sz="4" w:space="0" w:color="auto"/>
              <w:bottom w:val="single" w:sz="4" w:space="0" w:color="auto"/>
              <w:right w:val="single" w:sz="4" w:space="0" w:color="auto"/>
            </w:tcBorders>
            <w:vAlign w:val="center"/>
            <w:hideMark/>
          </w:tcPr>
          <w:p w14:paraId="2D7B4DC3" w14:textId="77777777" w:rsidR="00723E3E" w:rsidRPr="00DE4CD2" w:rsidRDefault="00723E3E" w:rsidP="00F35FF8">
            <w:pPr>
              <w:keepNext/>
              <w:keepLines/>
              <w:jc w:val="center"/>
              <w:rPr>
                <w:rFonts w:asciiTheme="majorHAnsi" w:hAnsiTheme="majorHAnsi" w:cstheme="majorHAnsi"/>
                <w:b/>
              </w:rPr>
            </w:pPr>
            <w:r w:rsidRPr="00DE4CD2">
              <w:rPr>
                <w:rFonts w:asciiTheme="majorHAnsi" w:hAnsiTheme="majorHAnsi" w:cstheme="majorHAnsi"/>
                <w:b/>
              </w:rPr>
              <w:t>Projects</w:t>
            </w:r>
          </w:p>
        </w:tc>
        <w:tc>
          <w:tcPr>
            <w:tcW w:w="1742" w:type="dxa"/>
            <w:tcBorders>
              <w:top w:val="single" w:sz="4" w:space="0" w:color="auto"/>
              <w:left w:val="single" w:sz="4" w:space="0" w:color="auto"/>
              <w:bottom w:val="single" w:sz="4" w:space="0" w:color="auto"/>
              <w:right w:val="single" w:sz="4" w:space="0" w:color="auto"/>
            </w:tcBorders>
            <w:vAlign w:val="center"/>
            <w:hideMark/>
          </w:tcPr>
          <w:p w14:paraId="6E63066E" w14:textId="77777777" w:rsidR="00723E3E" w:rsidRPr="00DE4CD2" w:rsidRDefault="00723E3E" w:rsidP="00F35FF8">
            <w:pPr>
              <w:keepNext/>
              <w:keepLines/>
              <w:jc w:val="center"/>
              <w:rPr>
                <w:rFonts w:asciiTheme="majorHAnsi" w:hAnsiTheme="majorHAnsi" w:cstheme="majorHAnsi"/>
                <w:b/>
              </w:rPr>
            </w:pPr>
            <w:r w:rsidRPr="00DE4CD2">
              <w:rPr>
                <w:rFonts w:asciiTheme="majorHAnsi" w:hAnsiTheme="majorHAnsi" w:cstheme="majorHAnsi"/>
                <w:b/>
              </w:rPr>
              <w:t>Participations</w:t>
            </w:r>
          </w:p>
        </w:tc>
      </w:tr>
      <w:tr w:rsidR="00FC3526" w:rsidRPr="00DE4CD2" w14:paraId="7EB6016C" w14:textId="77777777" w:rsidTr="00F35FF8">
        <w:trPr>
          <w:cantSplit/>
        </w:trPr>
        <w:tc>
          <w:tcPr>
            <w:tcW w:w="2305" w:type="dxa"/>
            <w:tcBorders>
              <w:top w:val="single" w:sz="4" w:space="0" w:color="auto"/>
              <w:left w:val="single" w:sz="4" w:space="0" w:color="auto"/>
              <w:bottom w:val="single" w:sz="4" w:space="0" w:color="auto"/>
              <w:right w:val="single" w:sz="4" w:space="0" w:color="auto"/>
            </w:tcBorders>
            <w:vAlign w:val="center"/>
            <w:hideMark/>
          </w:tcPr>
          <w:p w14:paraId="16C93A26" w14:textId="77777777" w:rsidR="00723E3E" w:rsidRPr="00DE4CD2" w:rsidRDefault="00723E3E" w:rsidP="00F35FF8">
            <w:pPr>
              <w:keepNext/>
              <w:keepLines/>
              <w:rPr>
                <w:rFonts w:asciiTheme="majorHAnsi" w:hAnsiTheme="majorHAnsi" w:cstheme="majorHAnsi"/>
              </w:rPr>
            </w:pPr>
            <w:r w:rsidRPr="00DE4CD2">
              <w:rPr>
                <w:rFonts w:asciiTheme="majorHAnsi" w:hAnsiTheme="majorHAnsi" w:cstheme="majorHAnsi"/>
              </w:rPr>
              <w:t xml:space="preserve">FP1 </w:t>
            </w:r>
          </w:p>
        </w:tc>
        <w:tc>
          <w:tcPr>
            <w:tcW w:w="1741" w:type="dxa"/>
            <w:tcBorders>
              <w:top w:val="single" w:sz="4" w:space="0" w:color="auto"/>
              <w:left w:val="single" w:sz="4" w:space="0" w:color="auto"/>
              <w:bottom w:val="single" w:sz="4" w:space="0" w:color="auto"/>
              <w:right w:val="single" w:sz="4" w:space="0" w:color="auto"/>
            </w:tcBorders>
            <w:vAlign w:val="center"/>
            <w:hideMark/>
          </w:tcPr>
          <w:p w14:paraId="40C877CE" w14:textId="77777777" w:rsidR="00723E3E" w:rsidRPr="00DE4CD2" w:rsidRDefault="00723E3E" w:rsidP="00F35FF8">
            <w:pPr>
              <w:keepNext/>
              <w:keepLines/>
              <w:jc w:val="center"/>
              <w:rPr>
                <w:rFonts w:asciiTheme="majorHAnsi" w:hAnsiTheme="majorHAnsi" w:cstheme="majorHAnsi"/>
              </w:rPr>
            </w:pPr>
            <w:r w:rsidRPr="00DE4CD2">
              <w:rPr>
                <w:rFonts w:asciiTheme="majorHAnsi" w:hAnsiTheme="majorHAnsi" w:cstheme="majorHAnsi"/>
              </w:rPr>
              <w:t>1984 - 1987</w:t>
            </w:r>
          </w:p>
        </w:tc>
        <w:tc>
          <w:tcPr>
            <w:tcW w:w="1741" w:type="dxa"/>
            <w:tcBorders>
              <w:top w:val="single" w:sz="4" w:space="0" w:color="auto"/>
              <w:left w:val="single" w:sz="4" w:space="0" w:color="auto"/>
              <w:bottom w:val="single" w:sz="4" w:space="0" w:color="auto"/>
              <w:right w:val="single" w:sz="4" w:space="0" w:color="auto"/>
            </w:tcBorders>
            <w:vAlign w:val="center"/>
          </w:tcPr>
          <w:p w14:paraId="65A8F5EC" w14:textId="77777777" w:rsidR="00723E3E" w:rsidRPr="00DE4CD2" w:rsidRDefault="00723E3E" w:rsidP="00F35FF8">
            <w:pPr>
              <w:keepNext/>
              <w:keepLines/>
              <w:ind w:right="435"/>
              <w:jc w:val="right"/>
              <w:rPr>
                <w:rFonts w:asciiTheme="majorHAnsi" w:hAnsiTheme="majorHAnsi" w:cstheme="majorHAnsi"/>
              </w:rPr>
            </w:pPr>
            <w:r w:rsidRPr="00DE4CD2">
              <w:rPr>
                <w:rFonts w:asciiTheme="majorHAnsi" w:hAnsiTheme="majorHAnsi" w:cstheme="majorHAnsi"/>
              </w:rPr>
              <w:t>3,348</w:t>
            </w:r>
          </w:p>
        </w:tc>
        <w:tc>
          <w:tcPr>
            <w:tcW w:w="1742" w:type="dxa"/>
            <w:tcBorders>
              <w:top w:val="single" w:sz="4" w:space="0" w:color="auto"/>
              <w:left w:val="single" w:sz="4" w:space="0" w:color="auto"/>
              <w:bottom w:val="single" w:sz="4" w:space="0" w:color="auto"/>
              <w:right w:val="single" w:sz="4" w:space="0" w:color="auto"/>
            </w:tcBorders>
            <w:vAlign w:val="center"/>
          </w:tcPr>
          <w:p w14:paraId="1DEF41A4" w14:textId="77777777" w:rsidR="00723E3E" w:rsidRPr="00DE4CD2" w:rsidRDefault="00723E3E" w:rsidP="00F35FF8">
            <w:pPr>
              <w:ind w:right="435"/>
              <w:jc w:val="right"/>
              <w:rPr>
                <w:rFonts w:asciiTheme="majorHAnsi" w:hAnsiTheme="majorHAnsi" w:cstheme="majorHAnsi"/>
              </w:rPr>
            </w:pPr>
            <w:r w:rsidRPr="00DE4CD2">
              <w:rPr>
                <w:rFonts w:asciiTheme="majorHAnsi" w:hAnsiTheme="majorHAnsi" w:cstheme="majorHAnsi"/>
              </w:rPr>
              <w:t>7,972</w:t>
            </w:r>
          </w:p>
        </w:tc>
      </w:tr>
      <w:tr w:rsidR="00FC3526" w:rsidRPr="00DE4CD2" w14:paraId="31ED71B2" w14:textId="77777777" w:rsidTr="00F35FF8">
        <w:trPr>
          <w:cantSplit/>
        </w:trPr>
        <w:tc>
          <w:tcPr>
            <w:tcW w:w="2305" w:type="dxa"/>
            <w:tcBorders>
              <w:top w:val="single" w:sz="4" w:space="0" w:color="auto"/>
              <w:left w:val="single" w:sz="4" w:space="0" w:color="auto"/>
              <w:bottom w:val="single" w:sz="4" w:space="0" w:color="auto"/>
              <w:right w:val="single" w:sz="4" w:space="0" w:color="auto"/>
            </w:tcBorders>
            <w:vAlign w:val="center"/>
            <w:hideMark/>
          </w:tcPr>
          <w:p w14:paraId="27618C10" w14:textId="77777777" w:rsidR="00723E3E" w:rsidRPr="00DE4CD2" w:rsidRDefault="00723E3E" w:rsidP="00F35FF8">
            <w:pPr>
              <w:keepNext/>
              <w:keepLines/>
              <w:rPr>
                <w:rFonts w:asciiTheme="majorHAnsi" w:hAnsiTheme="majorHAnsi" w:cstheme="majorHAnsi"/>
              </w:rPr>
            </w:pPr>
            <w:r w:rsidRPr="00DE4CD2">
              <w:rPr>
                <w:rFonts w:asciiTheme="majorHAnsi" w:hAnsiTheme="majorHAnsi" w:cstheme="majorHAnsi"/>
              </w:rPr>
              <w:t>FP2</w:t>
            </w:r>
          </w:p>
        </w:tc>
        <w:tc>
          <w:tcPr>
            <w:tcW w:w="1741" w:type="dxa"/>
            <w:tcBorders>
              <w:top w:val="single" w:sz="4" w:space="0" w:color="auto"/>
              <w:left w:val="single" w:sz="4" w:space="0" w:color="auto"/>
              <w:bottom w:val="single" w:sz="4" w:space="0" w:color="auto"/>
              <w:right w:val="single" w:sz="4" w:space="0" w:color="auto"/>
            </w:tcBorders>
            <w:vAlign w:val="center"/>
            <w:hideMark/>
          </w:tcPr>
          <w:p w14:paraId="64471727" w14:textId="77777777" w:rsidR="00723E3E" w:rsidRPr="00DE4CD2" w:rsidRDefault="00723E3E" w:rsidP="00F35FF8">
            <w:pPr>
              <w:keepNext/>
              <w:keepLines/>
              <w:jc w:val="center"/>
              <w:rPr>
                <w:rFonts w:asciiTheme="majorHAnsi" w:hAnsiTheme="majorHAnsi" w:cstheme="majorHAnsi"/>
              </w:rPr>
            </w:pPr>
            <w:r w:rsidRPr="00DE4CD2">
              <w:rPr>
                <w:rFonts w:asciiTheme="majorHAnsi" w:hAnsiTheme="majorHAnsi" w:cstheme="majorHAnsi"/>
              </w:rPr>
              <w:t>1987 - 1991</w:t>
            </w:r>
          </w:p>
        </w:tc>
        <w:tc>
          <w:tcPr>
            <w:tcW w:w="1741" w:type="dxa"/>
            <w:tcBorders>
              <w:top w:val="single" w:sz="4" w:space="0" w:color="auto"/>
              <w:left w:val="single" w:sz="4" w:space="0" w:color="auto"/>
              <w:bottom w:val="single" w:sz="4" w:space="0" w:color="auto"/>
              <w:right w:val="single" w:sz="4" w:space="0" w:color="auto"/>
            </w:tcBorders>
            <w:vAlign w:val="center"/>
          </w:tcPr>
          <w:p w14:paraId="16502F1A" w14:textId="77777777" w:rsidR="00723E3E" w:rsidRPr="00DE4CD2" w:rsidRDefault="00723E3E" w:rsidP="00F35FF8">
            <w:pPr>
              <w:keepNext/>
              <w:keepLines/>
              <w:ind w:right="435"/>
              <w:jc w:val="right"/>
              <w:rPr>
                <w:rFonts w:asciiTheme="majorHAnsi" w:hAnsiTheme="majorHAnsi" w:cstheme="majorHAnsi"/>
              </w:rPr>
            </w:pPr>
            <w:r w:rsidRPr="00DE4CD2">
              <w:rPr>
                <w:rFonts w:asciiTheme="majorHAnsi" w:hAnsiTheme="majorHAnsi" w:cstheme="majorHAnsi"/>
              </w:rPr>
              <w:t>3,987</w:t>
            </w:r>
          </w:p>
        </w:tc>
        <w:tc>
          <w:tcPr>
            <w:tcW w:w="1742" w:type="dxa"/>
            <w:tcBorders>
              <w:top w:val="single" w:sz="4" w:space="0" w:color="auto"/>
              <w:left w:val="single" w:sz="4" w:space="0" w:color="auto"/>
              <w:bottom w:val="single" w:sz="4" w:space="0" w:color="auto"/>
              <w:right w:val="single" w:sz="4" w:space="0" w:color="auto"/>
            </w:tcBorders>
            <w:vAlign w:val="center"/>
          </w:tcPr>
          <w:p w14:paraId="1D2BBC8F" w14:textId="77777777" w:rsidR="00723E3E" w:rsidRPr="00DE4CD2" w:rsidRDefault="00723E3E" w:rsidP="00F35FF8">
            <w:pPr>
              <w:ind w:right="435"/>
              <w:jc w:val="right"/>
              <w:rPr>
                <w:rFonts w:asciiTheme="majorHAnsi" w:hAnsiTheme="majorHAnsi" w:cstheme="majorHAnsi"/>
              </w:rPr>
            </w:pPr>
            <w:r w:rsidRPr="00DE4CD2">
              <w:rPr>
                <w:rFonts w:asciiTheme="majorHAnsi" w:hAnsiTheme="majorHAnsi" w:cstheme="majorHAnsi"/>
              </w:rPr>
              <w:t>19,184</w:t>
            </w:r>
          </w:p>
        </w:tc>
      </w:tr>
      <w:tr w:rsidR="00FC3526" w:rsidRPr="00DE4CD2" w14:paraId="7AEE085C" w14:textId="77777777" w:rsidTr="00F35FF8">
        <w:trPr>
          <w:cantSplit/>
        </w:trPr>
        <w:tc>
          <w:tcPr>
            <w:tcW w:w="2305" w:type="dxa"/>
            <w:tcBorders>
              <w:top w:val="single" w:sz="4" w:space="0" w:color="auto"/>
              <w:left w:val="single" w:sz="4" w:space="0" w:color="auto"/>
              <w:bottom w:val="single" w:sz="4" w:space="0" w:color="auto"/>
              <w:right w:val="single" w:sz="4" w:space="0" w:color="auto"/>
            </w:tcBorders>
            <w:vAlign w:val="center"/>
            <w:hideMark/>
          </w:tcPr>
          <w:p w14:paraId="7D2F98E5" w14:textId="77777777" w:rsidR="00723E3E" w:rsidRPr="00DE4CD2" w:rsidRDefault="00723E3E" w:rsidP="00F35FF8">
            <w:pPr>
              <w:keepNext/>
              <w:keepLines/>
              <w:rPr>
                <w:rFonts w:asciiTheme="majorHAnsi" w:hAnsiTheme="majorHAnsi" w:cstheme="majorHAnsi"/>
              </w:rPr>
            </w:pPr>
            <w:r w:rsidRPr="00DE4CD2">
              <w:rPr>
                <w:rFonts w:asciiTheme="majorHAnsi" w:hAnsiTheme="majorHAnsi" w:cstheme="majorHAnsi"/>
              </w:rPr>
              <w:t>FP3</w:t>
            </w:r>
          </w:p>
        </w:tc>
        <w:tc>
          <w:tcPr>
            <w:tcW w:w="1741" w:type="dxa"/>
            <w:tcBorders>
              <w:top w:val="single" w:sz="4" w:space="0" w:color="auto"/>
              <w:left w:val="single" w:sz="4" w:space="0" w:color="auto"/>
              <w:bottom w:val="single" w:sz="4" w:space="0" w:color="auto"/>
              <w:right w:val="single" w:sz="4" w:space="0" w:color="auto"/>
            </w:tcBorders>
            <w:vAlign w:val="center"/>
            <w:hideMark/>
          </w:tcPr>
          <w:p w14:paraId="2609843A" w14:textId="77777777" w:rsidR="00723E3E" w:rsidRPr="00DE4CD2" w:rsidRDefault="00723E3E" w:rsidP="00F35FF8">
            <w:pPr>
              <w:keepNext/>
              <w:keepLines/>
              <w:jc w:val="center"/>
              <w:rPr>
                <w:rFonts w:asciiTheme="majorHAnsi" w:hAnsiTheme="majorHAnsi" w:cstheme="majorHAnsi"/>
              </w:rPr>
            </w:pPr>
            <w:r w:rsidRPr="00DE4CD2">
              <w:rPr>
                <w:rFonts w:asciiTheme="majorHAnsi" w:hAnsiTheme="majorHAnsi" w:cstheme="majorHAnsi"/>
              </w:rPr>
              <w:t>1990 - 1994</w:t>
            </w:r>
          </w:p>
        </w:tc>
        <w:tc>
          <w:tcPr>
            <w:tcW w:w="1741" w:type="dxa"/>
            <w:tcBorders>
              <w:top w:val="single" w:sz="4" w:space="0" w:color="auto"/>
              <w:left w:val="single" w:sz="4" w:space="0" w:color="auto"/>
              <w:bottom w:val="single" w:sz="4" w:space="0" w:color="auto"/>
              <w:right w:val="single" w:sz="4" w:space="0" w:color="auto"/>
            </w:tcBorders>
            <w:vAlign w:val="center"/>
          </w:tcPr>
          <w:p w14:paraId="56226270" w14:textId="77777777" w:rsidR="00723E3E" w:rsidRPr="00DE4CD2" w:rsidRDefault="00723E3E" w:rsidP="00F35FF8">
            <w:pPr>
              <w:keepNext/>
              <w:keepLines/>
              <w:ind w:right="435"/>
              <w:jc w:val="right"/>
              <w:rPr>
                <w:rFonts w:asciiTheme="majorHAnsi" w:hAnsiTheme="majorHAnsi" w:cstheme="majorHAnsi"/>
              </w:rPr>
            </w:pPr>
            <w:r w:rsidRPr="00DE4CD2">
              <w:rPr>
                <w:rFonts w:asciiTheme="majorHAnsi" w:hAnsiTheme="majorHAnsi" w:cstheme="majorHAnsi"/>
              </w:rPr>
              <w:t>5,474</w:t>
            </w:r>
          </w:p>
        </w:tc>
        <w:tc>
          <w:tcPr>
            <w:tcW w:w="1742" w:type="dxa"/>
            <w:tcBorders>
              <w:top w:val="single" w:sz="4" w:space="0" w:color="auto"/>
              <w:left w:val="single" w:sz="4" w:space="0" w:color="auto"/>
              <w:bottom w:val="single" w:sz="4" w:space="0" w:color="auto"/>
              <w:right w:val="single" w:sz="4" w:space="0" w:color="auto"/>
            </w:tcBorders>
            <w:vAlign w:val="center"/>
          </w:tcPr>
          <w:p w14:paraId="00273377" w14:textId="77777777" w:rsidR="00723E3E" w:rsidRPr="00DE4CD2" w:rsidRDefault="00723E3E" w:rsidP="00F35FF8">
            <w:pPr>
              <w:ind w:right="435"/>
              <w:jc w:val="right"/>
              <w:rPr>
                <w:rFonts w:asciiTheme="majorHAnsi" w:hAnsiTheme="majorHAnsi" w:cstheme="majorHAnsi"/>
              </w:rPr>
            </w:pPr>
            <w:r w:rsidRPr="00DE4CD2">
              <w:rPr>
                <w:rFonts w:asciiTheme="majorHAnsi" w:hAnsiTheme="majorHAnsi" w:cstheme="majorHAnsi"/>
              </w:rPr>
              <w:t>30,768</w:t>
            </w:r>
          </w:p>
        </w:tc>
      </w:tr>
      <w:tr w:rsidR="00FC3526" w:rsidRPr="00DE4CD2" w14:paraId="6365F5AB" w14:textId="77777777" w:rsidTr="00F35FF8">
        <w:trPr>
          <w:cantSplit/>
        </w:trPr>
        <w:tc>
          <w:tcPr>
            <w:tcW w:w="2305" w:type="dxa"/>
            <w:tcBorders>
              <w:top w:val="single" w:sz="4" w:space="0" w:color="auto"/>
              <w:left w:val="single" w:sz="4" w:space="0" w:color="auto"/>
              <w:bottom w:val="single" w:sz="4" w:space="0" w:color="auto"/>
              <w:right w:val="single" w:sz="4" w:space="0" w:color="auto"/>
            </w:tcBorders>
            <w:vAlign w:val="center"/>
            <w:hideMark/>
          </w:tcPr>
          <w:p w14:paraId="18C3B11B" w14:textId="77777777" w:rsidR="00723E3E" w:rsidRPr="00DE4CD2" w:rsidRDefault="00723E3E" w:rsidP="00F35FF8">
            <w:pPr>
              <w:keepNext/>
              <w:keepLines/>
              <w:rPr>
                <w:rFonts w:asciiTheme="majorHAnsi" w:hAnsiTheme="majorHAnsi" w:cstheme="majorHAnsi"/>
              </w:rPr>
            </w:pPr>
            <w:r w:rsidRPr="00DE4CD2">
              <w:rPr>
                <w:rFonts w:asciiTheme="majorHAnsi" w:hAnsiTheme="majorHAnsi" w:cstheme="majorHAnsi"/>
              </w:rPr>
              <w:t>FP4</w:t>
            </w:r>
          </w:p>
        </w:tc>
        <w:tc>
          <w:tcPr>
            <w:tcW w:w="1741" w:type="dxa"/>
            <w:tcBorders>
              <w:top w:val="single" w:sz="4" w:space="0" w:color="auto"/>
              <w:left w:val="single" w:sz="4" w:space="0" w:color="auto"/>
              <w:bottom w:val="single" w:sz="4" w:space="0" w:color="auto"/>
              <w:right w:val="single" w:sz="4" w:space="0" w:color="auto"/>
            </w:tcBorders>
            <w:vAlign w:val="center"/>
            <w:hideMark/>
          </w:tcPr>
          <w:p w14:paraId="266E0817" w14:textId="77777777" w:rsidR="00723E3E" w:rsidRPr="00DE4CD2" w:rsidRDefault="00723E3E" w:rsidP="00F35FF8">
            <w:pPr>
              <w:keepNext/>
              <w:keepLines/>
              <w:jc w:val="center"/>
              <w:rPr>
                <w:rFonts w:asciiTheme="majorHAnsi" w:hAnsiTheme="majorHAnsi" w:cstheme="majorHAnsi"/>
              </w:rPr>
            </w:pPr>
            <w:r w:rsidRPr="00DE4CD2">
              <w:rPr>
                <w:rFonts w:asciiTheme="majorHAnsi" w:hAnsiTheme="majorHAnsi" w:cstheme="majorHAnsi"/>
              </w:rPr>
              <w:t>1994 - 1998</w:t>
            </w:r>
          </w:p>
        </w:tc>
        <w:tc>
          <w:tcPr>
            <w:tcW w:w="1741" w:type="dxa"/>
            <w:tcBorders>
              <w:top w:val="single" w:sz="4" w:space="0" w:color="auto"/>
              <w:left w:val="single" w:sz="4" w:space="0" w:color="auto"/>
              <w:bottom w:val="single" w:sz="4" w:space="0" w:color="auto"/>
              <w:right w:val="single" w:sz="4" w:space="0" w:color="auto"/>
            </w:tcBorders>
            <w:vAlign w:val="center"/>
          </w:tcPr>
          <w:p w14:paraId="6639256E" w14:textId="77777777" w:rsidR="00723E3E" w:rsidRPr="00DE4CD2" w:rsidRDefault="00723E3E" w:rsidP="00F35FF8">
            <w:pPr>
              <w:keepNext/>
              <w:keepLines/>
              <w:ind w:right="435"/>
              <w:jc w:val="right"/>
              <w:rPr>
                <w:rFonts w:asciiTheme="majorHAnsi" w:hAnsiTheme="majorHAnsi" w:cstheme="majorHAnsi"/>
              </w:rPr>
            </w:pPr>
            <w:r w:rsidRPr="00DE4CD2">
              <w:rPr>
                <w:rFonts w:asciiTheme="majorHAnsi" w:hAnsiTheme="majorHAnsi" w:cstheme="majorHAnsi"/>
              </w:rPr>
              <w:t>14,524</w:t>
            </w:r>
          </w:p>
        </w:tc>
        <w:tc>
          <w:tcPr>
            <w:tcW w:w="1742" w:type="dxa"/>
            <w:tcBorders>
              <w:top w:val="single" w:sz="4" w:space="0" w:color="auto"/>
              <w:left w:val="single" w:sz="4" w:space="0" w:color="auto"/>
              <w:bottom w:val="single" w:sz="4" w:space="0" w:color="auto"/>
              <w:right w:val="single" w:sz="4" w:space="0" w:color="auto"/>
            </w:tcBorders>
            <w:vAlign w:val="center"/>
          </w:tcPr>
          <w:p w14:paraId="395DED50" w14:textId="77777777" w:rsidR="00723E3E" w:rsidRPr="00DE4CD2" w:rsidRDefault="00723E3E" w:rsidP="00F35FF8">
            <w:pPr>
              <w:ind w:right="435"/>
              <w:jc w:val="right"/>
              <w:rPr>
                <w:rFonts w:asciiTheme="majorHAnsi" w:hAnsiTheme="majorHAnsi" w:cstheme="majorHAnsi"/>
              </w:rPr>
            </w:pPr>
            <w:r w:rsidRPr="00DE4CD2">
              <w:rPr>
                <w:rFonts w:asciiTheme="majorHAnsi" w:hAnsiTheme="majorHAnsi" w:cstheme="majorHAnsi"/>
              </w:rPr>
              <w:t>67,831</w:t>
            </w:r>
          </w:p>
        </w:tc>
      </w:tr>
      <w:tr w:rsidR="00FC3526" w:rsidRPr="00DE4CD2" w14:paraId="3BACD1A8" w14:textId="77777777" w:rsidTr="00F35FF8">
        <w:trPr>
          <w:cantSplit/>
        </w:trPr>
        <w:tc>
          <w:tcPr>
            <w:tcW w:w="2305" w:type="dxa"/>
            <w:tcBorders>
              <w:top w:val="single" w:sz="4" w:space="0" w:color="auto"/>
              <w:left w:val="single" w:sz="4" w:space="0" w:color="auto"/>
              <w:bottom w:val="single" w:sz="4" w:space="0" w:color="auto"/>
              <w:right w:val="single" w:sz="4" w:space="0" w:color="auto"/>
            </w:tcBorders>
            <w:vAlign w:val="center"/>
            <w:hideMark/>
          </w:tcPr>
          <w:p w14:paraId="598E98A1" w14:textId="77777777" w:rsidR="00723E3E" w:rsidRPr="00DE4CD2" w:rsidRDefault="00723E3E" w:rsidP="00F35FF8">
            <w:pPr>
              <w:keepNext/>
              <w:keepLines/>
              <w:rPr>
                <w:rFonts w:asciiTheme="majorHAnsi" w:hAnsiTheme="majorHAnsi" w:cstheme="majorHAnsi"/>
              </w:rPr>
            </w:pPr>
            <w:r w:rsidRPr="00DE4CD2">
              <w:rPr>
                <w:rFonts w:asciiTheme="majorHAnsi" w:hAnsiTheme="majorHAnsi" w:cstheme="majorHAnsi"/>
              </w:rPr>
              <w:t>FP5</w:t>
            </w:r>
          </w:p>
        </w:tc>
        <w:tc>
          <w:tcPr>
            <w:tcW w:w="1741" w:type="dxa"/>
            <w:tcBorders>
              <w:top w:val="single" w:sz="4" w:space="0" w:color="auto"/>
              <w:left w:val="single" w:sz="4" w:space="0" w:color="auto"/>
              <w:bottom w:val="single" w:sz="4" w:space="0" w:color="auto"/>
              <w:right w:val="single" w:sz="4" w:space="0" w:color="auto"/>
            </w:tcBorders>
            <w:vAlign w:val="center"/>
            <w:hideMark/>
          </w:tcPr>
          <w:p w14:paraId="4E824DD3" w14:textId="77777777" w:rsidR="00723E3E" w:rsidRPr="00DE4CD2" w:rsidRDefault="00723E3E" w:rsidP="00F35FF8">
            <w:pPr>
              <w:keepNext/>
              <w:keepLines/>
              <w:jc w:val="center"/>
              <w:rPr>
                <w:rFonts w:asciiTheme="majorHAnsi" w:hAnsiTheme="majorHAnsi" w:cstheme="majorHAnsi"/>
              </w:rPr>
            </w:pPr>
            <w:r w:rsidRPr="00DE4CD2">
              <w:rPr>
                <w:rFonts w:asciiTheme="majorHAnsi" w:hAnsiTheme="majorHAnsi" w:cstheme="majorHAnsi"/>
              </w:rPr>
              <w:t>1998 - 2002</w:t>
            </w:r>
          </w:p>
        </w:tc>
        <w:tc>
          <w:tcPr>
            <w:tcW w:w="1741" w:type="dxa"/>
            <w:tcBorders>
              <w:top w:val="single" w:sz="4" w:space="0" w:color="auto"/>
              <w:left w:val="single" w:sz="4" w:space="0" w:color="auto"/>
              <w:bottom w:val="single" w:sz="4" w:space="0" w:color="auto"/>
              <w:right w:val="single" w:sz="4" w:space="0" w:color="auto"/>
            </w:tcBorders>
            <w:vAlign w:val="center"/>
          </w:tcPr>
          <w:p w14:paraId="77F082B9" w14:textId="77777777" w:rsidR="00723E3E" w:rsidRPr="00DE4CD2" w:rsidRDefault="00723E3E" w:rsidP="00F35FF8">
            <w:pPr>
              <w:keepNext/>
              <w:keepLines/>
              <w:ind w:right="435"/>
              <w:jc w:val="right"/>
              <w:rPr>
                <w:rFonts w:asciiTheme="majorHAnsi" w:hAnsiTheme="majorHAnsi" w:cstheme="majorHAnsi"/>
              </w:rPr>
            </w:pPr>
            <w:r w:rsidRPr="00DE4CD2">
              <w:rPr>
                <w:rFonts w:asciiTheme="majorHAnsi" w:hAnsiTheme="majorHAnsi" w:cstheme="majorHAnsi"/>
              </w:rPr>
              <w:t>16,026</w:t>
            </w:r>
          </w:p>
        </w:tc>
        <w:tc>
          <w:tcPr>
            <w:tcW w:w="1742" w:type="dxa"/>
            <w:tcBorders>
              <w:top w:val="single" w:sz="4" w:space="0" w:color="auto"/>
              <w:left w:val="single" w:sz="4" w:space="0" w:color="auto"/>
              <w:bottom w:val="single" w:sz="4" w:space="0" w:color="auto"/>
              <w:right w:val="single" w:sz="4" w:space="0" w:color="auto"/>
            </w:tcBorders>
            <w:vAlign w:val="center"/>
          </w:tcPr>
          <w:p w14:paraId="60D3E2B3" w14:textId="77777777" w:rsidR="00723E3E" w:rsidRPr="00DE4CD2" w:rsidRDefault="00723E3E" w:rsidP="00F35FF8">
            <w:pPr>
              <w:ind w:right="435"/>
              <w:jc w:val="right"/>
              <w:rPr>
                <w:rFonts w:asciiTheme="majorHAnsi" w:hAnsiTheme="majorHAnsi" w:cstheme="majorHAnsi"/>
              </w:rPr>
            </w:pPr>
            <w:r w:rsidRPr="00DE4CD2">
              <w:rPr>
                <w:rFonts w:asciiTheme="majorHAnsi" w:hAnsiTheme="majorHAnsi" w:cstheme="majorHAnsi"/>
              </w:rPr>
              <w:t>78,562</w:t>
            </w:r>
          </w:p>
        </w:tc>
      </w:tr>
      <w:tr w:rsidR="00FC3526" w:rsidRPr="00DE4CD2" w14:paraId="2F0E04D1" w14:textId="77777777" w:rsidTr="00F35FF8">
        <w:trPr>
          <w:cantSplit/>
        </w:trPr>
        <w:tc>
          <w:tcPr>
            <w:tcW w:w="2305" w:type="dxa"/>
            <w:tcBorders>
              <w:top w:val="single" w:sz="4" w:space="0" w:color="auto"/>
              <w:left w:val="single" w:sz="4" w:space="0" w:color="auto"/>
              <w:bottom w:val="single" w:sz="4" w:space="0" w:color="auto"/>
              <w:right w:val="single" w:sz="4" w:space="0" w:color="auto"/>
            </w:tcBorders>
            <w:vAlign w:val="center"/>
            <w:hideMark/>
          </w:tcPr>
          <w:p w14:paraId="6FF3F1B2" w14:textId="77777777" w:rsidR="00723E3E" w:rsidRPr="00DE4CD2" w:rsidRDefault="00723E3E" w:rsidP="00F35FF8">
            <w:pPr>
              <w:keepNext/>
              <w:keepLines/>
              <w:rPr>
                <w:rFonts w:asciiTheme="majorHAnsi" w:hAnsiTheme="majorHAnsi" w:cstheme="majorHAnsi"/>
              </w:rPr>
            </w:pPr>
            <w:r w:rsidRPr="00DE4CD2">
              <w:rPr>
                <w:rFonts w:asciiTheme="majorHAnsi" w:hAnsiTheme="majorHAnsi" w:cstheme="majorHAnsi"/>
              </w:rPr>
              <w:t>FP6</w:t>
            </w:r>
          </w:p>
        </w:tc>
        <w:tc>
          <w:tcPr>
            <w:tcW w:w="1741" w:type="dxa"/>
            <w:tcBorders>
              <w:top w:val="single" w:sz="4" w:space="0" w:color="auto"/>
              <w:left w:val="single" w:sz="4" w:space="0" w:color="auto"/>
              <w:bottom w:val="single" w:sz="4" w:space="0" w:color="auto"/>
              <w:right w:val="single" w:sz="4" w:space="0" w:color="auto"/>
            </w:tcBorders>
            <w:vAlign w:val="center"/>
            <w:hideMark/>
          </w:tcPr>
          <w:p w14:paraId="7C8C276E" w14:textId="77777777" w:rsidR="00723E3E" w:rsidRPr="00DE4CD2" w:rsidRDefault="00723E3E" w:rsidP="00F35FF8">
            <w:pPr>
              <w:keepNext/>
              <w:keepLines/>
              <w:jc w:val="center"/>
              <w:rPr>
                <w:rFonts w:asciiTheme="majorHAnsi" w:hAnsiTheme="majorHAnsi" w:cstheme="majorHAnsi"/>
              </w:rPr>
            </w:pPr>
            <w:r w:rsidRPr="00DE4CD2">
              <w:rPr>
                <w:rFonts w:asciiTheme="majorHAnsi" w:hAnsiTheme="majorHAnsi" w:cstheme="majorHAnsi"/>
              </w:rPr>
              <w:t>2002 - 2006</w:t>
            </w:r>
          </w:p>
        </w:tc>
        <w:tc>
          <w:tcPr>
            <w:tcW w:w="1741" w:type="dxa"/>
            <w:tcBorders>
              <w:top w:val="single" w:sz="4" w:space="0" w:color="auto"/>
              <w:left w:val="single" w:sz="4" w:space="0" w:color="auto"/>
              <w:bottom w:val="single" w:sz="4" w:space="0" w:color="auto"/>
              <w:right w:val="single" w:sz="4" w:space="0" w:color="auto"/>
            </w:tcBorders>
            <w:vAlign w:val="center"/>
          </w:tcPr>
          <w:p w14:paraId="27D1AB36" w14:textId="77777777" w:rsidR="00723E3E" w:rsidRPr="00DE4CD2" w:rsidRDefault="00723E3E" w:rsidP="00F35FF8">
            <w:pPr>
              <w:keepNext/>
              <w:keepLines/>
              <w:ind w:right="435"/>
              <w:jc w:val="right"/>
              <w:rPr>
                <w:rFonts w:asciiTheme="majorHAnsi" w:hAnsiTheme="majorHAnsi" w:cstheme="majorHAnsi"/>
              </w:rPr>
            </w:pPr>
            <w:r w:rsidRPr="00DE4CD2">
              <w:rPr>
                <w:rFonts w:asciiTheme="majorHAnsi" w:hAnsiTheme="majorHAnsi" w:cstheme="majorHAnsi"/>
              </w:rPr>
              <w:t>10,100</w:t>
            </w:r>
          </w:p>
        </w:tc>
        <w:tc>
          <w:tcPr>
            <w:tcW w:w="1742" w:type="dxa"/>
            <w:tcBorders>
              <w:top w:val="single" w:sz="4" w:space="0" w:color="auto"/>
              <w:left w:val="single" w:sz="4" w:space="0" w:color="auto"/>
              <w:bottom w:val="single" w:sz="4" w:space="0" w:color="auto"/>
              <w:right w:val="single" w:sz="4" w:space="0" w:color="auto"/>
            </w:tcBorders>
            <w:vAlign w:val="center"/>
          </w:tcPr>
          <w:p w14:paraId="31A20106" w14:textId="77777777" w:rsidR="00723E3E" w:rsidRPr="00DE4CD2" w:rsidRDefault="00723E3E" w:rsidP="00F35FF8">
            <w:pPr>
              <w:ind w:right="435"/>
              <w:jc w:val="right"/>
              <w:rPr>
                <w:rFonts w:asciiTheme="majorHAnsi" w:hAnsiTheme="majorHAnsi" w:cstheme="majorHAnsi"/>
              </w:rPr>
            </w:pPr>
            <w:r w:rsidRPr="00DE4CD2">
              <w:rPr>
                <w:rFonts w:asciiTheme="majorHAnsi" w:hAnsiTheme="majorHAnsi" w:cstheme="majorHAnsi"/>
              </w:rPr>
              <w:t>75,356</w:t>
            </w:r>
          </w:p>
        </w:tc>
      </w:tr>
      <w:tr w:rsidR="00FC3526" w:rsidRPr="00DE4CD2" w14:paraId="701C13DA" w14:textId="77777777" w:rsidTr="00F35FF8">
        <w:trPr>
          <w:cantSplit/>
        </w:trPr>
        <w:tc>
          <w:tcPr>
            <w:tcW w:w="2305" w:type="dxa"/>
            <w:tcBorders>
              <w:top w:val="single" w:sz="4" w:space="0" w:color="auto"/>
              <w:left w:val="single" w:sz="4" w:space="0" w:color="auto"/>
              <w:bottom w:val="single" w:sz="4" w:space="0" w:color="auto"/>
              <w:right w:val="single" w:sz="4" w:space="0" w:color="auto"/>
            </w:tcBorders>
            <w:vAlign w:val="center"/>
            <w:hideMark/>
          </w:tcPr>
          <w:p w14:paraId="47DBA443" w14:textId="77777777" w:rsidR="00723E3E" w:rsidRPr="00DE4CD2" w:rsidRDefault="00723E3E" w:rsidP="00F35FF8">
            <w:pPr>
              <w:keepNext/>
              <w:keepLines/>
              <w:rPr>
                <w:rFonts w:asciiTheme="majorHAnsi" w:hAnsiTheme="majorHAnsi" w:cstheme="majorHAnsi"/>
              </w:rPr>
            </w:pPr>
            <w:r w:rsidRPr="00DE4CD2">
              <w:rPr>
                <w:rFonts w:asciiTheme="majorHAnsi" w:hAnsiTheme="majorHAnsi" w:cstheme="majorHAnsi"/>
              </w:rPr>
              <w:t>FP7</w:t>
            </w:r>
          </w:p>
        </w:tc>
        <w:tc>
          <w:tcPr>
            <w:tcW w:w="1741" w:type="dxa"/>
            <w:tcBorders>
              <w:top w:val="single" w:sz="4" w:space="0" w:color="auto"/>
              <w:left w:val="single" w:sz="4" w:space="0" w:color="auto"/>
              <w:bottom w:val="single" w:sz="4" w:space="0" w:color="auto"/>
              <w:right w:val="single" w:sz="4" w:space="0" w:color="auto"/>
            </w:tcBorders>
            <w:vAlign w:val="center"/>
            <w:hideMark/>
          </w:tcPr>
          <w:p w14:paraId="50396C1D" w14:textId="77777777" w:rsidR="00723E3E" w:rsidRPr="00DE4CD2" w:rsidRDefault="00723E3E" w:rsidP="00F35FF8">
            <w:pPr>
              <w:keepNext/>
              <w:keepLines/>
              <w:jc w:val="center"/>
              <w:rPr>
                <w:rFonts w:asciiTheme="majorHAnsi" w:hAnsiTheme="majorHAnsi" w:cstheme="majorHAnsi"/>
              </w:rPr>
            </w:pPr>
            <w:r w:rsidRPr="00DE4CD2">
              <w:rPr>
                <w:rFonts w:asciiTheme="majorHAnsi" w:hAnsiTheme="majorHAnsi" w:cstheme="majorHAnsi"/>
              </w:rPr>
              <w:t>2007 - 2013</w:t>
            </w:r>
          </w:p>
        </w:tc>
        <w:tc>
          <w:tcPr>
            <w:tcW w:w="1741" w:type="dxa"/>
            <w:tcBorders>
              <w:top w:val="single" w:sz="4" w:space="0" w:color="auto"/>
              <w:left w:val="single" w:sz="4" w:space="0" w:color="auto"/>
              <w:bottom w:val="single" w:sz="4" w:space="0" w:color="auto"/>
              <w:right w:val="single" w:sz="4" w:space="0" w:color="auto"/>
            </w:tcBorders>
            <w:vAlign w:val="center"/>
          </w:tcPr>
          <w:p w14:paraId="45F58334" w14:textId="77777777" w:rsidR="00723E3E" w:rsidRPr="00DE4CD2" w:rsidRDefault="00723E3E" w:rsidP="00F35FF8">
            <w:pPr>
              <w:keepNext/>
              <w:keepLines/>
              <w:ind w:right="435"/>
              <w:jc w:val="right"/>
              <w:rPr>
                <w:rFonts w:asciiTheme="majorHAnsi" w:hAnsiTheme="majorHAnsi" w:cstheme="majorHAnsi"/>
              </w:rPr>
            </w:pPr>
            <w:r w:rsidRPr="00DE4CD2">
              <w:rPr>
                <w:rFonts w:asciiTheme="majorHAnsi" w:hAnsiTheme="majorHAnsi" w:cstheme="majorHAnsi"/>
              </w:rPr>
              <w:t>25,785</w:t>
            </w:r>
          </w:p>
        </w:tc>
        <w:tc>
          <w:tcPr>
            <w:tcW w:w="1742" w:type="dxa"/>
            <w:tcBorders>
              <w:top w:val="single" w:sz="4" w:space="0" w:color="auto"/>
              <w:left w:val="single" w:sz="4" w:space="0" w:color="auto"/>
              <w:bottom w:val="single" w:sz="4" w:space="0" w:color="auto"/>
              <w:right w:val="single" w:sz="4" w:space="0" w:color="auto"/>
            </w:tcBorders>
            <w:vAlign w:val="center"/>
          </w:tcPr>
          <w:p w14:paraId="76B74697" w14:textId="77777777" w:rsidR="00723E3E" w:rsidRPr="00DE4CD2" w:rsidRDefault="00723E3E" w:rsidP="00F35FF8">
            <w:pPr>
              <w:ind w:right="435"/>
              <w:jc w:val="right"/>
              <w:rPr>
                <w:rFonts w:asciiTheme="majorHAnsi" w:hAnsiTheme="majorHAnsi" w:cstheme="majorHAnsi"/>
              </w:rPr>
            </w:pPr>
            <w:r w:rsidRPr="00DE4CD2">
              <w:rPr>
                <w:rFonts w:asciiTheme="majorHAnsi" w:hAnsiTheme="majorHAnsi" w:cstheme="majorHAnsi"/>
              </w:rPr>
              <w:t>140,048</w:t>
            </w:r>
          </w:p>
        </w:tc>
      </w:tr>
      <w:tr w:rsidR="00FC3526" w:rsidRPr="00DE4CD2" w14:paraId="733CB2A4" w14:textId="77777777" w:rsidTr="00F35FF8">
        <w:trPr>
          <w:cantSplit/>
        </w:trPr>
        <w:tc>
          <w:tcPr>
            <w:tcW w:w="2305" w:type="dxa"/>
            <w:tcBorders>
              <w:top w:val="single" w:sz="4" w:space="0" w:color="auto"/>
              <w:left w:val="single" w:sz="4" w:space="0" w:color="auto"/>
              <w:bottom w:val="single" w:sz="4" w:space="0" w:color="auto"/>
              <w:right w:val="single" w:sz="4" w:space="0" w:color="auto"/>
            </w:tcBorders>
            <w:vAlign w:val="center"/>
            <w:hideMark/>
          </w:tcPr>
          <w:p w14:paraId="00327BEC" w14:textId="77777777" w:rsidR="00723E3E" w:rsidRPr="00DE4CD2" w:rsidRDefault="00723E3E" w:rsidP="00F35FF8">
            <w:pPr>
              <w:keepNext/>
              <w:keepLines/>
              <w:rPr>
                <w:rFonts w:asciiTheme="majorHAnsi" w:hAnsiTheme="majorHAnsi" w:cstheme="majorHAnsi"/>
              </w:rPr>
            </w:pPr>
            <w:r w:rsidRPr="00DE4CD2">
              <w:rPr>
                <w:rFonts w:asciiTheme="majorHAnsi" w:hAnsiTheme="majorHAnsi" w:cstheme="majorHAnsi"/>
              </w:rPr>
              <w:t>H2020</w:t>
            </w:r>
          </w:p>
        </w:tc>
        <w:tc>
          <w:tcPr>
            <w:tcW w:w="1741" w:type="dxa"/>
            <w:tcBorders>
              <w:top w:val="single" w:sz="4" w:space="0" w:color="auto"/>
              <w:left w:val="single" w:sz="4" w:space="0" w:color="auto"/>
              <w:bottom w:val="single" w:sz="4" w:space="0" w:color="auto"/>
              <w:right w:val="single" w:sz="4" w:space="0" w:color="auto"/>
            </w:tcBorders>
            <w:vAlign w:val="center"/>
            <w:hideMark/>
          </w:tcPr>
          <w:p w14:paraId="2BC8CB9A" w14:textId="77777777" w:rsidR="00723E3E" w:rsidRPr="00DE4CD2" w:rsidRDefault="00723E3E" w:rsidP="00F35FF8">
            <w:pPr>
              <w:keepNext/>
              <w:keepLines/>
              <w:jc w:val="center"/>
              <w:rPr>
                <w:rFonts w:asciiTheme="majorHAnsi" w:hAnsiTheme="majorHAnsi" w:cstheme="majorHAnsi"/>
              </w:rPr>
            </w:pPr>
            <w:r w:rsidRPr="00DE4CD2">
              <w:rPr>
                <w:rFonts w:asciiTheme="majorHAnsi" w:hAnsiTheme="majorHAnsi" w:cstheme="majorHAnsi"/>
              </w:rPr>
              <w:t>2014 - 2020</w:t>
            </w:r>
          </w:p>
        </w:tc>
        <w:tc>
          <w:tcPr>
            <w:tcW w:w="1741" w:type="dxa"/>
            <w:tcBorders>
              <w:top w:val="single" w:sz="4" w:space="0" w:color="auto"/>
              <w:left w:val="single" w:sz="4" w:space="0" w:color="auto"/>
              <w:bottom w:val="single" w:sz="4" w:space="0" w:color="auto"/>
              <w:right w:val="single" w:sz="4" w:space="0" w:color="auto"/>
            </w:tcBorders>
            <w:vAlign w:val="center"/>
          </w:tcPr>
          <w:p w14:paraId="513795A2" w14:textId="77777777" w:rsidR="00723E3E" w:rsidRPr="00DE4CD2" w:rsidRDefault="00723E3E" w:rsidP="00F35FF8">
            <w:pPr>
              <w:keepNext/>
              <w:keepLines/>
              <w:ind w:right="435"/>
              <w:jc w:val="right"/>
              <w:rPr>
                <w:rFonts w:asciiTheme="majorHAnsi" w:hAnsiTheme="majorHAnsi" w:cstheme="majorHAnsi"/>
              </w:rPr>
            </w:pPr>
            <w:r w:rsidRPr="00DE4CD2">
              <w:rPr>
                <w:rFonts w:asciiTheme="majorHAnsi" w:hAnsiTheme="majorHAnsi" w:cstheme="majorHAnsi"/>
              </w:rPr>
              <w:t>35,378</w:t>
            </w:r>
          </w:p>
        </w:tc>
        <w:tc>
          <w:tcPr>
            <w:tcW w:w="1742" w:type="dxa"/>
            <w:tcBorders>
              <w:top w:val="single" w:sz="4" w:space="0" w:color="auto"/>
              <w:left w:val="single" w:sz="4" w:space="0" w:color="auto"/>
              <w:bottom w:val="single" w:sz="4" w:space="0" w:color="auto"/>
              <w:right w:val="single" w:sz="4" w:space="0" w:color="auto"/>
            </w:tcBorders>
            <w:vAlign w:val="center"/>
          </w:tcPr>
          <w:p w14:paraId="5C74430A" w14:textId="77777777" w:rsidR="00723E3E" w:rsidRPr="00DE4CD2" w:rsidRDefault="00723E3E" w:rsidP="00F35FF8">
            <w:pPr>
              <w:ind w:right="435"/>
              <w:jc w:val="right"/>
              <w:rPr>
                <w:rFonts w:asciiTheme="majorHAnsi" w:hAnsiTheme="majorHAnsi" w:cstheme="majorHAnsi"/>
              </w:rPr>
            </w:pPr>
            <w:r w:rsidRPr="00DE4CD2">
              <w:rPr>
                <w:rFonts w:asciiTheme="majorHAnsi" w:hAnsiTheme="majorHAnsi" w:cstheme="majorHAnsi"/>
              </w:rPr>
              <w:t>173,084</w:t>
            </w:r>
          </w:p>
        </w:tc>
      </w:tr>
      <w:tr w:rsidR="00FC3526" w:rsidRPr="00DE4CD2" w14:paraId="6E8A7F8D" w14:textId="77777777" w:rsidTr="00F35FF8">
        <w:trPr>
          <w:cantSplit/>
        </w:trPr>
        <w:tc>
          <w:tcPr>
            <w:tcW w:w="2305" w:type="dxa"/>
            <w:tcBorders>
              <w:top w:val="single" w:sz="4" w:space="0" w:color="auto"/>
              <w:left w:val="single" w:sz="4" w:space="0" w:color="auto"/>
              <w:bottom w:val="single" w:sz="4" w:space="0" w:color="auto"/>
              <w:right w:val="single" w:sz="4" w:space="0" w:color="auto"/>
            </w:tcBorders>
            <w:vAlign w:val="center"/>
          </w:tcPr>
          <w:p w14:paraId="7A9E3FE0" w14:textId="77777777" w:rsidR="00723E3E" w:rsidRPr="00DE4CD2" w:rsidRDefault="00723E3E" w:rsidP="00F35FF8">
            <w:pPr>
              <w:keepNext/>
              <w:keepLines/>
              <w:rPr>
                <w:rFonts w:asciiTheme="majorHAnsi" w:hAnsiTheme="majorHAnsi" w:cstheme="majorHAnsi"/>
              </w:rPr>
            </w:pPr>
            <w:r w:rsidRPr="00DE4CD2">
              <w:rPr>
                <w:rFonts w:asciiTheme="majorHAnsi" w:hAnsiTheme="majorHAnsi" w:cstheme="majorHAnsi"/>
              </w:rPr>
              <w:t>Horizon Europe</w:t>
            </w:r>
          </w:p>
        </w:tc>
        <w:tc>
          <w:tcPr>
            <w:tcW w:w="1741" w:type="dxa"/>
            <w:tcBorders>
              <w:top w:val="single" w:sz="4" w:space="0" w:color="auto"/>
              <w:left w:val="single" w:sz="4" w:space="0" w:color="auto"/>
              <w:bottom w:val="single" w:sz="4" w:space="0" w:color="auto"/>
              <w:right w:val="single" w:sz="4" w:space="0" w:color="auto"/>
            </w:tcBorders>
            <w:vAlign w:val="center"/>
          </w:tcPr>
          <w:p w14:paraId="24056FC9" w14:textId="77777777" w:rsidR="00723E3E" w:rsidRPr="00DE4CD2" w:rsidRDefault="00723E3E" w:rsidP="00F35FF8">
            <w:pPr>
              <w:keepNext/>
              <w:keepLines/>
              <w:jc w:val="center"/>
              <w:rPr>
                <w:rFonts w:asciiTheme="majorHAnsi" w:hAnsiTheme="majorHAnsi" w:cstheme="majorHAnsi"/>
              </w:rPr>
            </w:pPr>
            <w:r w:rsidRPr="00DE4CD2">
              <w:rPr>
                <w:rFonts w:asciiTheme="majorHAnsi" w:hAnsiTheme="majorHAnsi" w:cstheme="majorHAnsi"/>
              </w:rPr>
              <w:t>2018 - 2021</w:t>
            </w:r>
          </w:p>
        </w:tc>
        <w:tc>
          <w:tcPr>
            <w:tcW w:w="1741" w:type="dxa"/>
            <w:tcBorders>
              <w:top w:val="single" w:sz="4" w:space="0" w:color="auto"/>
              <w:left w:val="single" w:sz="4" w:space="0" w:color="auto"/>
              <w:bottom w:val="single" w:sz="4" w:space="0" w:color="auto"/>
              <w:right w:val="single" w:sz="4" w:space="0" w:color="auto"/>
            </w:tcBorders>
            <w:vAlign w:val="center"/>
          </w:tcPr>
          <w:p w14:paraId="7F9E2BC9" w14:textId="77777777" w:rsidR="00723E3E" w:rsidRPr="00DE4CD2" w:rsidRDefault="00723E3E" w:rsidP="00F35FF8">
            <w:pPr>
              <w:keepNext/>
              <w:keepLines/>
              <w:ind w:right="435"/>
              <w:jc w:val="right"/>
              <w:rPr>
                <w:rFonts w:asciiTheme="majorHAnsi" w:hAnsiTheme="majorHAnsi" w:cstheme="majorHAnsi"/>
              </w:rPr>
            </w:pPr>
            <w:r w:rsidRPr="00DE4CD2">
              <w:rPr>
                <w:rFonts w:asciiTheme="majorHAnsi" w:hAnsiTheme="majorHAnsi" w:cstheme="majorHAnsi"/>
              </w:rPr>
              <w:t>5,763</w:t>
            </w:r>
          </w:p>
        </w:tc>
        <w:tc>
          <w:tcPr>
            <w:tcW w:w="1742" w:type="dxa"/>
            <w:tcBorders>
              <w:top w:val="single" w:sz="4" w:space="0" w:color="auto"/>
              <w:left w:val="single" w:sz="4" w:space="0" w:color="auto"/>
              <w:bottom w:val="single" w:sz="4" w:space="0" w:color="auto"/>
              <w:right w:val="single" w:sz="4" w:space="0" w:color="auto"/>
            </w:tcBorders>
            <w:vAlign w:val="center"/>
          </w:tcPr>
          <w:p w14:paraId="7202BFF1" w14:textId="77777777" w:rsidR="00723E3E" w:rsidRPr="00DE4CD2" w:rsidRDefault="00723E3E" w:rsidP="00F35FF8">
            <w:pPr>
              <w:ind w:right="435"/>
              <w:jc w:val="right"/>
              <w:rPr>
                <w:rFonts w:asciiTheme="majorHAnsi" w:hAnsiTheme="majorHAnsi" w:cstheme="majorHAnsi"/>
              </w:rPr>
            </w:pPr>
            <w:r w:rsidRPr="00DE4CD2">
              <w:rPr>
                <w:rFonts w:asciiTheme="majorHAnsi" w:hAnsiTheme="majorHAnsi" w:cstheme="majorHAnsi"/>
              </w:rPr>
              <w:t>40,274</w:t>
            </w:r>
          </w:p>
        </w:tc>
      </w:tr>
      <w:tr w:rsidR="00FC3526" w:rsidRPr="00DE4CD2" w14:paraId="71D9DCBF" w14:textId="77777777" w:rsidTr="00F35FF8">
        <w:trPr>
          <w:cantSplit/>
        </w:trPr>
        <w:tc>
          <w:tcPr>
            <w:tcW w:w="2305" w:type="dxa"/>
            <w:tcBorders>
              <w:top w:val="single" w:sz="4" w:space="0" w:color="auto"/>
              <w:left w:val="single" w:sz="4" w:space="0" w:color="auto"/>
              <w:bottom w:val="single" w:sz="4" w:space="0" w:color="auto"/>
              <w:right w:val="single" w:sz="4" w:space="0" w:color="auto"/>
            </w:tcBorders>
            <w:vAlign w:val="center"/>
            <w:hideMark/>
          </w:tcPr>
          <w:p w14:paraId="524C3FEE" w14:textId="77777777" w:rsidR="00723E3E" w:rsidRPr="00DE4CD2" w:rsidRDefault="00723E3E" w:rsidP="00F35FF8">
            <w:pPr>
              <w:keepNext/>
              <w:rPr>
                <w:rFonts w:asciiTheme="majorHAnsi" w:hAnsiTheme="majorHAnsi" w:cstheme="majorHAnsi"/>
              </w:rPr>
            </w:pPr>
            <w:r w:rsidRPr="00DE4CD2">
              <w:rPr>
                <w:rFonts w:asciiTheme="majorHAnsi" w:hAnsiTheme="majorHAnsi" w:cstheme="majorHAnsi"/>
              </w:rPr>
              <w:t>EUREKA</w:t>
            </w:r>
            <w:r w:rsidRPr="00DE4CD2">
              <w:rPr>
                <w:rFonts w:asciiTheme="majorHAnsi" w:eastAsia="Calibri" w:hAnsiTheme="majorHAnsi" w:cstheme="majorHAnsi"/>
                <w:vertAlign w:val="superscript"/>
              </w:rPr>
              <w:t>1</w:t>
            </w:r>
          </w:p>
        </w:tc>
        <w:tc>
          <w:tcPr>
            <w:tcW w:w="1741" w:type="dxa"/>
            <w:tcBorders>
              <w:top w:val="single" w:sz="4" w:space="0" w:color="auto"/>
              <w:left w:val="single" w:sz="4" w:space="0" w:color="auto"/>
              <w:bottom w:val="single" w:sz="4" w:space="0" w:color="auto"/>
              <w:right w:val="single" w:sz="4" w:space="0" w:color="auto"/>
            </w:tcBorders>
            <w:vAlign w:val="center"/>
            <w:hideMark/>
          </w:tcPr>
          <w:p w14:paraId="523D631A" w14:textId="77777777" w:rsidR="00723E3E" w:rsidRPr="00DE4CD2" w:rsidRDefault="00723E3E" w:rsidP="00F35FF8">
            <w:pPr>
              <w:jc w:val="center"/>
              <w:rPr>
                <w:rFonts w:asciiTheme="majorHAnsi" w:hAnsiTheme="majorHAnsi" w:cstheme="majorHAnsi"/>
              </w:rPr>
            </w:pPr>
            <w:r w:rsidRPr="00DE4CD2">
              <w:rPr>
                <w:rFonts w:asciiTheme="majorHAnsi" w:hAnsiTheme="majorHAnsi" w:cstheme="majorHAnsi"/>
              </w:rPr>
              <w:t>1985 - 2019</w:t>
            </w:r>
          </w:p>
        </w:tc>
        <w:tc>
          <w:tcPr>
            <w:tcW w:w="1741" w:type="dxa"/>
            <w:tcBorders>
              <w:top w:val="single" w:sz="4" w:space="0" w:color="auto"/>
              <w:left w:val="single" w:sz="4" w:space="0" w:color="auto"/>
              <w:bottom w:val="single" w:sz="4" w:space="0" w:color="auto"/>
              <w:right w:val="single" w:sz="4" w:space="0" w:color="auto"/>
            </w:tcBorders>
            <w:vAlign w:val="center"/>
          </w:tcPr>
          <w:p w14:paraId="180FCDE4" w14:textId="77777777" w:rsidR="00723E3E" w:rsidRPr="00DE4CD2" w:rsidRDefault="00723E3E" w:rsidP="00F35FF8">
            <w:pPr>
              <w:ind w:right="435"/>
              <w:jc w:val="right"/>
              <w:rPr>
                <w:rFonts w:asciiTheme="majorHAnsi" w:hAnsiTheme="majorHAnsi" w:cstheme="majorHAnsi"/>
              </w:rPr>
            </w:pPr>
            <w:r w:rsidRPr="00DE4CD2">
              <w:rPr>
                <w:rFonts w:asciiTheme="majorHAnsi" w:hAnsiTheme="majorHAnsi" w:cstheme="majorHAnsi"/>
              </w:rPr>
              <w:t>5,932</w:t>
            </w:r>
          </w:p>
        </w:tc>
        <w:tc>
          <w:tcPr>
            <w:tcW w:w="1742" w:type="dxa"/>
            <w:tcBorders>
              <w:top w:val="single" w:sz="4" w:space="0" w:color="auto"/>
              <w:left w:val="single" w:sz="4" w:space="0" w:color="auto"/>
              <w:bottom w:val="single" w:sz="4" w:space="0" w:color="auto"/>
              <w:right w:val="single" w:sz="4" w:space="0" w:color="auto"/>
            </w:tcBorders>
            <w:vAlign w:val="center"/>
          </w:tcPr>
          <w:p w14:paraId="315A5774" w14:textId="77777777" w:rsidR="00723E3E" w:rsidRPr="00DE4CD2" w:rsidRDefault="00723E3E" w:rsidP="00F35FF8">
            <w:pPr>
              <w:ind w:right="435"/>
              <w:jc w:val="right"/>
              <w:rPr>
                <w:rFonts w:asciiTheme="majorHAnsi" w:hAnsiTheme="majorHAnsi" w:cstheme="majorHAnsi"/>
              </w:rPr>
            </w:pPr>
            <w:r w:rsidRPr="00DE4CD2">
              <w:rPr>
                <w:rFonts w:asciiTheme="majorHAnsi" w:hAnsiTheme="majorHAnsi" w:cstheme="majorHAnsi"/>
              </w:rPr>
              <w:t>26,233</w:t>
            </w:r>
          </w:p>
        </w:tc>
      </w:tr>
      <w:tr w:rsidR="00FC3526" w:rsidRPr="00DE4CD2" w14:paraId="6190BF5F" w14:textId="77777777" w:rsidTr="00F35FF8">
        <w:trPr>
          <w:cantSplit/>
        </w:trPr>
        <w:tc>
          <w:tcPr>
            <w:tcW w:w="2305" w:type="dxa"/>
            <w:tcBorders>
              <w:top w:val="single" w:sz="4" w:space="0" w:color="auto"/>
              <w:left w:val="single" w:sz="4" w:space="0" w:color="auto"/>
              <w:bottom w:val="single" w:sz="4" w:space="0" w:color="auto"/>
              <w:right w:val="single" w:sz="4" w:space="0" w:color="auto"/>
            </w:tcBorders>
            <w:vAlign w:val="center"/>
            <w:hideMark/>
          </w:tcPr>
          <w:p w14:paraId="4DF682E6" w14:textId="77777777" w:rsidR="00723E3E" w:rsidRPr="00DE4CD2" w:rsidRDefault="00723E3E" w:rsidP="00F35FF8">
            <w:pPr>
              <w:keepNext/>
              <w:rPr>
                <w:rFonts w:asciiTheme="majorHAnsi" w:hAnsiTheme="majorHAnsi" w:cstheme="majorHAnsi"/>
              </w:rPr>
            </w:pPr>
            <w:r w:rsidRPr="00DE4CD2">
              <w:rPr>
                <w:rFonts w:asciiTheme="majorHAnsi" w:hAnsiTheme="majorHAnsi" w:cstheme="majorHAnsi"/>
              </w:rPr>
              <w:t>JTIs</w:t>
            </w:r>
            <w:r w:rsidRPr="00DE4CD2">
              <w:rPr>
                <w:rFonts w:asciiTheme="majorHAnsi" w:eastAsia="Calibri" w:hAnsiTheme="majorHAnsi" w:cstheme="majorHAnsi"/>
                <w:vertAlign w:val="superscript"/>
              </w:rPr>
              <w:t>2</w:t>
            </w:r>
          </w:p>
        </w:tc>
        <w:tc>
          <w:tcPr>
            <w:tcW w:w="1741" w:type="dxa"/>
            <w:tcBorders>
              <w:top w:val="single" w:sz="4" w:space="0" w:color="auto"/>
              <w:left w:val="single" w:sz="4" w:space="0" w:color="auto"/>
              <w:bottom w:val="single" w:sz="4" w:space="0" w:color="auto"/>
              <w:right w:val="single" w:sz="4" w:space="0" w:color="auto"/>
            </w:tcBorders>
            <w:vAlign w:val="center"/>
            <w:hideMark/>
          </w:tcPr>
          <w:p w14:paraId="0508809C" w14:textId="77777777" w:rsidR="00723E3E" w:rsidRPr="00DE4CD2" w:rsidRDefault="00723E3E" w:rsidP="00F35FF8">
            <w:pPr>
              <w:jc w:val="center"/>
              <w:rPr>
                <w:rFonts w:asciiTheme="majorHAnsi" w:hAnsiTheme="majorHAnsi" w:cstheme="majorHAnsi"/>
              </w:rPr>
            </w:pPr>
            <w:r w:rsidRPr="00DE4CD2">
              <w:rPr>
                <w:rFonts w:asciiTheme="majorHAnsi" w:hAnsiTheme="majorHAnsi" w:cstheme="majorHAnsi"/>
              </w:rPr>
              <w:t>2008 - 2014</w:t>
            </w:r>
          </w:p>
        </w:tc>
        <w:tc>
          <w:tcPr>
            <w:tcW w:w="1741" w:type="dxa"/>
            <w:tcBorders>
              <w:top w:val="single" w:sz="4" w:space="0" w:color="auto"/>
              <w:left w:val="single" w:sz="4" w:space="0" w:color="auto"/>
              <w:bottom w:val="single" w:sz="4" w:space="0" w:color="auto"/>
              <w:right w:val="single" w:sz="4" w:space="0" w:color="auto"/>
            </w:tcBorders>
            <w:vAlign w:val="center"/>
            <w:hideMark/>
          </w:tcPr>
          <w:p w14:paraId="323A85FD" w14:textId="77777777" w:rsidR="00723E3E" w:rsidRPr="00DE4CD2" w:rsidRDefault="00723E3E" w:rsidP="00F35FF8">
            <w:pPr>
              <w:ind w:right="435"/>
              <w:jc w:val="right"/>
              <w:rPr>
                <w:rFonts w:asciiTheme="majorHAnsi" w:hAnsiTheme="majorHAnsi" w:cstheme="majorHAnsi"/>
              </w:rPr>
            </w:pPr>
            <w:r w:rsidRPr="00DE4CD2">
              <w:rPr>
                <w:rFonts w:asciiTheme="majorHAnsi" w:hAnsiTheme="majorHAnsi" w:cstheme="majorHAnsi"/>
              </w:rPr>
              <w:t>133</w:t>
            </w:r>
          </w:p>
        </w:tc>
        <w:tc>
          <w:tcPr>
            <w:tcW w:w="1742" w:type="dxa"/>
            <w:tcBorders>
              <w:top w:val="single" w:sz="4" w:space="0" w:color="auto"/>
              <w:left w:val="single" w:sz="4" w:space="0" w:color="auto"/>
              <w:bottom w:val="single" w:sz="4" w:space="0" w:color="auto"/>
              <w:right w:val="single" w:sz="4" w:space="0" w:color="auto"/>
            </w:tcBorders>
            <w:vAlign w:val="center"/>
            <w:hideMark/>
          </w:tcPr>
          <w:p w14:paraId="0A32FFEC" w14:textId="77777777" w:rsidR="00723E3E" w:rsidRPr="00DE4CD2" w:rsidRDefault="00723E3E" w:rsidP="00F35FF8">
            <w:pPr>
              <w:ind w:right="435"/>
              <w:jc w:val="right"/>
              <w:rPr>
                <w:rFonts w:asciiTheme="majorHAnsi" w:hAnsiTheme="majorHAnsi" w:cstheme="majorHAnsi"/>
              </w:rPr>
            </w:pPr>
            <w:r w:rsidRPr="00DE4CD2">
              <w:rPr>
                <w:rFonts w:asciiTheme="majorHAnsi" w:hAnsiTheme="majorHAnsi" w:cstheme="majorHAnsi"/>
              </w:rPr>
              <w:t>2,612</w:t>
            </w:r>
          </w:p>
        </w:tc>
      </w:tr>
      <w:tr w:rsidR="00FC3526" w:rsidRPr="00DE4CD2" w14:paraId="4AE643ED" w14:textId="77777777" w:rsidTr="00F35FF8">
        <w:trPr>
          <w:cantSplit/>
        </w:trPr>
        <w:tc>
          <w:tcPr>
            <w:tcW w:w="2305" w:type="dxa"/>
            <w:tcBorders>
              <w:top w:val="single" w:sz="4" w:space="0" w:color="auto"/>
              <w:left w:val="single" w:sz="4" w:space="0" w:color="auto"/>
              <w:bottom w:val="single" w:sz="4" w:space="0" w:color="auto"/>
              <w:right w:val="single" w:sz="4" w:space="0" w:color="auto"/>
            </w:tcBorders>
            <w:vAlign w:val="center"/>
            <w:hideMark/>
          </w:tcPr>
          <w:p w14:paraId="090A9A06" w14:textId="77777777" w:rsidR="00723E3E" w:rsidRPr="00DE4CD2" w:rsidRDefault="00723E3E" w:rsidP="00F35FF8">
            <w:pPr>
              <w:keepNext/>
              <w:rPr>
                <w:rFonts w:asciiTheme="majorHAnsi" w:hAnsiTheme="majorHAnsi" w:cstheme="majorHAnsi"/>
              </w:rPr>
            </w:pPr>
            <w:r w:rsidRPr="00DE4CD2">
              <w:rPr>
                <w:rFonts w:asciiTheme="majorHAnsi" w:hAnsiTheme="majorHAnsi" w:cstheme="majorHAnsi"/>
              </w:rPr>
              <w:t>COST</w:t>
            </w:r>
          </w:p>
        </w:tc>
        <w:tc>
          <w:tcPr>
            <w:tcW w:w="1741" w:type="dxa"/>
            <w:tcBorders>
              <w:top w:val="single" w:sz="4" w:space="0" w:color="auto"/>
              <w:left w:val="single" w:sz="4" w:space="0" w:color="auto"/>
              <w:bottom w:val="single" w:sz="4" w:space="0" w:color="auto"/>
              <w:right w:val="single" w:sz="4" w:space="0" w:color="auto"/>
            </w:tcBorders>
            <w:vAlign w:val="center"/>
            <w:hideMark/>
          </w:tcPr>
          <w:p w14:paraId="76C38AFA" w14:textId="77777777" w:rsidR="00723E3E" w:rsidRPr="00DE4CD2" w:rsidRDefault="00723E3E" w:rsidP="00F35FF8">
            <w:pPr>
              <w:jc w:val="center"/>
              <w:rPr>
                <w:rFonts w:asciiTheme="majorHAnsi" w:hAnsiTheme="majorHAnsi" w:cstheme="majorHAnsi"/>
              </w:rPr>
            </w:pPr>
            <w:r w:rsidRPr="00DE4CD2">
              <w:rPr>
                <w:rFonts w:asciiTheme="majorHAnsi" w:hAnsiTheme="majorHAnsi" w:cstheme="majorHAnsi"/>
              </w:rPr>
              <w:t>1971 - 2014</w:t>
            </w:r>
          </w:p>
        </w:tc>
        <w:tc>
          <w:tcPr>
            <w:tcW w:w="1741" w:type="dxa"/>
            <w:tcBorders>
              <w:top w:val="single" w:sz="4" w:space="0" w:color="auto"/>
              <w:left w:val="single" w:sz="4" w:space="0" w:color="auto"/>
              <w:bottom w:val="single" w:sz="4" w:space="0" w:color="auto"/>
              <w:right w:val="single" w:sz="4" w:space="0" w:color="auto"/>
            </w:tcBorders>
            <w:vAlign w:val="center"/>
            <w:hideMark/>
          </w:tcPr>
          <w:p w14:paraId="46B79EDE" w14:textId="77777777" w:rsidR="00723E3E" w:rsidRPr="00DE4CD2" w:rsidRDefault="00723E3E" w:rsidP="00F35FF8">
            <w:pPr>
              <w:ind w:right="435"/>
              <w:jc w:val="right"/>
              <w:rPr>
                <w:rFonts w:asciiTheme="majorHAnsi" w:hAnsiTheme="majorHAnsi" w:cstheme="majorHAnsi"/>
              </w:rPr>
            </w:pPr>
            <w:r w:rsidRPr="00DE4CD2">
              <w:rPr>
                <w:rFonts w:asciiTheme="majorHAnsi" w:hAnsiTheme="majorHAnsi" w:cstheme="majorHAnsi"/>
              </w:rPr>
              <w:t>1,132</w:t>
            </w:r>
          </w:p>
        </w:tc>
        <w:tc>
          <w:tcPr>
            <w:tcW w:w="1742" w:type="dxa"/>
            <w:tcBorders>
              <w:top w:val="single" w:sz="4" w:space="0" w:color="auto"/>
              <w:left w:val="single" w:sz="4" w:space="0" w:color="auto"/>
              <w:bottom w:val="single" w:sz="4" w:space="0" w:color="auto"/>
              <w:right w:val="single" w:sz="4" w:space="0" w:color="auto"/>
            </w:tcBorders>
            <w:vAlign w:val="center"/>
            <w:hideMark/>
          </w:tcPr>
          <w:p w14:paraId="0D5682D8" w14:textId="77777777" w:rsidR="00723E3E" w:rsidRPr="00DE4CD2" w:rsidRDefault="00723E3E" w:rsidP="00F35FF8">
            <w:pPr>
              <w:ind w:right="435"/>
              <w:jc w:val="right"/>
              <w:rPr>
                <w:rFonts w:asciiTheme="majorHAnsi" w:hAnsiTheme="majorHAnsi" w:cstheme="majorHAnsi"/>
              </w:rPr>
            </w:pPr>
            <w:r w:rsidRPr="00DE4CD2">
              <w:rPr>
                <w:rFonts w:asciiTheme="majorHAnsi" w:hAnsiTheme="majorHAnsi" w:cstheme="majorHAnsi"/>
              </w:rPr>
              <w:t>35,543</w:t>
            </w:r>
          </w:p>
        </w:tc>
      </w:tr>
      <w:tr w:rsidR="00FC3526" w:rsidRPr="00DE4CD2" w14:paraId="7EA3B8B4" w14:textId="77777777" w:rsidTr="00F35FF8">
        <w:trPr>
          <w:cantSplit/>
        </w:trPr>
        <w:tc>
          <w:tcPr>
            <w:tcW w:w="2305" w:type="dxa"/>
            <w:tcBorders>
              <w:top w:val="single" w:sz="4" w:space="0" w:color="auto"/>
              <w:left w:val="single" w:sz="4" w:space="0" w:color="auto"/>
              <w:bottom w:val="single" w:sz="4" w:space="0" w:color="auto"/>
              <w:right w:val="single" w:sz="4" w:space="0" w:color="auto"/>
            </w:tcBorders>
            <w:vAlign w:val="center"/>
          </w:tcPr>
          <w:p w14:paraId="7EC8C26C" w14:textId="77777777" w:rsidR="00723E3E" w:rsidRPr="00DE4CD2" w:rsidRDefault="00723E3E" w:rsidP="00F35FF8">
            <w:pPr>
              <w:keepNext/>
              <w:rPr>
                <w:rFonts w:asciiTheme="majorHAnsi" w:hAnsiTheme="majorHAnsi" w:cstheme="majorHAnsi"/>
              </w:rPr>
            </w:pPr>
            <w:r w:rsidRPr="00DE4CD2">
              <w:rPr>
                <w:rFonts w:asciiTheme="majorHAnsi" w:hAnsiTheme="majorHAnsi" w:cstheme="majorHAnsi"/>
              </w:rPr>
              <w:t>NATPRO (total)</w:t>
            </w:r>
            <w:r w:rsidRPr="00DE4CD2">
              <w:rPr>
                <w:rFonts w:asciiTheme="majorHAnsi" w:eastAsia="Calibri" w:hAnsiTheme="majorHAnsi" w:cstheme="majorHAnsi"/>
                <w:vertAlign w:val="superscript"/>
              </w:rPr>
              <w:t xml:space="preserve"> 3</w:t>
            </w:r>
          </w:p>
        </w:tc>
        <w:tc>
          <w:tcPr>
            <w:tcW w:w="1741" w:type="dxa"/>
            <w:tcBorders>
              <w:top w:val="single" w:sz="4" w:space="0" w:color="auto"/>
              <w:left w:val="single" w:sz="4" w:space="0" w:color="auto"/>
              <w:bottom w:val="single" w:sz="4" w:space="0" w:color="auto"/>
              <w:right w:val="single" w:sz="4" w:space="0" w:color="auto"/>
            </w:tcBorders>
            <w:vAlign w:val="center"/>
          </w:tcPr>
          <w:p w14:paraId="76D79594" w14:textId="77777777" w:rsidR="00723E3E" w:rsidRPr="00DE4CD2" w:rsidRDefault="00723E3E" w:rsidP="00F35FF8">
            <w:pPr>
              <w:jc w:val="center"/>
              <w:rPr>
                <w:rFonts w:asciiTheme="majorHAnsi" w:hAnsiTheme="majorHAnsi" w:cstheme="majorHAnsi"/>
              </w:rPr>
            </w:pPr>
            <w:r w:rsidRPr="00DE4CD2">
              <w:rPr>
                <w:rFonts w:asciiTheme="majorHAnsi" w:hAnsiTheme="majorHAnsi" w:cstheme="majorHAnsi"/>
              </w:rPr>
              <w:t>2010 - 2022</w:t>
            </w:r>
          </w:p>
        </w:tc>
        <w:tc>
          <w:tcPr>
            <w:tcW w:w="1741" w:type="dxa"/>
            <w:tcBorders>
              <w:top w:val="single" w:sz="4" w:space="0" w:color="auto"/>
              <w:left w:val="single" w:sz="4" w:space="0" w:color="auto"/>
              <w:bottom w:val="single" w:sz="4" w:space="0" w:color="auto"/>
              <w:right w:val="single" w:sz="4" w:space="0" w:color="auto"/>
            </w:tcBorders>
            <w:vAlign w:val="center"/>
          </w:tcPr>
          <w:p w14:paraId="479241C8" w14:textId="77777777" w:rsidR="00723E3E" w:rsidRPr="00DE4CD2" w:rsidRDefault="00723E3E" w:rsidP="00F35FF8">
            <w:pPr>
              <w:ind w:right="435"/>
              <w:jc w:val="right"/>
              <w:rPr>
                <w:rFonts w:asciiTheme="majorHAnsi" w:hAnsiTheme="majorHAnsi" w:cstheme="majorHAnsi"/>
              </w:rPr>
            </w:pPr>
            <w:r w:rsidRPr="00DE4CD2">
              <w:rPr>
                <w:rFonts w:asciiTheme="majorHAnsi" w:hAnsiTheme="majorHAnsi" w:cstheme="majorHAnsi"/>
              </w:rPr>
              <w:t>528,693</w:t>
            </w:r>
          </w:p>
        </w:tc>
        <w:tc>
          <w:tcPr>
            <w:tcW w:w="1742" w:type="dxa"/>
            <w:tcBorders>
              <w:top w:val="single" w:sz="4" w:space="0" w:color="auto"/>
              <w:left w:val="single" w:sz="4" w:space="0" w:color="auto"/>
              <w:bottom w:val="single" w:sz="4" w:space="0" w:color="auto"/>
              <w:right w:val="single" w:sz="4" w:space="0" w:color="auto"/>
            </w:tcBorders>
            <w:vAlign w:val="center"/>
          </w:tcPr>
          <w:p w14:paraId="50F2689A" w14:textId="77777777" w:rsidR="00723E3E" w:rsidRPr="00DE4CD2" w:rsidRDefault="00723E3E" w:rsidP="00F35FF8">
            <w:pPr>
              <w:ind w:right="435"/>
              <w:jc w:val="right"/>
              <w:rPr>
                <w:rFonts w:asciiTheme="majorHAnsi" w:hAnsiTheme="majorHAnsi" w:cstheme="majorHAnsi"/>
              </w:rPr>
            </w:pPr>
            <w:r w:rsidRPr="00DE4CD2">
              <w:rPr>
                <w:rFonts w:asciiTheme="majorHAnsi" w:hAnsiTheme="majorHAnsi" w:cstheme="majorHAnsi"/>
              </w:rPr>
              <w:t>786,138</w:t>
            </w:r>
          </w:p>
        </w:tc>
      </w:tr>
      <w:tr w:rsidR="00FC3526" w:rsidRPr="00DE4CD2" w14:paraId="76E95DB6" w14:textId="77777777" w:rsidTr="00F35FF8">
        <w:trPr>
          <w:cantSplit/>
        </w:trPr>
        <w:tc>
          <w:tcPr>
            <w:tcW w:w="2305" w:type="dxa"/>
            <w:tcBorders>
              <w:top w:val="single" w:sz="4" w:space="0" w:color="auto"/>
              <w:left w:val="single" w:sz="4" w:space="0" w:color="auto"/>
              <w:bottom w:val="single" w:sz="4" w:space="0" w:color="auto"/>
              <w:right w:val="single" w:sz="4" w:space="0" w:color="auto"/>
            </w:tcBorders>
            <w:vAlign w:val="center"/>
            <w:hideMark/>
          </w:tcPr>
          <w:p w14:paraId="69F1CCA5" w14:textId="77777777" w:rsidR="00723E3E" w:rsidRPr="00DE4CD2" w:rsidRDefault="00723E3E" w:rsidP="00F35FF8">
            <w:pPr>
              <w:keepNext/>
              <w:rPr>
                <w:rFonts w:asciiTheme="majorHAnsi" w:hAnsiTheme="majorHAnsi" w:cstheme="majorHAnsi"/>
                <w:b/>
              </w:rPr>
            </w:pPr>
            <w:r w:rsidRPr="00DE4CD2">
              <w:rPr>
                <w:rFonts w:asciiTheme="majorHAnsi" w:hAnsiTheme="majorHAnsi" w:cstheme="majorHAnsi"/>
                <w:b/>
              </w:rPr>
              <w:t xml:space="preserve">Total </w:t>
            </w:r>
          </w:p>
        </w:tc>
        <w:tc>
          <w:tcPr>
            <w:tcW w:w="1741" w:type="dxa"/>
            <w:tcBorders>
              <w:top w:val="single" w:sz="4" w:space="0" w:color="auto"/>
              <w:left w:val="single" w:sz="4" w:space="0" w:color="auto"/>
              <w:bottom w:val="single" w:sz="4" w:space="0" w:color="auto"/>
              <w:right w:val="single" w:sz="4" w:space="0" w:color="auto"/>
            </w:tcBorders>
            <w:vAlign w:val="center"/>
            <w:hideMark/>
          </w:tcPr>
          <w:p w14:paraId="7C44CE7F" w14:textId="77777777" w:rsidR="00723E3E" w:rsidRPr="00DE4CD2" w:rsidRDefault="00723E3E" w:rsidP="00F35FF8">
            <w:pPr>
              <w:jc w:val="center"/>
              <w:rPr>
                <w:rFonts w:asciiTheme="majorHAnsi" w:hAnsiTheme="majorHAnsi" w:cstheme="majorHAnsi"/>
                <w:b/>
              </w:rPr>
            </w:pPr>
            <w:r w:rsidRPr="00DE4CD2">
              <w:rPr>
                <w:rFonts w:asciiTheme="majorHAnsi" w:hAnsiTheme="majorHAnsi" w:cstheme="majorHAnsi"/>
                <w:b/>
              </w:rPr>
              <w:t>1971 - 2022</w:t>
            </w:r>
          </w:p>
        </w:tc>
        <w:tc>
          <w:tcPr>
            <w:tcW w:w="1741" w:type="dxa"/>
            <w:tcBorders>
              <w:top w:val="single" w:sz="4" w:space="0" w:color="auto"/>
              <w:left w:val="single" w:sz="4" w:space="0" w:color="auto"/>
              <w:bottom w:val="single" w:sz="4" w:space="0" w:color="auto"/>
              <w:right w:val="single" w:sz="4" w:space="0" w:color="auto"/>
            </w:tcBorders>
            <w:vAlign w:val="center"/>
            <w:hideMark/>
          </w:tcPr>
          <w:p w14:paraId="76B2E84D" w14:textId="77777777" w:rsidR="00723E3E" w:rsidRPr="00DE4CD2" w:rsidRDefault="00723E3E" w:rsidP="00F35FF8">
            <w:pPr>
              <w:ind w:right="435"/>
              <w:jc w:val="right"/>
              <w:rPr>
                <w:rFonts w:asciiTheme="majorHAnsi" w:hAnsiTheme="majorHAnsi" w:cstheme="majorHAnsi"/>
                <w:b/>
              </w:rPr>
            </w:pPr>
            <w:r w:rsidRPr="00DE4CD2">
              <w:rPr>
                <w:rFonts w:asciiTheme="majorHAnsi" w:hAnsiTheme="majorHAnsi" w:cstheme="majorHAnsi"/>
                <w:b/>
              </w:rPr>
              <w:t>656,275</w:t>
            </w:r>
          </w:p>
        </w:tc>
        <w:tc>
          <w:tcPr>
            <w:tcW w:w="1742" w:type="dxa"/>
            <w:tcBorders>
              <w:top w:val="single" w:sz="4" w:space="0" w:color="auto"/>
              <w:left w:val="single" w:sz="4" w:space="0" w:color="auto"/>
              <w:bottom w:val="single" w:sz="4" w:space="0" w:color="auto"/>
              <w:right w:val="single" w:sz="4" w:space="0" w:color="auto"/>
            </w:tcBorders>
            <w:vAlign w:val="center"/>
            <w:hideMark/>
          </w:tcPr>
          <w:p w14:paraId="4886D014" w14:textId="77777777" w:rsidR="00723E3E" w:rsidRPr="00DE4CD2" w:rsidRDefault="00723E3E" w:rsidP="00F35FF8">
            <w:pPr>
              <w:ind w:right="435"/>
              <w:jc w:val="right"/>
              <w:rPr>
                <w:rFonts w:asciiTheme="majorHAnsi" w:hAnsiTheme="majorHAnsi" w:cstheme="majorHAnsi"/>
                <w:b/>
              </w:rPr>
            </w:pPr>
            <w:r w:rsidRPr="00DE4CD2">
              <w:rPr>
                <w:rFonts w:asciiTheme="majorHAnsi" w:hAnsiTheme="majorHAnsi" w:cstheme="majorHAnsi"/>
                <w:b/>
              </w:rPr>
              <w:t>1,483,605</w:t>
            </w:r>
          </w:p>
        </w:tc>
      </w:tr>
    </w:tbl>
    <w:p w14:paraId="71BD1623" w14:textId="77777777" w:rsidR="00723E3E" w:rsidRPr="00DE4CD2" w:rsidRDefault="00723E3E" w:rsidP="00723E3E">
      <w:pPr>
        <w:spacing w:after="240" w:line="276" w:lineRule="auto"/>
        <w:ind w:right="1977"/>
        <w:rPr>
          <w:rFonts w:asciiTheme="majorHAnsi" w:eastAsia="Calibri" w:hAnsiTheme="majorHAnsi" w:cstheme="majorHAnsi"/>
          <w:sz w:val="18"/>
          <w:szCs w:val="20"/>
          <w:lang w:eastAsia="en-US"/>
        </w:rPr>
      </w:pPr>
      <w:r w:rsidRPr="00DE4CD2">
        <w:rPr>
          <w:rFonts w:asciiTheme="majorHAnsi" w:eastAsia="Calibri" w:hAnsiTheme="majorHAnsi" w:cstheme="majorHAnsi"/>
          <w:sz w:val="18"/>
          <w:szCs w:val="20"/>
          <w:lang w:eastAsia="en-US"/>
        </w:rPr>
        <w:t xml:space="preserve">Note: </w:t>
      </w:r>
      <w:r w:rsidRPr="00DE4CD2">
        <w:rPr>
          <w:rFonts w:asciiTheme="majorHAnsi" w:eastAsia="Calibri" w:hAnsiTheme="majorHAnsi" w:cstheme="majorHAnsi"/>
          <w:sz w:val="18"/>
          <w:szCs w:val="20"/>
          <w:vertAlign w:val="superscript"/>
          <w:lang w:eastAsia="en-US"/>
        </w:rPr>
        <w:t>1</w:t>
      </w:r>
      <w:r w:rsidRPr="00DE4CD2">
        <w:rPr>
          <w:rFonts w:asciiTheme="majorHAnsi" w:eastAsia="Calibri" w:hAnsiTheme="majorHAnsi" w:cstheme="majorHAnsi"/>
          <w:sz w:val="18"/>
          <w:szCs w:val="20"/>
          <w:lang w:eastAsia="en-US"/>
        </w:rPr>
        <w:t xml:space="preserve">including all projects starting before January 2020, </w:t>
      </w:r>
      <w:r w:rsidRPr="00DE4CD2">
        <w:rPr>
          <w:rFonts w:asciiTheme="majorHAnsi" w:eastAsia="Calibri" w:hAnsiTheme="majorHAnsi" w:cstheme="majorHAnsi"/>
          <w:sz w:val="18"/>
          <w:szCs w:val="20"/>
          <w:vertAlign w:val="superscript"/>
          <w:lang w:eastAsia="en-US"/>
        </w:rPr>
        <w:t>2</w:t>
      </w:r>
      <w:r w:rsidRPr="00DE4CD2">
        <w:rPr>
          <w:rFonts w:asciiTheme="majorHAnsi" w:eastAsia="Calibri" w:hAnsiTheme="majorHAnsi" w:cstheme="majorHAnsi"/>
          <w:sz w:val="18"/>
          <w:szCs w:val="20"/>
          <w:lang w:eastAsia="en-US"/>
        </w:rPr>
        <w:t xml:space="preserve">Including ARTEMIS (calls 2009-2013), ENIAC (calls 2008-2013), ECSEL (2014); </w:t>
      </w:r>
      <w:r w:rsidRPr="00DE4CD2">
        <w:rPr>
          <w:rFonts w:asciiTheme="majorHAnsi" w:eastAsia="Calibri" w:hAnsiTheme="majorHAnsi" w:cstheme="majorHAnsi"/>
          <w:sz w:val="18"/>
          <w:szCs w:val="20"/>
          <w:vertAlign w:val="superscript"/>
          <w:lang w:eastAsia="en-US"/>
        </w:rPr>
        <w:t>3</w:t>
      </w:r>
      <w:r w:rsidRPr="00DE4CD2">
        <w:rPr>
          <w:rFonts w:asciiTheme="majorHAnsi" w:eastAsia="Calibri" w:hAnsiTheme="majorHAnsi" w:cstheme="majorHAnsi"/>
          <w:sz w:val="18"/>
          <w:szCs w:val="20"/>
          <w:lang w:eastAsia="en-US"/>
        </w:rPr>
        <w:t>NATPRO includes 16 countries and 78 RFOs. Time coverage up to 2022 for 6 countries and up to 2020 or 2021 for another 9 countries (Italy’s data is only available until 2015). For 11 NATPRO countries data before 2010 is also included.</w:t>
      </w:r>
    </w:p>
    <w:p w14:paraId="1F8B4EB2" w14:textId="0BAD27FF" w:rsidR="00B250DD" w:rsidRPr="00DE4CD2" w:rsidRDefault="00B250DD" w:rsidP="00406CE0">
      <w:pPr>
        <w:pStyle w:val="Beschriftung"/>
        <w:keepNext/>
        <w:jc w:val="both"/>
        <w:rPr>
          <w:rFonts w:asciiTheme="majorHAnsi" w:hAnsiTheme="majorHAnsi" w:cstheme="majorHAnsi"/>
          <w:color w:val="auto"/>
          <w:sz w:val="24"/>
          <w:szCs w:val="24"/>
        </w:rPr>
      </w:pPr>
      <w:r w:rsidRPr="00DE4CD2">
        <w:rPr>
          <w:rFonts w:asciiTheme="majorHAnsi" w:hAnsiTheme="majorHAnsi" w:cstheme="majorHAnsi"/>
          <w:i w:val="0"/>
          <w:iCs w:val="0"/>
          <w:color w:val="auto"/>
          <w:sz w:val="24"/>
          <w:szCs w:val="24"/>
          <w:lang w:val="en-US"/>
        </w:rPr>
        <w:lastRenderedPageBreak/>
        <w:t xml:space="preserve">Table 3 complements the picture providing a more detailed overview on the coverage of the NATPRO module. It can be seen that </w:t>
      </w:r>
      <w:r w:rsidR="00406CE0" w:rsidRPr="00DE4CD2">
        <w:rPr>
          <w:rFonts w:asciiTheme="majorHAnsi" w:hAnsiTheme="majorHAnsi" w:cstheme="majorHAnsi"/>
          <w:i w:val="0"/>
          <w:iCs w:val="0"/>
          <w:color w:val="auto"/>
          <w:sz w:val="24"/>
          <w:szCs w:val="24"/>
          <w:lang w:val="en-US"/>
        </w:rPr>
        <w:t xml:space="preserve">the large European countries (Germany, France, Italy, UK and Poland) are </w:t>
      </w:r>
      <w:r w:rsidR="00B90855" w:rsidRPr="00DE4CD2">
        <w:rPr>
          <w:rFonts w:asciiTheme="majorHAnsi" w:hAnsiTheme="majorHAnsi" w:cstheme="majorHAnsi"/>
          <w:i w:val="0"/>
          <w:iCs w:val="0"/>
          <w:color w:val="auto"/>
          <w:sz w:val="24"/>
          <w:szCs w:val="24"/>
          <w:lang w:val="en-US"/>
        </w:rPr>
        <w:t>part of the NATPRO perimeter</w:t>
      </w:r>
      <w:r w:rsidR="00406CE0" w:rsidRPr="00DE4CD2">
        <w:rPr>
          <w:rFonts w:asciiTheme="majorHAnsi" w:hAnsiTheme="majorHAnsi" w:cstheme="majorHAnsi"/>
          <w:i w:val="0"/>
          <w:iCs w:val="0"/>
          <w:color w:val="auto"/>
          <w:sz w:val="24"/>
          <w:szCs w:val="24"/>
          <w:lang w:val="en-US"/>
        </w:rPr>
        <w:t xml:space="preserve"> (with the exception of Spain which has an extremely complex funding system</w:t>
      </w:r>
      <w:r w:rsidR="00B90855" w:rsidRPr="00DE4CD2">
        <w:rPr>
          <w:rFonts w:asciiTheme="majorHAnsi" w:hAnsiTheme="majorHAnsi" w:cstheme="majorHAnsi"/>
          <w:i w:val="0"/>
          <w:iCs w:val="0"/>
          <w:color w:val="auto"/>
          <w:sz w:val="24"/>
          <w:szCs w:val="24"/>
          <w:lang w:val="en-US"/>
        </w:rPr>
        <w:t>)</w:t>
      </w:r>
      <w:r w:rsidR="00406CE0" w:rsidRPr="00DE4CD2">
        <w:rPr>
          <w:rFonts w:asciiTheme="majorHAnsi" w:hAnsiTheme="majorHAnsi" w:cstheme="majorHAnsi"/>
          <w:i w:val="0"/>
          <w:iCs w:val="0"/>
          <w:color w:val="auto"/>
          <w:sz w:val="24"/>
          <w:szCs w:val="24"/>
          <w:lang w:val="en-US"/>
        </w:rPr>
        <w:t>. Moreover, from the beginning</w:t>
      </w:r>
      <w:r w:rsidR="00B90855" w:rsidRPr="00DE4CD2">
        <w:rPr>
          <w:rFonts w:asciiTheme="majorHAnsi" w:hAnsiTheme="majorHAnsi" w:cstheme="majorHAnsi"/>
          <w:i w:val="0"/>
          <w:iCs w:val="0"/>
          <w:color w:val="auto"/>
          <w:sz w:val="24"/>
          <w:szCs w:val="24"/>
          <w:lang w:val="en-US"/>
        </w:rPr>
        <w:t xml:space="preserve"> of the NATPRO development</w:t>
      </w:r>
      <w:r w:rsidR="00406CE0" w:rsidRPr="00DE4CD2">
        <w:rPr>
          <w:rFonts w:asciiTheme="majorHAnsi" w:hAnsiTheme="majorHAnsi" w:cstheme="majorHAnsi"/>
          <w:i w:val="0"/>
          <w:iCs w:val="0"/>
          <w:color w:val="auto"/>
          <w:sz w:val="24"/>
          <w:szCs w:val="24"/>
          <w:lang w:val="en-US"/>
        </w:rPr>
        <w:t xml:space="preserve"> new member states have been included in the data collection (Poland, Czech Republic, Estonia, Croatia, Lithuania, Slovenia and Slovakia)</w:t>
      </w:r>
      <w:r w:rsidR="00B90855" w:rsidRPr="00DE4CD2">
        <w:rPr>
          <w:rFonts w:asciiTheme="majorHAnsi" w:hAnsiTheme="majorHAnsi" w:cstheme="majorHAnsi"/>
          <w:i w:val="0"/>
          <w:iCs w:val="0"/>
          <w:color w:val="auto"/>
          <w:sz w:val="24"/>
          <w:szCs w:val="24"/>
          <w:lang w:val="en-US"/>
        </w:rPr>
        <w:t>.</w:t>
      </w:r>
    </w:p>
    <w:p w14:paraId="15156262" w14:textId="5D79AA68" w:rsidR="009912D5" w:rsidRPr="00DE4CD2" w:rsidRDefault="009912D5" w:rsidP="009912D5">
      <w:pPr>
        <w:pStyle w:val="Beschriftung"/>
        <w:keepNext/>
        <w:rPr>
          <w:rFonts w:asciiTheme="majorHAnsi" w:hAnsiTheme="majorHAnsi" w:cstheme="majorHAnsi"/>
          <w:color w:val="auto"/>
          <w:sz w:val="24"/>
          <w:szCs w:val="24"/>
        </w:rPr>
      </w:pPr>
      <w:r w:rsidRPr="00DE4CD2">
        <w:rPr>
          <w:rFonts w:asciiTheme="majorHAnsi" w:hAnsiTheme="majorHAnsi" w:cstheme="majorHAnsi"/>
          <w:color w:val="auto"/>
          <w:sz w:val="24"/>
          <w:szCs w:val="24"/>
        </w:rPr>
        <w:t xml:space="preserve">Table 3  NATPRO countries  coverage </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4"/>
        <w:gridCol w:w="921"/>
        <w:gridCol w:w="1028"/>
        <w:gridCol w:w="1497"/>
        <w:gridCol w:w="1523"/>
        <w:gridCol w:w="1264"/>
        <w:gridCol w:w="1936"/>
      </w:tblGrid>
      <w:tr w:rsidR="00FC3526" w:rsidRPr="00DE4CD2" w14:paraId="5DBB5D1A" w14:textId="77777777" w:rsidTr="00B90855">
        <w:trPr>
          <w:trHeight w:val="948"/>
        </w:trPr>
        <w:tc>
          <w:tcPr>
            <w:tcW w:w="1324" w:type="dxa"/>
            <w:shd w:val="clear" w:color="auto" w:fill="auto"/>
            <w:vAlign w:val="center"/>
            <w:hideMark/>
          </w:tcPr>
          <w:p w14:paraId="2F7DECE3"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b/>
                <w:bCs/>
                <w:sz w:val="20"/>
                <w:szCs w:val="20"/>
                <w:lang w:val="de-DE" w:eastAsia="de-DE"/>
              </w:rPr>
            </w:pPr>
            <w:r w:rsidRPr="00DE4CD2">
              <w:rPr>
                <w:rFonts w:asciiTheme="majorHAnsi" w:eastAsia="Times New Roman" w:hAnsiTheme="majorHAnsi" w:cstheme="majorHAnsi"/>
                <w:b/>
                <w:bCs/>
                <w:sz w:val="20"/>
                <w:szCs w:val="20"/>
                <w:lang w:val="de-DE" w:eastAsia="de-DE"/>
              </w:rPr>
              <w:t>Country</w:t>
            </w:r>
          </w:p>
        </w:tc>
        <w:tc>
          <w:tcPr>
            <w:tcW w:w="921" w:type="dxa"/>
            <w:shd w:val="clear" w:color="auto" w:fill="auto"/>
            <w:vAlign w:val="center"/>
            <w:hideMark/>
          </w:tcPr>
          <w:p w14:paraId="0CF58C72"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b/>
                <w:bCs/>
                <w:sz w:val="20"/>
                <w:szCs w:val="20"/>
                <w:lang w:val="de-DE" w:eastAsia="de-DE"/>
              </w:rPr>
            </w:pPr>
            <w:r w:rsidRPr="00DE4CD2">
              <w:rPr>
                <w:rFonts w:asciiTheme="majorHAnsi" w:eastAsia="Times New Roman" w:hAnsiTheme="majorHAnsi" w:cstheme="majorHAnsi"/>
                <w:b/>
                <w:bCs/>
                <w:sz w:val="20"/>
                <w:szCs w:val="20"/>
                <w:lang w:val="de-DE" w:eastAsia="de-DE"/>
              </w:rPr>
              <w:t>Release</w:t>
            </w:r>
          </w:p>
        </w:tc>
        <w:tc>
          <w:tcPr>
            <w:tcW w:w="1028" w:type="dxa"/>
            <w:shd w:val="clear" w:color="auto" w:fill="auto"/>
            <w:vAlign w:val="center"/>
            <w:hideMark/>
          </w:tcPr>
          <w:p w14:paraId="4319ABEF"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b/>
                <w:bCs/>
                <w:sz w:val="20"/>
                <w:szCs w:val="20"/>
                <w:lang w:val="de-DE" w:eastAsia="de-DE"/>
              </w:rPr>
            </w:pPr>
            <w:proofErr w:type="spellStart"/>
            <w:r w:rsidRPr="00DE4CD2">
              <w:rPr>
                <w:rFonts w:asciiTheme="majorHAnsi" w:eastAsia="Times New Roman" w:hAnsiTheme="majorHAnsi" w:cstheme="majorHAnsi"/>
                <w:b/>
                <w:bCs/>
                <w:sz w:val="20"/>
                <w:szCs w:val="20"/>
                <w:lang w:val="de-DE" w:eastAsia="de-DE"/>
              </w:rPr>
              <w:t>Number</w:t>
            </w:r>
            <w:proofErr w:type="spellEnd"/>
            <w:r w:rsidRPr="00DE4CD2">
              <w:rPr>
                <w:rFonts w:asciiTheme="majorHAnsi" w:eastAsia="Times New Roman" w:hAnsiTheme="majorHAnsi" w:cstheme="majorHAnsi"/>
                <w:b/>
                <w:bCs/>
                <w:sz w:val="20"/>
                <w:szCs w:val="20"/>
                <w:lang w:val="de-DE" w:eastAsia="de-DE"/>
              </w:rPr>
              <w:t xml:space="preserve"> of Projects</w:t>
            </w:r>
          </w:p>
        </w:tc>
        <w:tc>
          <w:tcPr>
            <w:tcW w:w="1497" w:type="dxa"/>
            <w:shd w:val="clear" w:color="auto" w:fill="auto"/>
            <w:vAlign w:val="center"/>
            <w:hideMark/>
          </w:tcPr>
          <w:p w14:paraId="4AE5C458"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b/>
                <w:bCs/>
                <w:sz w:val="20"/>
                <w:szCs w:val="20"/>
                <w:lang w:val="de-DE" w:eastAsia="de-DE"/>
              </w:rPr>
            </w:pPr>
            <w:proofErr w:type="spellStart"/>
            <w:r w:rsidRPr="00DE4CD2">
              <w:rPr>
                <w:rFonts w:asciiTheme="majorHAnsi" w:eastAsia="Times New Roman" w:hAnsiTheme="majorHAnsi" w:cstheme="majorHAnsi"/>
                <w:b/>
                <w:bCs/>
                <w:sz w:val="20"/>
                <w:szCs w:val="20"/>
                <w:lang w:val="de-DE" w:eastAsia="de-DE"/>
              </w:rPr>
              <w:t>Number</w:t>
            </w:r>
            <w:proofErr w:type="spellEnd"/>
            <w:r w:rsidRPr="00DE4CD2">
              <w:rPr>
                <w:rFonts w:asciiTheme="majorHAnsi" w:eastAsia="Times New Roman" w:hAnsiTheme="majorHAnsi" w:cstheme="majorHAnsi"/>
                <w:b/>
                <w:bCs/>
                <w:sz w:val="20"/>
                <w:szCs w:val="20"/>
                <w:lang w:val="de-DE" w:eastAsia="de-DE"/>
              </w:rPr>
              <w:t xml:space="preserve"> of </w:t>
            </w:r>
            <w:proofErr w:type="spellStart"/>
            <w:r w:rsidRPr="00DE4CD2">
              <w:rPr>
                <w:rFonts w:asciiTheme="majorHAnsi" w:eastAsia="Times New Roman" w:hAnsiTheme="majorHAnsi" w:cstheme="majorHAnsi"/>
                <w:b/>
                <w:bCs/>
                <w:sz w:val="20"/>
                <w:szCs w:val="20"/>
                <w:lang w:val="de-DE" w:eastAsia="de-DE"/>
              </w:rPr>
              <w:t>Participations</w:t>
            </w:r>
            <w:proofErr w:type="spellEnd"/>
          </w:p>
        </w:tc>
        <w:tc>
          <w:tcPr>
            <w:tcW w:w="1523" w:type="dxa"/>
            <w:shd w:val="clear" w:color="auto" w:fill="auto"/>
            <w:vAlign w:val="center"/>
            <w:hideMark/>
          </w:tcPr>
          <w:p w14:paraId="6BAA399C"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b/>
                <w:bCs/>
                <w:sz w:val="20"/>
                <w:szCs w:val="20"/>
                <w:lang w:val="de-DE" w:eastAsia="de-DE"/>
              </w:rPr>
            </w:pPr>
            <w:proofErr w:type="spellStart"/>
            <w:r w:rsidRPr="00DE4CD2">
              <w:rPr>
                <w:rFonts w:asciiTheme="majorHAnsi" w:eastAsia="Times New Roman" w:hAnsiTheme="majorHAnsi" w:cstheme="majorHAnsi"/>
                <w:b/>
                <w:bCs/>
                <w:sz w:val="20"/>
                <w:szCs w:val="20"/>
                <w:lang w:val="de-DE" w:eastAsia="de-DE"/>
              </w:rPr>
              <w:t>Overlap</w:t>
            </w:r>
            <w:proofErr w:type="spellEnd"/>
            <w:r w:rsidRPr="00DE4CD2">
              <w:rPr>
                <w:rFonts w:asciiTheme="majorHAnsi" w:eastAsia="Times New Roman" w:hAnsiTheme="majorHAnsi" w:cstheme="majorHAnsi"/>
                <w:b/>
                <w:bCs/>
                <w:sz w:val="20"/>
                <w:szCs w:val="20"/>
                <w:lang w:val="de-DE" w:eastAsia="de-DE"/>
              </w:rPr>
              <w:t xml:space="preserve"> </w:t>
            </w:r>
            <w:proofErr w:type="spellStart"/>
            <w:r w:rsidRPr="00DE4CD2">
              <w:rPr>
                <w:rFonts w:asciiTheme="majorHAnsi" w:eastAsia="Times New Roman" w:hAnsiTheme="majorHAnsi" w:cstheme="majorHAnsi"/>
                <w:b/>
                <w:bCs/>
                <w:sz w:val="20"/>
                <w:szCs w:val="20"/>
                <w:lang w:val="de-DE" w:eastAsia="de-DE"/>
              </w:rPr>
              <w:t>with</w:t>
            </w:r>
            <w:proofErr w:type="spellEnd"/>
            <w:r w:rsidRPr="00DE4CD2">
              <w:rPr>
                <w:rFonts w:asciiTheme="majorHAnsi" w:eastAsia="Times New Roman" w:hAnsiTheme="majorHAnsi" w:cstheme="majorHAnsi"/>
                <w:b/>
                <w:bCs/>
                <w:sz w:val="20"/>
                <w:szCs w:val="20"/>
                <w:lang w:val="de-DE" w:eastAsia="de-DE"/>
              </w:rPr>
              <w:t xml:space="preserve"> </w:t>
            </w:r>
            <w:proofErr w:type="spellStart"/>
            <w:r w:rsidRPr="00DE4CD2">
              <w:rPr>
                <w:rFonts w:asciiTheme="majorHAnsi" w:eastAsia="Times New Roman" w:hAnsiTheme="majorHAnsi" w:cstheme="majorHAnsi"/>
                <w:b/>
                <w:bCs/>
                <w:sz w:val="20"/>
                <w:szCs w:val="20"/>
                <w:lang w:val="de-DE" w:eastAsia="de-DE"/>
              </w:rPr>
              <w:t>OrgReg</w:t>
            </w:r>
            <w:proofErr w:type="spellEnd"/>
          </w:p>
        </w:tc>
        <w:tc>
          <w:tcPr>
            <w:tcW w:w="1264" w:type="dxa"/>
            <w:shd w:val="clear" w:color="auto" w:fill="auto"/>
            <w:vAlign w:val="center"/>
            <w:hideMark/>
          </w:tcPr>
          <w:p w14:paraId="7C71071C"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b/>
                <w:bCs/>
                <w:sz w:val="20"/>
                <w:szCs w:val="20"/>
                <w:lang w:val="de-DE" w:eastAsia="de-DE"/>
              </w:rPr>
            </w:pPr>
            <w:r w:rsidRPr="00DE4CD2">
              <w:rPr>
                <w:rFonts w:asciiTheme="majorHAnsi" w:eastAsia="Times New Roman" w:hAnsiTheme="majorHAnsi" w:cstheme="majorHAnsi"/>
                <w:b/>
                <w:bCs/>
                <w:sz w:val="20"/>
                <w:szCs w:val="20"/>
                <w:lang w:val="de-DE" w:eastAsia="de-DE"/>
              </w:rPr>
              <w:t xml:space="preserve">RFOs </w:t>
            </w:r>
            <w:proofErr w:type="spellStart"/>
            <w:r w:rsidRPr="00DE4CD2">
              <w:rPr>
                <w:rFonts w:asciiTheme="majorHAnsi" w:eastAsia="Times New Roman" w:hAnsiTheme="majorHAnsi" w:cstheme="majorHAnsi"/>
                <w:b/>
                <w:bCs/>
                <w:sz w:val="20"/>
                <w:szCs w:val="20"/>
                <w:lang w:val="de-DE" w:eastAsia="de-DE"/>
              </w:rPr>
              <w:t>included</w:t>
            </w:r>
            <w:proofErr w:type="spellEnd"/>
          </w:p>
        </w:tc>
        <w:tc>
          <w:tcPr>
            <w:tcW w:w="1936" w:type="dxa"/>
            <w:shd w:val="clear" w:color="auto" w:fill="auto"/>
            <w:vAlign w:val="center"/>
            <w:hideMark/>
          </w:tcPr>
          <w:p w14:paraId="172ABDAD"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b/>
                <w:bCs/>
                <w:sz w:val="20"/>
                <w:szCs w:val="20"/>
                <w:lang w:val="de-DE" w:eastAsia="de-DE"/>
              </w:rPr>
            </w:pPr>
            <w:r w:rsidRPr="00DE4CD2">
              <w:rPr>
                <w:rFonts w:asciiTheme="majorHAnsi" w:eastAsia="Times New Roman" w:hAnsiTheme="majorHAnsi" w:cstheme="majorHAnsi"/>
                <w:b/>
                <w:bCs/>
                <w:sz w:val="20"/>
                <w:szCs w:val="20"/>
                <w:lang w:val="de-DE" w:eastAsia="de-DE"/>
              </w:rPr>
              <w:t>Time Coverage</w:t>
            </w:r>
          </w:p>
        </w:tc>
      </w:tr>
      <w:tr w:rsidR="00FC3526" w:rsidRPr="00DE4CD2" w14:paraId="4806910C" w14:textId="77777777" w:rsidTr="00B90855">
        <w:trPr>
          <w:trHeight w:val="510"/>
        </w:trPr>
        <w:tc>
          <w:tcPr>
            <w:tcW w:w="1324" w:type="dxa"/>
            <w:shd w:val="clear" w:color="auto" w:fill="auto"/>
            <w:vAlign w:val="center"/>
            <w:hideMark/>
          </w:tcPr>
          <w:p w14:paraId="77EFA4AE"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b/>
                <w:bCs/>
                <w:sz w:val="20"/>
                <w:szCs w:val="20"/>
                <w:lang w:val="de-DE" w:eastAsia="de-DE"/>
              </w:rPr>
            </w:pPr>
            <w:r w:rsidRPr="00DE4CD2">
              <w:rPr>
                <w:rFonts w:asciiTheme="majorHAnsi" w:eastAsia="Times New Roman" w:hAnsiTheme="majorHAnsi" w:cstheme="majorHAnsi"/>
                <w:b/>
                <w:bCs/>
                <w:sz w:val="20"/>
                <w:szCs w:val="20"/>
                <w:lang w:val="de-DE" w:eastAsia="de-DE"/>
              </w:rPr>
              <w:t xml:space="preserve">Austria </w:t>
            </w:r>
          </w:p>
        </w:tc>
        <w:tc>
          <w:tcPr>
            <w:tcW w:w="921" w:type="dxa"/>
            <w:vMerge w:val="restart"/>
            <w:shd w:val="clear" w:color="auto" w:fill="auto"/>
            <w:vAlign w:val="center"/>
            <w:hideMark/>
          </w:tcPr>
          <w:p w14:paraId="3F8D992D"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2020</w:t>
            </w:r>
          </w:p>
        </w:tc>
        <w:tc>
          <w:tcPr>
            <w:tcW w:w="1028" w:type="dxa"/>
            <w:shd w:val="clear" w:color="auto" w:fill="auto"/>
            <w:vAlign w:val="center"/>
            <w:hideMark/>
          </w:tcPr>
          <w:p w14:paraId="363A37D4"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ind w:right="74"/>
              <w:jc w:val="right"/>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17,331</w:t>
            </w:r>
          </w:p>
        </w:tc>
        <w:tc>
          <w:tcPr>
            <w:tcW w:w="1497" w:type="dxa"/>
            <w:shd w:val="clear" w:color="auto" w:fill="auto"/>
            <w:vAlign w:val="center"/>
            <w:hideMark/>
          </w:tcPr>
          <w:p w14:paraId="727C89BE"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ind w:right="74"/>
              <w:jc w:val="right"/>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24,581</w:t>
            </w:r>
          </w:p>
        </w:tc>
        <w:tc>
          <w:tcPr>
            <w:tcW w:w="1523" w:type="dxa"/>
            <w:shd w:val="clear" w:color="auto" w:fill="auto"/>
            <w:vAlign w:val="center"/>
            <w:hideMark/>
          </w:tcPr>
          <w:p w14:paraId="2EBD3409"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right"/>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16,395 (67%)</w:t>
            </w:r>
          </w:p>
        </w:tc>
        <w:tc>
          <w:tcPr>
            <w:tcW w:w="1264" w:type="dxa"/>
            <w:shd w:val="clear" w:color="auto" w:fill="auto"/>
            <w:vAlign w:val="center"/>
            <w:hideMark/>
          </w:tcPr>
          <w:p w14:paraId="2B821A68"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FWF &amp; FFG</w:t>
            </w:r>
          </w:p>
        </w:tc>
        <w:tc>
          <w:tcPr>
            <w:tcW w:w="1936" w:type="dxa"/>
            <w:shd w:val="clear" w:color="auto" w:fill="auto"/>
            <w:vAlign w:val="center"/>
            <w:hideMark/>
          </w:tcPr>
          <w:p w14:paraId="393BD927"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1995-2020 (FWF), 2015-2020 (FFG)</w:t>
            </w:r>
          </w:p>
        </w:tc>
      </w:tr>
      <w:tr w:rsidR="00FC3526" w:rsidRPr="00DE4CD2" w14:paraId="2DAE014C" w14:textId="77777777" w:rsidTr="00B90855">
        <w:trPr>
          <w:trHeight w:val="510"/>
        </w:trPr>
        <w:tc>
          <w:tcPr>
            <w:tcW w:w="1324" w:type="dxa"/>
            <w:shd w:val="clear" w:color="auto" w:fill="auto"/>
            <w:vAlign w:val="center"/>
            <w:hideMark/>
          </w:tcPr>
          <w:p w14:paraId="3EF75812"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b/>
                <w:bCs/>
                <w:sz w:val="20"/>
                <w:szCs w:val="20"/>
                <w:lang w:val="de-DE" w:eastAsia="de-DE"/>
              </w:rPr>
            </w:pPr>
            <w:r w:rsidRPr="00DE4CD2">
              <w:rPr>
                <w:rFonts w:asciiTheme="majorHAnsi" w:eastAsia="Times New Roman" w:hAnsiTheme="majorHAnsi" w:cstheme="majorHAnsi"/>
                <w:b/>
                <w:bCs/>
                <w:sz w:val="20"/>
                <w:szCs w:val="20"/>
                <w:lang w:val="de-DE" w:eastAsia="de-DE"/>
              </w:rPr>
              <w:t xml:space="preserve">Czech </w:t>
            </w:r>
            <w:proofErr w:type="spellStart"/>
            <w:r w:rsidRPr="00DE4CD2">
              <w:rPr>
                <w:rFonts w:asciiTheme="majorHAnsi" w:eastAsia="Times New Roman" w:hAnsiTheme="majorHAnsi" w:cstheme="majorHAnsi"/>
                <w:b/>
                <w:bCs/>
                <w:sz w:val="20"/>
                <w:szCs w:val="20"/>
                <w:lang w:val="de-DE" w:eastAsia="de-DE"/>
              </w:rPr>
              <w:t>Republic</w:t>
            </w:r>
            <w:proofErr w:type="spellEnd"/>
            <w:r w:rsidRPr="00DE4CD2">
              <w:rPr>
                <w:rFonts w:asciiTheme="majorHAnsi" w:eastAsia="Times New Roman" w:hAnsiTheme="majorHAnsi" w:cstheme="majorHAnsi"/>
                <w:b/>
                <w:bCs/>
                <w:sz w:val="20"/>
                <w:szCs w:val="20"/>
                <w:lang w:val="de-DE" w:eastAsia="de-DE"/>
              </w:rPr>
              <w:t xml:space="preserve"> </w:t>
            </w:r>
          </w:p>
        </w:tc>
        <w:tc>
          <w:tcPr>
            <w:tcW w:w="921" w:type="dxa"/>
            <w:vMerge/>
            <w:shd w:val="clear" w:color="auto" w:fill="auto"/>
            <w:vAlign w:val="center"/>
            <w:hideMark/>
          </w:tcPr>
          <w:p w14:paraId="31FA74CB"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rPr>
                <w:rFonts w:asciiTheme="majorHAnsi" w:eastAsia="Times New Roman" w:hAnsiTheme="majorHAnsi" w:cstheme="majorHAnsi"/>
                <w:sz w:val="20"/>
                <w:szCs w:val="20"/>
                <w:lang w:val="de-DE" w:eastAsia="de-DE"/>
              </w:rPr>
            </w:pPr>
          </w:p>
        </w:tc>
        <w:tc>
          <w:tcPr>
            <w:tcW w:w="1028" w:type="dxa"/>
            <w:shd w:val="clear" w:color="auto" w:fill="auto"/>
            <w:vAlign w:val="center"/>
            <w:hideMark/>
          </w:tcPr>
          <w:p w14:paraId="705F69CF"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ind w:right="74"/>
              <w:jc w:val="right"/>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37,848</w:t>
            </w:r>
          </w:p>
        </w:tc>
        <w:tc>
          <w:tcPr>
            <w:tcW w:w="1497" w:type="dxa"/>
            <w:shd w:val="clear" w:color="auto" w:fill="auto"/>
            <w:vAlign w:val="center"/>
            <w:hideMark/>
          </w:tcPr>
          <w:p w14:paraId="176B10C7"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ind w:right="74"/>
              <w:jc w:val="right"/>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62,214</w:t>
            </w:r>
          </w:p>
        </w:tc>
        <w:tc>
          <w:tcPr>
            <w:tcW w:w="1523" w:type="dxa"/>
            <w:shd w:val="clear" w:color="auto" w:fill="auto"/>
            <w:vAlign w:val="center"/>
            <w:hideMark/>
          </w:tcPr>
          <w:p w14:paraId="016F6F66"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right"/>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44,041 (71%)</w:t>
            </w:r>
          </w:p>
        </w:tc>
        <w:tc>
          <w:tcPr>
            <w:tcW w:w="1264" w:type="dxa"/>
            <w:shd w:val="clear" w:color="auto" w:fill="auto"/>
            <w:vAlign w:val="center"/>
            <w:hideMark/>
          </w:tcPr>
          <w:p w14:paraId="2B114C03"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29</w:t>
            </w:r>
          </w:p>
        </w:tc>
        <w:tc>
          <w:tcPr>
            <w:tcW w:w="1936" w:type="dxa"/>
            <w:shd w:val="clear" w:color="auto" w:fill="auto"/>
            <w:vAlign w:val="center"/>
            <w:hideMark/>
          </w:tcPr>
          <w:p w14:paraId="519DCC28"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2000-2020</w:t>
            </w:r>
          </w:p>
        </w:tc>
      </w:tr>
      <w:tr w:rsidR="00FC3526" w:rsidRPr="00DE4CD2" w14:paraId="69B99DFB" w14:textId="77777777" w:rsidTr="00B90855">
        <w:trPr>
          <w:trHeight w:val="510"/>
        </w:trPr>
        <w:tc>
          <w:tcPr>
            <w:tcW w:w="1324" w:type="dxa"/>
            <w:shd w:val="clear" w:color="auto" w:fill="auto"/>
            <w:vAlign w:val="center"/>
            <w:hideMark/>
          </w:tcPr>
          <w:p w14:paraId="07748BD7"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b/>
                <w:bCs/>
                <w:sz w:val="20"/>
                <w:szCs w:val="20"/>
                <w:lang w:val="de-DE" w:eastAsia="de-DE"/>
              </w:rPr>
            </w:pPr>
            <w:r w:rsidRPr="00DE4CD2">
              <w:rPr>
                <w:rFonts w:asciiTheme="majorHAnsi" w:eastAsia="Times New Roman" w:hAnsiTheme="majorHAnsi" w:cstheme="majorHAnsi"/>
                <w:b/>
                <w:bCs/>
                <w:sz w:val="20"/>
                <w:szCs w:val="20"/>
                <w:lang w:val="de-DE" w:eastAsia="de-DE"/>
              </w:rPr>
              <w:t xml:space="preserve">Estonia </w:t>
            </w:r>
          </w:p>
        </w:tc>
        <w:tc>
          <w:tcPr>
            <w:tcW w:w="921" w:type="dxa"/>
            <w:vMerge/>
            <w:shd w:val="clear" w:color="auto" w:fill="auto"/>
            <w:vAlign w:val="center"/>
            <w:hideMark/>
          </w:tcPr>
          <w:p w14:paraId="1D2578AC"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rPr>
                <w:rFonts w:asciiTheme="majorHAnsi" w:eastAsia="Times New Roman" w:hAnsiTheme="majorHAnsi" w:cstheme="majorHAnsi"/>
                <w:sz w:val="20"/>
                <w:szCs w:val="20"/>
                <w:lang w:val="de-DE" w:eastAsia="de-DE"/>
              </w:rPr>
            </w:pPr>
          </w:p>
        </w:tc>
        <w:tc>
          <w:tcPr>
            <w:tcW w:w="1028" w:type="dxa"/>
            <w:shd w:val="clear" w:color="auto" w:fill="auto"/>
            <w:vAlign w:val="center"/>
            <w:hideMark/>
          </w:tcPr>
          <w:p w14:paraId="41930F7D"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ind w:right="74"/>
              <w:jc w:val="right"/>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3,583</w:t>
            </w:r>
          </w:p>
        </w:tc>
        <w:tc>
          <w:tcPr>
            <w:tcW w:w="1497" w:type="dxa"/>
            <w:shd w:val="clear" w:color="auto" w:fill="auto"/>
            <w:vAlign w:val="center"/>
            <w:hideMark/>
          </w:tcPr>
          <w:p w14:paraId="41C6004F"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ind w:right="74"/>
              <w:jc w:val="right"/>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4,156</w:t>
            </w:r>
          </w:p>
        </w:tc>
        <w:tc>
          <w:tcPr>
            <w:tcW w:w="1523" w:type="dxa"/>
            <w:shd w:val="clear" w:color="auto" w:fill="auto"/>
            <w:vAlign w:val="center"/>
            <w:hideMark/>
          </w:tcPr>
          <w:p w14:paraId="64069EA1"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right"/>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3,704 (89%)</w:t>
            </w:r>
          </w:p>
        </w:tc>
        <w:tc>
          <w:tcPr>
            <w:tcW w:w="1264" w:type="dxa"/>
            <w:shd w:val="clear" w:color="auto" w:fill="auto"/>
            <w:vAlign w:val="center"/>
            <w:hideMark/>
          </w:tcPr>
          <w:p w14:paraId="6D006EB6"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12+</w:t>
            </w:r>
          </w:p>
        </w:tc>
        <w:tc>
          <w:tcPr>
            <w:tcW w:w="1936" w:type="dxa"/>
            <w:shd w:val="clear" w:color="auto" w:fill="auto"/>
            <w:vAlign w:val="center"/>
            <w:hideMark/>
          </w:tcPr>
          <w:p w14:paraId="44A42F5B"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2000-2020</w:t>
            </w:r>
          </w:p>
        </w:tc>
      </w:tr>
      <w:tr w:rsidR="00FC3526" w:rsidRPr="00DE4CD2" w14:paraId="1EE3E9D9" w14:textId="77777777" w:rsidTr="00B90855">
        <w:trPr>
          <w:trHeight w:val="510"/>
        </w:trPr>
        <w:tc>
          <w:tcPr>
            <w:tcW w:w="1324" w:type="dxa"/>
            <w:shd w:val="clear" w:color="auto" w:fill="auto"/>
            <w:vAlign w:val="center"/>
            <w:hideMark/>
          </w:tcPr>
          <w:p w14:paraId="10EEA3EB"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b/>
                <w:bCs/>
                <w:sz w:val="20"/>
                <w:szCs w:val="20"/>
                <w:lang w:val="de-DE" w:eastAsia="de-DE"/>
              </w:rPr>
            </w:pPr>
            <w:r w:rsidRPr="00DE4CD2">
              <w:rPr>
                <w:rFonts w:asciiTheme="majorHAnsi" w:eastAsia="Times New Roman" w:hAnsiTheme="majorHAnsi" w:cstheme="majorHAnsi"/>
                <w:b/>
                <w:bCs/>
                <w:sz w:val="20"/>
                <w:szCs w:val="20"/>
                <w:lang w:val="de-DE" w:eastAsia="de-DE"/>
              </w:rPr>
              <w:t>Germany</w:t>
            </w:r>
          </w:p>
        </w:tc>
        <w:tc>
          <w:tcPr>
            <w:tcW w:w="921" w:type="dxa"/>
            <w:vMerge/>
            <w:shd w:val="clear" w:color="auto" w:fill="auto"/>
            <w:vAlign w:val="center"/>
            <w:hideMark/>
          </w:tcPr>
          <w:p w14:paraId="2E1319E8"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rPr>
                <w:rFonts w:asciiTheme="majorHAnsi" w:eastAsia="Times New Roman" w:hAnsiTheme="majorHAnsi" w:cstheme="majorHAnsi"/>
                <w:sz w:val="20"/>
                <w:szCs w:val="20"/>
                <w:lang w:val="de-DE" w:eastAsia="de-DE"/>
              </w:rPr>
            </w:pPr>
          </w:p>
        </w:tc>
        <w:tc>
          <w:tcPr>
            <w:tcW w:w="1028" w:type="dxa"/>
            <w:shd w:val="clear" w:color="auto" w:fill="auto"/>
            <w:vAlign w:val="center"/>
            <w:hideMark/>
          </w:tcPr>
          <w:p w14:paraId="2DD5A137"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ind w:right="74"/>
              <w:jc w:val="right"/>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124,59</w:t>
            </w:r>
          </w:p>
        </w:tc>
        <w:tc>
          <w:tcPr>
            <w:tcW w:w="1497" w:type="dxa"/>
            <w:shd w:val="clear" w:color="auto" w:fill="auto"/>
            <w:vAlign w:val="center"/>
            <w:hideMark/>
          </w:tcPr>
          <w:p w14:paraId="77967CD7"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ind w:right="74"/>
              <w:jc w:val="right"/>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151,521</w:t>
            </w:r>
          </w:p>
        </w:tc>
        <w:tc>
          <w:tcPr>
            <w:tcW w:w="1523" w:type="dxa"/>
            <w:shd w:val="clear" w:color="auto" w:fill="auto"/>
            <w:vAlign w:val="center"/>
            <w:hideMark/>
          </w:tcPr>
          <w:p w14:paraId="63403758"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right"/>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131,335 (87%)</w:t>
            </w:r>
          </w:p>
        </w:tc>
        <w:tc>
          <w:tcPr>
            <w:tcW w:w="1264" w:type="dxa"/>
            <w:shd w:val="clear" w:color="auto" w:fill="auto"/>
            <w:vAlign w:val="center"/>
            <w:hideMark/>
          </w:tcPr>
          <w:p w14:paraId="319812E5"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DFG</w:t>
            </w:r>
          </w:p>
        </w:tc>
        <w:tc>
          <w:tcPr>
            <w:tcW w:w="1936" w:type="dxa"/>
            <w:shd w:val="clear" w:color="auto" w:fill="auto"/>
            <w:vAlign w:val="center"/>
            <w:hideMark/>
          </w:tcPr>
          <w:p w14:paraId="3219B28F"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1999-2020</w:t>
            </w:r>
          </w:p>
        </w:tc>
      </w:tr>
      <w:tr w:rsidR="00FC3526" w:rsidRPr="00DE4CD2" w14:paraId="1E2B34E4" w14:textId="77777777" w:rsidTr="00B90855">
        <w:trPr>
          <w:trHeight w:val="510"/>
        </w:trPr>
        <w:tc>
          <w:tcPr>
            <w:tcW w:w="1324" w:type="dxa"/>
            <w:shd w:val="clear" w:color="auto" w:fill="auto"/>
            <w:vAlign w:val="center"/>
            <w:hideMark/>
          </w:tcPr>
          <w:p w14:paraId="288EF1C4"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b/>
                <w:bCs/>
                <w:sz w:val="20"/>
                <w:szCs w:val="20"/>
                <w:lang w:val="de-DE" w:eastAsia="de-DE"/>
              </w:rPr>
            </w:pPr>
            <w:proofErr w:type="spellStart"/>
            <w:r w:rsidRPr="00DE4CD2">
              <w:rPr>
                <w:rFonts w:asciiTheme="majorHAnsi" w:eastAsia="Times New Roman" w:hAnsiTheme="majorHAnsi" w:cstheme="majorHAnsi"/>
                <w:b/>
                <w:bCs/>
                <w:sz w:val="20"/>
                <w:szCs w:val="20"/>
                <w:lang w:val="de-DE" w:eastAsia="de-DE"/>
              </w:rPr>
              <w:t>Italy</w:t>
            </w:r>
            <w:proofErr w:type="spellEnd"/>
          </w:p>
        </w:tc>
        <w:tc>
          <w:tcPr>
            <w:tcW w:w="921" w:type="dxa"/>
            <w:vMerge/>
            <w:shd w:val="clear" w:color="auto" w:fill="auto"/>
            <w:vAlign w:val="center"/>
            <w:hideMark/>
          </w:tcPr>
          <w:p w14:paraId="0EDDAE12"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rPr>
                <w:rFonts w:asciiTheme="majorHAnsi" w:eastAsia="Times New Roman" w:hAnsiTheme="majorHAnsi" w:cstheme="majorHAnsi"/>
                <w:sz w:val="20"/>
                <w:szCs w:val="20"/>
                <w:lang w:val="de-DE" w:eastAsia="de-DE"/>
              </w:rPr>
            </w:pPr>
          </w:p>
        </w:tc>
        <w:tc>
          <w:tcPr>
            <w:tcW w:w="1028" w:type="dxa"/>
            <w:shd w:val="clear" w:color="auto" w:fill="auto"/>
            <w:vAlign w:val="center"/>
            <w:hideMark/>
          </w:tcPr>
          <w:p w14:paraId="696B8F0D"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ind w:right="74"/>
              <w:jc w:val="right"/>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9,977</w:t>
            </w:r>
          </w:p>
        </w:tc>
        <w:tc>
          <w:tcPr>
            <w:tcW w:w="1497" w:type="dxa"/>
            <w:shd w:val="clear" w:color="auto" w:fill="auto"/>
            <w:vAlign w:val="center"/>
            <w:hideMark/>
          </w:tcPr>
          <w:p w14:paraId="5E5BCD7F"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ind w:right="74"/>
              <w:jc w:val="right"/>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42,111</w:t>
            </w:r>
          </w:p>
        </w:tc>
        <w:tc>
          <w:tcPr>
            <w:tcW w:w="1523" w:type="dxa"/>
            <w:shd w:val="clear" w:color="auto" w:fill="auto"/>
            <w:vAlign w:val="center"/>
            <w:hideMark/>
          </w:tcPr>
          <w:p w14:paraId="02E770EF"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right"/>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41,918 (99.5%)</w:t>
            </w:r>
          </w:p>
        </w:tc>
        <w:tc>
          <w:tcPr>
            <w:tcW w:w="1264" w:type="dxa"/>
            <w:shd w:val="clear" w:color="auto" w:fill="auto"/>
            <w:vAlign w:val="center"/>
            <w:hideMark/>
          </w:tcPr>
          <w:p w14:paraId="03E4349B"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 xml:space="preserve">PRIN </w:t>
            </w:r>
            <w:proofErr w:type="spellStart"/>
            <w:r w:rsidRPr="00DE4CD2">
              <w:rPr>
                <w:rFonts w:asciiTheme="majorHAnsi" w:eastAsia="Times New Roman" w:hAnsiTheme="majorHAnsi" w:cstheme="majorHAnsi"/>
                <w:sz w:val="20"/>
                <w:szCs w:val="20"/>
                <w:lang w:val="de-DE" w:eastAsia="de-DE"/>
              </w:rPr>
              <w:t>programme</w:t>
            </w:r>
            <w:proofErr w:type="spellEnd"/>
          </w:p>
        </w:tc>
        <w:tc>
          <w:tcPr>
            <w:tcW w:w="1936" w:type="dxa"/>
            <w:shd w:val="clear" w:color="auto" w:fill="auto"/>
            <w:vAlign w:val="center"/>
            <w:hideMark/>
          </w:tcPr>
          <w:p w14:paraId="64C2BF21"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1999-2015</w:t>
            </w:r>
          </w:p>
        </w:tc>
      </w:tr>
      <w:tr w:rsidR="00FC3526" w:rsidRPr="00DE4CD2" w14:paraId="0169D59F" w14:textId="77777777" w:rsidTr="00B90855">
        <w:trPr>
          <w:trHeight w:val="510"/>
        </w:trPr>
        <w:tc>
          <w:tcPr>
            <w:tcW w:w="1324" w:type="dxa"/>
            <w:shd w:val="clear" w:color="auto" w:fill="auto"/>
            <w:vAlign w:val="center"/>
            <w:hideMark/>
          </w:tcPr>
          <w:p w14:paraId="7A98C632"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b/>
                <w:bCs/>
                <w:sz w:val="20"/>
                <w:szCs w:val="20"/>
                <w:lang w:val="de-DE" w:eastAsia="de-DE"/>
              </w:rPr>
            </w:pPr>
            <w:proofErr w:type="spellStart"/>
            <w:r w:rsidRPr="00DE4CD2">
              <w:rPr>
                <w:rFonts w:asciiTheme="majorHAnsi" w:eastAsia="Times New Roman" w:hAnsiTheme="majorHAnsi" w:cstheme="majorHAnsi"/>
                <w:b/>
                <w:bCs/>
                <w:sz w:val="20"/>
                <w:szCs w:val="20"/>
                <w:lang w:val="de-DE" w:eastAsia="de-DE"/>
              </w:rPr>
              <w:t>Ireland</w:t>
            </w:r>
            <w:proofErr w:type="spellEnd"/>
          </w:p>
        </w:tc>
        <w:tc>
          <w:tcPr>
            <w:tcW w:w="921" w:type="dxa"/>
            <w:vMerge w:val="restart"/>
            <w:shd w:val="clear" w:color="auto" w:fill="auto"/>
            <w:vAlign w:val="center"/>
            <w:hideMark/>
          </w:tcPr>
          <w:p w14:paraId="51F87548"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2021</w:t>
            </w:r>
          </w:p>
        </w:tc>
        <w:tc>
          <w:tcPr>
            <w:tcW w:w="1028" w:type="dxa"/>
            <w:shd w:val="clear" w:color="auto" w:fill="auto"/>
            <w:vAlign w:val="center"/>
            <w:hideMark/>
          </w:tcPr>
          <w:p w14:paraId="43B83495"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ind w:right="74"/>
              <w:jc w:val="right"/>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6,007</w:t>
            </w:r>
          </w:p>
        </w:tc>
        <w:tc>
          <w:tcPr>
            <w:tcW w:w="1497" w:type="dxa"/>
            <w:shd w:val="clear" w:color="auto" w:fill="auto"/>
            <w:vAlign w:val="center"/>
            <w:hideMark/>
          </w:tcPr>
          <w:p w14:paraId="0CC6016A"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ind w:right="74"/>
              <w:jc w:val="right"/>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6,007</w:t>
            </w:r>
          </w:p>
        </w:tc>
        <w:tc>
          <w:tcPr>
            <w:tcW w:w="1523" w:type="dxa"/>
            <w:shd w:val="clear" w:color="auto" w:fill="auto"/>
            <w:vAlign w:val="center"/>
            <w:hideMark/>
          </w:tcPr>
          <w:p w14:paraId="2330E559"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right"/>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5,498 (92%)</w:t>
            </w:r>
          </w:p>
        </w:tc>
        <w:tc>
          <w:tcPr>
            <w:tcW w:w="1264" w:type="dxa"/>
            <w:shd w:val="clear" w:color="auto" w:fill="auto"/>
            <w:vAlign w:val="center"/>
            <w:hideMark/>
          </w:tcPr>
          <w:p w14:paraId="25DB56C2"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SFI</w:t>
            </w:r>
          </w:p>
        </w:tc>
        <w:tc>
          <w:tcPr>
            <w:tcW w:w="1936" w:type="dxa"/>
            <w:shd w:val="clear" w:color="auto" w:fill="auto"/>
            <w:vAlign w:val="center"/>
            <w:hideMark/>
          </w:tcPr>
          <w:p w14:paraId="6A9C18A1"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2001-2021</w:t>
            </w:r>
          </w:p>
        </w:tc>
      </w:tr>
      <w:tr w:rsidR="00FC3526" w:rsidRPr="00DE4CD2" w14:paraId="4689A2A9" w14:textId="77777777" w:rsidTr="00B90855">
        <w:trPr>
          <w:trHeight w:val="510"/>
        </w:trPr>
        <w:tc>
          <w:tcPr>
            <w:tcW w:w="1324" w:type="dxa"/>
            <w:shd w:val="clear" w:color="auto" w:fill="auto"/>
            <w:vAlign w:val="center"/>
            <w:hideMark/>
          </w:tcPr>
          <w:p w14:paraId="5434F546"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b/>
                <w:bCs/>
                <w:sz w:val="20"/>
                <w:szCs w:val="20"/>
                <w:lang w:val="de-DE" w:eastAsia="de-DE"/>
              </w:rPr>
            </w:pPr>
            <w:proofErr w:type="spellStart"/>
            <w:r w:rsidRPr="00DE4CD2">
              <w:rPr>
                <w:rFonts w:asciiTheme="majorHAnsi" w:eastAsia="Times New Roman" w:hAnsiTheme="majorHAnsi" w:cstheme="majorHAnsi"/>
                <w:b/>
                <w:bCs/>
                <w:sz w:val="20"/>
                <w:szCs w:val="20"/>
                <w:lang w:val="de-DE" w:eastAsia="de-DE"/>
              </w:rPr>
              <w:t>Poland</w:t>
            </w:r>
            <w:proofErr w:type="spellEnd"/>
          </w:p>
        </w:tc>
        <w:tc>
          <w:tcPr>
            <w:tcW w:w="921" w:type="dxa"/>
            <w:vMerge/>
            <w:shd w:val="clear" w:color="auto" w:fill="auto"/>
            <w:vAlign w:val="center"/>
            <w:hideMark/>
          </w:tcPr>
          <w:p w14:paraId="0EB26755"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rPr>
                <w:rFonts w:asciiTheme="majorHAnsi" w:eastAsia="Times New Roman" w:hAnsiTheme="majorHAnsi" w:cstheme="majorHAnsi"/>
                <w:sz w:val="20"/>
                <w:szCs w:val="20"/>
                <w:lang w:val="de-DE" w:eastAsia="de-DE"/>
              </w:rPr>
            </w:pPr>
          </w:p>
        </w:tc>
        <w:tc>
          <w:tcPr>
            <w:tcW w:w="1028" w:type="dxa"/>
            <w:shd w:val="clear" w:color="auto" w:fill="auto"/>
            <w:vAlign w:val="center"/>
            <w:hideMark/>
          </w:tcPr>
          <w:p w14:paraId="6D32F235"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ind w:right="74"/>
              <w:jc w:val="right"/>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21,781</w:t>
            </w:r>
          </w:p>
        </w:tc>
        <w:tc>
          <w:tcPr>
            <w:tcW w:w="1497" w:type="dxa"/>
            <w:shd w:val="clear" w:color="auto" w:fill="auto"/>
            <w:vAlign w:val="center"/>
            <w:hideMark/>
          </w:tcPr>
          <w:p w14:paraId="5682BC49"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ind w:right="74"/>
              <w:jc w:val="right"/>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25,924</w:t>
            </w:r>
          </w:p>
        </w:tc>
        <w:tc>
          <w:tcPr>
            <w:tcW w:w="1523" w:type="dxa"/>
            <w:shd w:val="clear" w:color="auto" w:fill="auto"/>
            <w:vAlign w:val="center"/>
            <w:hideMark/>
          </w:tcPr>
          <w:p w14:paraId="707E1F0C"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right"/>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23,965 (92%)</w:t>
            </w:r>
          </w:p>
        </w:tc>
        <w:tc>
          <w:tcPr>
            <w:tcW w:w="1264" w:type="dxa"/>
            <w:shd w:val="clear" w:color="auto" w:fill="auto"/>
            <w:vAlign w:val="center"/>
            <w:hideMark/>
          </w:tcPr>
          <w:p w14:paraId="317A0A18"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NCBR &amp; NCN</w:t>
            </w:r>
          </w:p>
        </w:tc>
        <w:tc>
          <w:tcPr>
            <w:tcW w:w="1936" w:type="dxa"/>
            <w:shd w:val="clear" w:color="auto" w:fill="auto"/>
            <w:vAlign w:val="center"/>
            <w:hideMark/>
          </w:tcPr>
          <w:p w14:paraId="31E20293"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2007-2020</w:t>
            </w:r>
          </w:p>
        </w:tc>
      </w:tr>
      <w:tr w:rsidR="00FC3526" w:rsidRPr="00DE4CD2" w14:paraId="2F3D1F80" w14:textId="77777777" w:rsidTr="00B90855">
        <w:trPr>
          <w:trHeight w:val="510"/>
        </w:trPr>
        <w:tc>
          <w:tcPr>
            <w:tcW w:w="1324" w:type="dxa"/>
            <w:shd w:val="clear" w:color="auto" w:fill="auto"/>
            <w:vAlign w:val="center"/>
            <w:hideMark/>
          </w:tcPr>
          <w:p w14:paraId="2931FE65"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b/>
                <w:bCs/>
                <w:sz w:val="20"/>
                <w:szCs w:val="20"/>
                <w:lang w:val="de-DE" w:eastAsia="de-DE"/>
              </w:rPr>
            </w:pPr>
            <w:proofErr w:type="spellStart"/>
            <w:r w:rsidRPr="00DE4CD2">
              <w:rPr>
                <w:rFonts w:asciiTheme="majorHAnsi" w:eastAsia="Times New Roman" w:hAnsiTheme="majorHAnsi" w:cstheme="majorHAnsi"/>
                <w:b/>
                <w:bCs/>
                <w:sz w:val="20"/>
                <w:szCs w:val="20"/>
                <w:lang w:val="de-DE" w:eastAsia="de-DE"/>
              </w:rPr>
              <w:t>Sweden</w:t>
            </w:r>
            <w:proofErr w:type="spellEnd"/>
          </w:p>
        </w:tc>
        <w:tc>
          <w:tcPr>
            <w:tcW w:w="921" w:type="dxa"/>
            <w:vMerge/>
            <w:shd w:val="clear" w:color="auto" w:fill="auto"/>
            <w:vAlign w:val="center"/>
            <w:hideMark/>
          </w:tcPr>
          <w:p w14:paraId="7DF929BA"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rPr>
                <w:rFonts w:asciiTheme="majorHAnsi" w:eastAsia="Times New Roman" w:hAnsiTheme="majorHAnsi" w:cstheme="majorHAnsi"/>
                <w:sz w:val="20"/>
                <w:szCs w:val="20"/>
                <w:lang w:val="de-DE" w:eastAsia="de-DE"/>
              </w:rPr>
            </w:pPr>
          </w:p>
        </w:tc>
        <w:tc>
          <w:tcPr>
            <w:tcW w:w="1028" w:type="dxa"/>
            <w:shd w:val="clear" w:color="auto" w:fill="auto"/>
            <w:vAlign w:val="center"/>
            <w:hideMark/>
          </w:tcPr>
          <w:p w14:paraId="5AC2B7E2"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ind w:right="74"/>
              <w:jc w:val="right"/>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52,588</w:t>
            </w:r>
          </w:p>
        </w:tc>
        <w:tc>
          <w:tcPr>
            <w:tcW w:w="1497" w:type="dxa"/>
            <w:shd w:val="clear" w:color="auto" w:fill="auto"/>
            <w:vAlign w:val="center"/>
            <w:hideMark/>
          </w:tcPr>
          <w:p w14:paraId="7B1547EB"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ind w:right="74"/>
              <w:jc w:val="right"/>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52,588</w:t>
            </w:r>
          </w:p>
        </w:tc>
        <w:tc>
          <w:tcPr>
            <w:tcW w:w="1523" w:type="dxa"/>
            <w:shd w:val="clear" w:color="auto" w:fill="auto"/>
            <w:vAlign w:val="center"/>
            <w:hideMark/>
          </w:tcPr>
          <w:p w14:paraId="7A74F502"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right"/>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36,349 (69%)</w:t>
            </w:r>
          </w:p>
        </w:tc>
        <w:tc>
          <w:tcPr>
            <w:tcW w:w="1264" w:type="dxa"/>
            <w:shd w:val="clear" w:color="auto" w:fill="auto"/>
            <w:vAlign w:val="center"/>
            <w:hideMark/>
          </w:tcPr>
          <w:p w14:paraId="73E84AA1"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11</w:t>
            </w:r>
          </w:p>
        </w:tc>
        <w:tc>
          <w:tcPr>
            <w:tcW w:w="1936" w:type="dxa"/>
            <w:shd w:val="clear" w:color="auto" w:fill="auto"/>
            <w:vAlign w:val="center"/>
            <w:hideMark/>
          </w:tcPr>
          <w:p w14:paraId="3183FAE6"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2008-2021</w:t>
            </w:r>
          </w:p>
        </w:tc>
      </w:tr>
      <w:tr w:rsidR="00FC3526" w:rsidRPr="00DE4CD2" w14:paraId="4F9C7154" w14:textId="77777777" w:rsidTr="00B90855">
        <w:trPr>
          <w:trHeight w:val="510"/>
        </w:trPr>
        <w:tc>
          <w:tcPr>
            <w:tcW w:w="1324" w:type="dxa"/>
            <w:shd w:val="clear" w:color="auto" w:fill="auto"/>
            <w:vAlign w:val="center"/>
            <w:hideMark/>
          </w:tcPr>
          <w:p w14:paraId="56EE3216"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b/>
                <w:bCs/>
                <w:sz w:val="20"/>
                <w:szCs w:val="20"/>
                <w:lang w:val="de-DE" w:eastAsia="de-DE"/>
              </w:rPr>
            </w:pPr>
            <w:proofErr w:type="spellStart"/>
            <w:r w:rsidRPr="00DE4CD2">
              <w:rPr>
                <w:rFonts w:asciiTheme="majorHAnsi" w:eastAsia="Times New Roman" w:hAnsiTheme="majorHAnsi" w:cstheme="majorHAnsi"/>
                <w:b/>
                <w:bCs/>
                <w:sz w:val="20"/>
                <w:szCs w:val="20"/>
                <w:lang w:val="de-DE" w:eastAsia="de-DE"/>
              </w:rPr>
              <w:t>Switzerland</w:t>
            </w:r>
            <w:proofErr w:type="spellEnd"/>
          </w:p>
        </w:tc>
        <w:tc>
          <w:tcPr>
            <w:tcW w:w="921" w:type="dxa"/>
            <w:vMerge/>
            <w:shd w:val="clear" w:color="auto" w:fill="auto"/>
            <w:vAlign w:val="center"/>
            <w:hideMark/>
          </w:tcPr>
          <w:p w14:paraId="0B0465DD"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rPr>
                <w:rFonts w:asciiTheme="majorHAnsi" w:eastAsia="Times New Roman" w:hAnsiTheme="majorHAnsi" w:cstheme="majorHAnsi"/>
                <w:sz w:val="20"/>
                <w:szCs w:val="20"/>
                <w:lang w:val="de-DE" w:eastAsia="de-DE"/>
              </w:rPr>
            </w:pPr>
          </w:p>
        </w:tc>
        <w:tc>
          <w:tcPr>
            <w:tcW w:w="1028" w:type="dxa"/>
            <w:shd w:val="clear" w:color="auto" w:fill="auto"/>
            <w:vAlign w:val="center"/>
            <w:hideMark/>
          </w:tcPr>
          <w:p w14:paraId="42C48A07"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ind w:right="74"/>
              <w:jc w:val="right"/>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76,982</w:t>
            </w:r>
          </w:p>
        </w:tc>
        <w:tc>
          <w:tcPr>
            <w:tcW w:w="1497" w:type="dxa"/>
            <w:shd w:val="clear" w:color="auto" w:fill="auto"/>
            <w:vAlign w:val="center"/>
            <w:hideMark/>
          </w:tcPr>
          <w:p w14:paraId="08F017F9"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ind w:right="74"/>
              <w:jc w:val="right"/>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143,408</w:t>
            </w:r>
          </w:p>
        </w:tc>
        <w:tc>
          <w:tcPr>
            <w:tcW w:w="1523" w:type="dxa"/>
            <w:shd w:val="clear" w:color="auto" w:fill="auto"/>
            <w:vAlign w:val="center"/>
            <w:hideMark/>
          </w:tcPr>
          <w:p w14:paraId="7DD44E5F"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right"/>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98,290 (69%)</w:t>
            </w:r>
          </w:p>
        </w:tc>
        <w:tc>
          <w:tcPr>
            <w:tcW w:w="1264" w:type="dxa"/>
            <w:shd w:val="clear" w:color="auto" w:fill="auto"/>
            <w:vAlign w:val="center"/>
            <w:hideMark/>
          </w:tcPr>
          <w:p w14:paraId="54CF8513"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SNF</w:t>
            </w:r>
          </w:p>
        </w:tc>
        <w:tc>
          <w:tcPr>
            <w:tcW w:w="1936" w:type="dxa"/>
            <w:shd w:val="clear" w:color="auto" w:fill="auto"/>
            <w:vAlign w:val="center"/>
            <w:hideMark/>
          </w:tcPr>
          <w:p w14:paraId="38311FC4"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1975-2021</w:t>
            </w:r>
          </w:p>
        </w:tc>
      </w:tr>
      <w:tr w:rsidR="00FC3526" w:rsidRPr="00DE4CD2" w14:paraId="4F531C25" w14:textId="77777777" w:rsidTr="00B90855">
        <w:trPr>
          <w:trHeight w:val="510"/>
        </w:trPr>
        <w:tc>
          <w:tcPr>
            <w:tcW w:w="1324" w:type="dxa"/>
            <w:shd w:val="clear" w:color="auto" w:fill="auto"/>
            <w:vAlign w:val="center"/>
            <w:hideMark/>
          </w:tcPr>
          <w:p w14:paraId="3FB47629"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b/>
                <w:bCs/>
                <w:sz w:val="20"/>
                <w:szCs w:val="20"/>
                <w:lang w:val="de-DE" w:eastAsia="de-DE"/>
              </w:rPr>
            </w:pPr>
            <w:r w:rsidRPr="00DE4CD2">
              <w:rPr>
                <w:rFonts w:asciiTheme="majorHAnsi" w:eastAsia="Times New Roman" w:hAnsiTheme="majorHAnsi" w:cstheme="majorHAnsi"/>
                <w:b/>
                <w:bCs/>
                <w:sz w:val="20"/>
                <w:szCs w:val="20"/>
                <w:lang w:val="de-DE" w:eastAsia="de-DE"/>
              </w:rPr>
              <w:t>United Kingdom</w:t>
            </w:r>
          </w:p>
        </w:tc>
        <w:tc>
          <w:tcPr>
            <w:tcW w:w="921" w:type="dxa"/>
            <w:vMerge/>
            <w:shd w:val="clear" w:color="auto" w:fill="auto"/>
            <w:vAlign w:val="center"/>
            <w:hideMark/>
          </w:tcPr>
          <w:p w14:paraId="0925EA26"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rPr>
                <w:rFonts w:asciiTheme="majorHAnsi" w:eastAsia="Times New Roman" w:hAnsiTheme="majorHAnsi" w:cstheme="majorHAnsi"/>
                <w:sz w:val="20"/>
                <w:szCs w:val="20"/>
                <w:lang w:val="de-DE" w:eastAsia="de-DE"/>
              </w:rPr>
            </w:pPr>
          </w:p>
        </w:tc>
        <w:tc>
          <w:tcPr>
            <w:tcW w:w="1028" w:type="dxa"/>
            <w:shd w:val="clear" w:color="auto" w:fill="auto"/>
            <w:vAlign w:val="center"/>
            <w:hideMark/>
          </w:tcPr>
          <w:p w14:paraId="0E9472D3"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ind w:right="74"/>
              <w:jc w:val="right"/>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121,119</w:t>
            </w:r>
          </w:p>
        </w:tc>
        <w:tc>
          <w:tcPr>
            <w:tcW w:w="1497" w:type="dxa"/>
            <w:shd w:val="clear" w:color="auto" w:fill="auto"/>
            <w:vAlign w:val="center"/>
            <w:hideMark/>
          </w:tcPr>
          <w:p w14:paraId="7005B2E9"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ind w:right="74"/>
              <w:jc w:val="right"/>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159,48</w:t>
            </w:r>
          </w:p>
        </w:tc>
        <w:tc>
          <w:tcPr>
            <w:tcW w:w="1523" w:type="dxa"/>
            <w:shd w:val="clear" w:color="auto" w:fill="auto"/>
            <w:vAlign w:val="center"/>
            <w:hideMark/>
          </w:tcPr>
          <w:p w14:paraId="25AD7F92"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right"/>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135,845 (85%)</w:t>
            </w:r>
          </w:p>
        </w:tc>
        <w:tc>
          <w:tcPr>
            <w:tcW w:w="1264" w:type="dxa"/>
            <w:shd w:val="clear" w:color="auto" w:fill="auto"/>
            <w:vAlign w:val="center"/>
            <w:hideMark/>
          </w:tcPr>
          <w:p w14:paraId="0C03BF50"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10</w:t>
            </w:r>
          </w:p>
        </w:tc>
        <w:tc>
          <w:tcPr>
            <w:tcW w:w="1936" w:type="dxa"/>
            <w:shd w:val="clear" w:color="auto" w:fill="auto"/>
            <w:vAlign w:val="center"/>
            <w:hideMark/>
          </w:tcPr>
          <w:p w14:paraId="06CF072E"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1973-2021</w:t>
            </w:r>
          </w:p>
        </w:tc>
      </w:tr>
      <w:tr w:rsidR="00FC3526" w:rsidRPr="00DE4CD2" w14:paraId="1098049E" w14:textId="77777777" w:rsidTr="00B90855">
        <w:trPr>
          <w:trHeight w:val="510"/>
        </w:trPr>
        <w:tc>
          <w:tcPr>
            <w:tcW w:w="1324" w:type="dxa"/>
            <w:shd w:val="clear" w:color="auto" w:fill="auto"/>
            <w:vAlign w:val="center"/>
            <w:hideMark/>
          </w:tcPr>
          <w:p w14:paraId="426B8644"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b/>
                <w:bCs/>
                <w:sz w:val="20"/>
                <w:szCs w:val="20"/>
                <w:lang w:val="de-DE" w:eastAsia="de-DE"/>
              </w:rPr>
            </w:pPr>
            <w:proofErr w:type="spellStart"/>
            <w:r w:rsidRPr="00DE4CD2">
              <w:rPr>
                <w:rFonts w:asciiTheme="majorHAnsi" w:eastAsia="Times New Roman" w:hAnsiTheme="majorHAnsi" w:cstheme="majorHAnsi"/>
                <w:b/>
                <w:bCs/>
                <w:sz w:val="20"/>
                <w:szCs w:val="20"/>
                <w:lang w:val="de-DE" w:eastAsia="de-DE"/>
              </w:rPr>
              <w:t>Finland</w:t>
            </w:r>
            <w:proofErr w:type="spellEnd"/>
          </w:p>
        </w:tc>
        <w:tc>
          <w:tcPr>
            <w:tcW w:w="921" w:type="dxa"/>
            <w:vMerge w:val="restart"/>
            <w:shd w:val="clear" w:color="auto" w:fill="auto"/>
            <w:vAlign w:val="center"/>
            <w:hideMark/>
          </w:tcPr>
          <w:p w14:paraId="320ABBD7"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2022</w:t>
            </w:r>
          </w:p>
        </w:tc>
        <w:tc>
          <w:tcPr>
            <w:tcW w:w="1028" w:type="dxa"/>
            <w:shd w:val="clear" w:color="auto" w:fill="auto"/>
            <w:vAlign w:val="center"/>
            <w:hideMark/>
          </w:tcPr>
          <w:p w14:paraId="60D4F87A"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ind w:right="74"/>
              <w:jc w:val="right"/>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9,52</w:t>
            </w:r>
          </w:p>
        </w:tc>
        <w:tc>
          <w:tcPr>
            <w:tcW w:w="1497" w:type="dxa"/>
            <w:shd w:val="clear" w:color="auto" w:fill="auto"/>
            <w:vAlign w:val="center"/>
            <w:hideMark/>
          </w:tcPr>
          <w:p w14:paraId="654D4433"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ind w:right="74"/>
              <w:jc w:val="right"/>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10,791</w:t>
            </w:r>
          </w:p>
        </w:tc>
        <w:tc>
          <w:tcPr>
            <w:tcW w:w="1523" w:type="dxa"/>
            <w:shd w:val="clear" w:color="auto" w:fill="auto"/>
            <w:vAlign w:val="center"/>
            <w:hideMark/>
          </w:tcPr>
          <w:p w14:paraId="603E373C"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right"/>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10,603 (98%)</w:t>
            </w:r>
          </w:p>
        </w:tc>
        <w:tc>
          <w:tcPr>
            <w:tcW w:w="1264" w:type="dxa"/>
            <w:shd w:val="clear" w:color="auto" w:fill="auto"/>
            <w:vAlign w:val="center"/>
            <w:hideMark/>
          </w:tcPr>
          <w:p w14:paraId="4DD9E96A"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 xml:space="preserve">Academy of </w:t>
            </w:r>
            <w:proofErr w:type="spellStart"/>
            <w:r w:rsidRPr="00DE4CD2">
              <w:rPr>
                <w:rFonts w:asciiTheme="majorHAnsi" w:eastAsia="Times New Roman" w:hAnsiTheme="majorHAnsi" w:cstheme="majorHAnsi"/>
                <w:sz w:val="20"/>
                <w:szCs w:val="20"/>
                <w:lang w:val="de-DE" w:eastAsia="de-DE"/>
              </w:rPr>
              <w:t>Finland</w:t>
            </w:r>
            <w:proofErr w:type="spellEnd"/>
          </w:p>
        </w:tc>
        <w:tc>
          <w:tcPr>
            <w:tcW w:w="1936" w:type="dxa"/>
            <w:shd w:val="clear" w:color="auto" w:fill="auto"/>
            <w:vAlign w:val="center"/>
            <w:hideMark/>
          </w:tcPr>
          <w:p w14:paraId="3BDC6192"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2010-2022</w:t>
            </w:r>
          </w:p>
        </w:tc>
      </w:tr>
      <w:tr w:rsidR="00FC3526" w:rsidRPr="00DE4CD2" w14:paraId="33F96AC3" w14:textId="77777777" w:rsidTr="00B90855">
        <w:trPr>
          <w:trHeight w:val="510"/>
        </w:trPr>
        <w:tc>
          <w:tcPr>
            <w:tcW w:w="1324" w:type="dxa"/>
            <w:shd w:val="clear" w:color="auto" w:fill="auto"/>
            <w:vAlign w:val="center"/>
            <w:hideMark/>
          </w:tcPr>
          <w:p w14:paraId="32F5EE6D"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b/>
                <w:bCs/>
                <w:sz w:val="20"/>
                <w:szCs w:val="20"/>
                <w:lang w:val="de-DE" w:eastAsia="de-DE"/>
              </w:rPr>
            </w:pPr>
            <w:r w:rsidRPr="00DE4CD2">
              <w:rPr>
                <w:rFonts w:asciiTheme="majorHAnsi" w:eastAsia="Times New Roman" w:hAnsiTheme="majorHAnsi" w:cstheme="majorHAnsi"/>
                <w:b/>
                <w:bCs/>
                <w:sz w:val="20"/>
                <w:szCs w:val="20"/>
                <w:lang w:val="de-DE" w:eastAsia="de-DE"/>
              </w:rPr>
              <w:t>France</w:t>
            </w:r>
          </w:p>
        </w:tc>
        <w:tc>
          <w:tcPr>
            <w:tcW w:w="921" w:type="dxa"/>
            <w:vMerge/>
            <w:shd w:val="clear" w:color="auto" w:fill="auto"/>
            <w:vAlign w:val="center"/>
            <w:hideMark/>
          </w:tcPr>
          <w:p w14:paraId="1FC89AF3"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rPr>
                <w:rFonts w:asciiTheme="majorHAnsi" w:eastAsia="Times New Roman" w:hAnsiTheme="majorHAnsi" w:cstheme="majorHAnsi"/>
                <w:sz w:val="20"/>
                <w:szCs w:val="20"/>
                <w:lang w:val="de-DE" w:eastAsia="de-DE"/>
              </w:rPr>
            </w:pPr>
          </w:p>
        </w:tc>
        <w:tc>
          <w:tcPr>
            <w:tcW w:w="1028" w:type="dxa"/>
            <w:shd w:val="clear" w:color="auto" w:fill="auto"/>
            <w:vAlign w:val="center"/>
            <w:hideMark/>
          </w:tcPr>
          <w:p w14:paraId="6DED1D76"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ind w:right="74"/>
              <w:jc w:val="right"/>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18,31</w:t>
            </w:r>
          </w:p>
        </w:tc>
        <w:tc>
          <w:tcPr>
            <w:tcW w:w="1497" w:type="dxa"/>
            <w:shd w:val="clear" w:color="auto" w:fill="auto"/>
            <w:vAlign w:val="center"/>
            <w:hideMark/>
          </w:tcPr>
          <w:p w14:paraId="3C90391E"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ind w:right="74"/>
              <w:jc w:val="right"/>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58,768</w:t>
            </w:r>
          </w:p>
        </w:tc>
        <w:tc>
          <w:tcPr>
            <w:tcW w:w="1523" w:type="dxa"/>
            <w:shd w:val="clear" w:color="auto" w:fill="auto"/>
            <w:vAlign w:val="center"/>
            <w:hideMark/>
          </w:tcPr>
          <w:p w14:paraId="03EC1A7B"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right"/>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36,747* (63%)</w:t>
            </w:r>
          </w:p>
        </w:tc>
        <w:tc>
          <w:tcPr>
            <w:tcW w:w="1264" w:type="dxa"/>
            <w:shd w:val="clear" w:color="auto" w:fill="auto"/>
            <w:vAlign w:val="center"/>
            <w:hideMark/>
          </w:tcPr>
          <w:p w14:paraId="13C0875A"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ANR</w:t>
            </w:r>
          </w:p>
        </w:tc>
        <w:tc>
          <w:tcPr>
            <w:tcW w:w="1936" w:type="dxa"/>
            <w:shd w:val="clear" w:color="auto" w:fill="auto"/>
            <w:vAlign w:val="center"/>
            <w:hideMark/>
          </w:tcPr>
          <w:p w14:paraId="5C1530AE"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2010-2022</w:t>
            </w:r>
          </w:p>
        </w:tc>
      </w:tr>
      <w:tr w:rsidR="00FC3526" w:rsidRPr="00DE4CD2" w14:paraId="4FEE58D7" w14:textId="77777777" w:rsidTr="00B90855">
        <w:trPr>
          <w:trHeight w:val="510"/>
        </w:trPr>
        <w:tc>
          <w:tcPr>
            <w:tcW w:w="1324" w:type="dxa"/>
            <w:shd w:val="clear" w:color="auto" w:fill="auto"/>
            <w:vAlign w:val="center"/>
            <w:hideMark/>
          </w:tcPr>
          <w:p w14:paraId="028195BB"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b/>
                <w:bCs/>
                <w:sz w:val="20"/>
                <w:szCs w:val="20"/>
                <w:lang w:val="de-DE" w:eastAsia="de-DE"/>
              </w:rPr>
            </w:pPr>
            <w:proofErr w:type="spellStart"/>
            <w:r w:rsidRPr="00DE4CD2">
              <w:rPr>
                <w:rFonts w:asciiTheme="majorHAnsi" w:eastAsia="Times New Roman" w:hAnsiTheme="majorHAnsi" w:cstheme="majorHAnsi"/>
                <w:b/>
                <w:bCs/>
                <w:sz w:val="20"/>
                <w:szCs w:val="20"/>
                <w:lang w:val="de-DE" w:eastAsia="de-DE"/>
              </w:rPr>
              <w:t>Croatia</w:t>
            </w:r>
            <w:proofErr w:type="spellEnd"/>
          </w:p>
        </w:tc>
        <w:tc>
          <w:tcPr>
            <w:tcW w:w="921" w:type="dxa"/>
            <w:vMerge/>
            <w:shd w:val="clear" w:color="auto" w:fill="auto"/>
            <w:vAlign w:val="center"/>
            <w:hideMark/>
          </w:tcPr>
          <w:p w14:paraId="4059E713"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rPr>
                <w:rFonts w:asciiTheme="majorHAnsi" w:eastAsia="Times New Roman" w:hAnsiTheme="majorHAnsi" w:cstheme="majorHAnsi"/>
                <w:sz w:val="20"/>
                <w:szCs w:val="20"/>
                <w:lang w:val="de-DE" w:eastAsia="de-DE"/>
              </w:rPr>
            </w:pPr>
          </w:p>
        </w:tc>
        <w:tc>
          <w:tcPr>
            <w:tcW w:w="1028" w:type="dxa"/>
            <w:shd w:val="clear" w:color="auto" w:fill="auto"/>
            <w:vAlign w:val="center"/>
            <w:hideMark/>
          </w:tcPr>
          <w:p w14:paraId="540289F6"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ind w:right="74"/>
              <w:jc w:val="right"/>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1,671</w:t>
            </w:r>
          </w:p>
        </w:tc>
        <w:tc>
          <w:tcPr>
            <w:tcW w:w="1497" w:type="dxa"/>
            <w:shd w:val="clear" w:color="auto" w:fill="auto"/>
            <w:vAlign w:val="center"/>
            <w:hideMark/>
          </w:tcPr>
          <w:p w14:paraId="00738CD8"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ind w:right="74"/>
              <w:jc w:val="right"/>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1,678</w:t>
            </w:r>
          </w:p>
        </w:tc>
        <w:tc>
          <w:tcPr>
            <w:tcW w:w="1523" w:type="dxa"/>
            <w:shd w:val="clear" w:color="auto" w:fill="auto"/>
            <w:vAlign w:val="center"/>
            <w:hideMark/>
          </w:tcPr>
          <w:p w14:paraId="6BEEF237"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right"/>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1,552 (92%)</w:t>
            </w:r>
          </w:p>
        </w:tc>
        <w:tc>
          <w:tcPr>
            <w:tcW w:w="1264" w:type="dxa"/>
            <w:shd w:val="clear" w:color="auto" w:fill="auto"/>
            <w:vAlign w:val="center"/>
            <w:hideMark/>
          </w:tcPr>
          <w:p w14:paraId="48CF0737"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HRZZ</w:t>
            </w:r>
          </w:p>
        </w:tc>
        <w:tc>
          <w:tcPr>
            <w:tcW w:w="1936" w:type="dxa"/>
            <w:shd w:val="clear" w:color="auto" w:fill="auto"/>
            <w:vAlign w:val="center"/>
            <w:hideMark/>
          </w:tcPr>
          <w:p w14:paraId="4954A943"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2010-2022</w:t>
            </w:r>
          </w:p>
        </w:tc>
      </w:tr>
      <w:tr w:rsidR="00FC3526" w:rsidRPr="00DE4CD2" w14:paraId="277B361A" w14:textId="77777777" w:rsidTr="00B90855">
        <w:trPr>
          <w:trHeight w:val="510"/>
        </w:trPr>
        <w:tc>
          <w:tcPr>
            <w:tcW w:w="1324" w:type="dxa"/>
            <w:shd w:val="clear" w:color="auto" w:fill="auto"/>
            <w:vAlign w:val="center"/>
            <w:hideMark/>
          </w:tcPr>
          <w:p w14:paraId="05D3005C"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b/>
                <w:bCs/>
                <w:sz w:val="20"/>
                <w:szCs w:val="20"/>
                <w:lang w:val="de-DE" w:eastAsia="de-DE"/>
              </w:rPr>
            </w:pPr>
            <w:r w:rsidRPr="00DE4CD2">
              <w:rPr>
                <w:rFonts w:asciiTheme="majorHAnsi" w:eastAsia="Times New Roman" w:hAnsiTheme="majorHAnsi" w:cstheme="majorHAnsi"/>
                <w:b/>
                <w:bCs/>
                <w:sz w:val="20"/>
                <w:szCs w:val="20"/>
                <w:lang w:val="de-DE" w:eastAsia="de-DE"/>
              </w:rPr>
              <w:t>Lithuania</w:t>
            </w:r>
          </w:p>
        </w:tc>
        <w:tc>
          <w:tcPr>
            <w:tcW w:w="921" w:type="dxa"/>
            <w:vMerge/>
            <w:shd w:val="clear" w:color="auto" w:fill="auto"/>
            <w:vAlign w:val="center"/>
            <w:hideMark/>
          </w:tcPr>
          <w:p w14:paraId="0AC16B25"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rPr>
                <w:rFonts w:asciiTheme="majorHAnsi" w:eastAsia="Times New Roman" w:hAnsiTheme="majorHAnsi" w:cstheme="majorHAnsi"/>
                <w:sz w:val="20"/>
                <w:szCs w:val="20"/>
                <w:lang w:val="de-DE" w:eastAsia="de-DE"/>
              </w:rPr>
            </w:pPr>
          </w:p>
        </w:tc>
        <w:tc>
          <w:tcPr>
            <w:tcW w:w="1028" w:type="dxa"/>
            <w:shd w:val="clear" w:color="auto" w:fill="auto"/>
            <w:vAlign w:val="center"/>
            <w:hideMark/>
          </w:tcPr>
          <w:p w14:paraId="393813E1"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ind w:right="74"/>
              <w:jc w:val="right"/>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4,178</w:t>
            </w:r>
          </w:p>
        </w:tc>
        <w:tc>
          <w:tcPr>
            <w:tcW w:w="1497" w:type="dxa"/>
            <w:shd w:val="clear" w:color="auto" w:fill="auto"/>
            <w:vAlign w:val="center"/>
            <w:hideMark/>
          </w:tcPr>
          <w:p w14:paraId="375F6360"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ind w:right="74"/>
              <w:jc w:val="right"/>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5,267</w:t>
            </w:r>
          </w:p>
        </w:tc>
        <w:tc>
          <w:tcPr>
            <w:tcW w:w="1523" w:type="dxa"/>
            <w:shd w:val="clear" w:color="auto" w:fill="auto"/>
            <w:vAlign w:val="center"/>
            <w:hideMark/>
          </w:tcPr>
          <w:p w14:paraId="61741C09"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right"/>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4,073 (77%)</w:t>
            </w:r>
          </w:p>
        </w:tc>
        <w:tc>
          <w:tcPr>
            <w:tcW w:w="1264" w:type="dxa"/>
            <w:shd w:val="clear" w:color="auto" w:fill="auto"/>
            <w:vAlign w:val="center"/>
            <w:hideMark/>
          </w:tcPr>
          <w:p w14:paraId="3E646E05"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LMT</w:t>
            </w:r>
          </w:p>
        </w:tc>
        <w:tc>
          <w:tcPr>
            <w:tcW w:w="1936" w:type="dxa"/>
            <w:shd w:val="clear" w:color="auto" w:fill="auto"/>
            <w:vAlign w:val="center"/>
            <w:hideMark/>
          </w:tcPr>
          <w:p w14:paraId="2DDD8D1C"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2010-2022</w:t>
            </w:r>
          </w:p>
        </w:tc>
      </w:tr>
      <w:tr w:rsidR="00FC3526" w:rsidRPr="00DE4CD2" w14:paraId="2FA0118B" w14:textId="77777777" w:rsidTr="00B90855">
        <w:trPr>
          <w:trHeight w:val="510"/>
        </w:trPr>
        <w:tc>
          <w:tcPr>
            <w:tcW w:w="1324" w:type="dxa"/>
            <w:shd w:val="clear" w:color="auto" w:fill="auto"/>
            <w:vAlign w:val="center"/>
            <w:hideMark/>
          </w:tcPr>
          <w:p w14:paraId="3CD74F80"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b/>
                <w:bCs/>
                <w:sz w:val="20"/>
                <w:szCs w:val="20"/>
                <w:lang w:val="de-DE" w:eastAsia="de-DE"/>
              </w:rPr>
            </w:pPr>
            <w:r w:rsidRPr="00DE4CD2">
              <w:rPr>
                <w:rFonts w:asciiTheme="majorHAnsi" w:eastAsia="Times New Roman" w:hAnsiTheme="majorHAnsi" w:cstheme="majorHAnsi"/>
                <w:b/>
                <w:bCs/>
                <w:sz w:val="20"/>
                <w:szCs w:val="20"/>
                <w:lang w:val="de-DE" w:eastAsia="de-DE"/>
              </w:rPr>
              <w:t>Slovenia</w:t>
            </w:r>
          </w:p>
        </w:tc>
        <w:tc>
          <w:tcPr>
            <w:tcW w:w="921" w:type="dxa"/>
            <w:vMerge/>
            <w:shd w:val="clear" w:color="auto" w:fill="auto"/>
            <w:vAlign w:val="center"/>
            <w:hideMark/>
          </w:tcPr>
          <w:p w14:paraId="2B11A2FD"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rPr>
                <w:rFonts w:asciiTheme="majorHAnsi" w:eastAsia="Times New Roman" w:hAnsiTheme="majorHAnsi" w:cstheme="majorHAnsi"/>
                <w:sz w:val="20"/>
                <w:szCs w:val="20"/>
                <w:lang w:val="de-DE" w:eastAsia="de-DE"/>
              </w:rPr>
            </w:pPr>
          </w:p>
        </w:tc>
        <w:tc>
          <w:tcPr>
            <w:tcW w:w="1028" w:type="dxa"/>
            <w:shd w:val="clear" w:color="auto" w:fill="auto"/>
            <w:vAlign w:val="center"/>
            <w:hideMark/>
          </w:tcPr>
          <w:p w14:paraId="5EA6944F"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ind w:right="74"/>
              <w:jc w:val="right"/>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8,917</w:t>
            </w:r>
          </w:p>
        </w:tc>
        <w:tc>
          <w:tcPr>
            <w:tcW w:w="1497" w:type="dxa"/>
            <w:shd w:val="clear" w:color="auto" w:fill="auto"/>
            <w:vAlign w:val="center"/>
            <w:hideMark/>
          </w:tcPr>
          <w:p w14:paraId="379470B8"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ind w:right="74"/>
              <w:jc w:val="right"/>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14,936</w:t>
            </w:r>
          </w:p>
        </w:tc>
        <w:tc>
          <w:tcPr>
            <w:tcW w:w="1523" w:type="dxa"/>
            <w:shd w:val="clear" w:color="auto" w:fill="auto"/>
            <w:vAlign w:val="center"/>
            <w:hideMark/>
          </w:tcPr>
          <w:p w14:paraId="54B50A66"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right"/>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12,231 (82%)</w:t>
            </w:r>
          </w:p>
        </w:tc>
        <w:tc>
          <w:tcPr>
            <w:tcW w:w="1264" w:type="dxa"/>
            <w:shd w:val="clear" w:color="auto" w:fill="auto"/>
            <w:vAlign w:val="center"/>
            <w:hideMark/>
          </w:tcPr>
          <w:p w14:paraId="405CD6CD"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ARRS</w:t>
            </w:r>
          </w:p>
        </w:tc>
        <w:tc>
          <w:tcPr>
            <w:tcW w:w="1936" w:type="dxa"/>
            <w:shd w:val="clear" w:color="auto" w:fill="auto"/>
            <w:vAlign w:val="center"/>
            <w:hideMark/>
          </w:tcPr>
          <w:p w14:paraId="44A957F4"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1994-2022</w:t>
            </w:r>
          </w:p>
        </w:tc>
      </w:tr>
      <w:tr w:rsidR="00FC3526" w:rsidRPr="00DE4CD2" w14:paraId="058343FA" w14:textId="77777777" w:rsidTr="00B90855">
        <w:trPr>
          <w:trHeight w:val="510"/>
        </w:trPr>
        <w:tc>
          <w:tcPr>
            <w:tcW w:w="1324" w:type="dxa"/>
            <w:shd w:val="clear" w:color="auto" w:fill="auto"/>
            <w:vAlign w:val="center"/>
            <w:hideMark/>
          </w:tcPr>
          <w:p w14:paraId="2ACDDC89"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b/>
                <w:bCs/>
                <w:sz w:val="20"/>
                <w:szCs w:val="20"/>
                <w:lang w:val="de-DE" w:eastAsia="de-DE"/>
              </w:rPr>
            </w:pPr>
            <w:proofErr w:type="spellStart"/>
            <w:r w:rsidRPr="00DE4CD2">
              <w:rPr>
                <w:rFonts w:asciiTheme="majorHAnsi" w:eastAsia="Times New Roman" w:hAnsiTheme="majorHAnsi" w:cstheme="majorHAnsi"/>
                <w:b/>
                <w:bCs/>
                <w:sz w:val="20"/>
                <w:szCs w:val="20"/>
                <w:lang w:val="de-DE" w:eastAsia="de-DE"/>
              </w:rPr>
              <w:t>Slovakia</w:t>
            </w:r>
            <w:proofErr w:type="spellEnd"/>
          </w:p>
        </w:tc>
        <w:tc>
          <w:tcPr>
            <w:tcW w:w="921" w:type="dxa"/>
            <w:vMerge/>
            <w:shd w:val="clear" w:color="auto" w:fill="auto"/>
            <w:vAlign w:val="center"/>
            <w:hideMark/>
          </w:tcPr>
          <w:p w14:paraId="369241D9"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rPr>
                <w:rFonts w:asciiTheme="majorHAnsi" w:eastAsia="Times New Roman" w:hAnsiTheme="majorHAnsi" w:cstheme="majorHAnsi"/>
                <w:sz w:val="20"/>
                <w:szCs w:val="20"/>
                <w:lang w:val="de-DE" w:eastAsia="de-DE"/>
              </w:rPr>
            </w:pPr>
          </w:p>
        </w:tc>
        <w:tc>
          <w:tcPr>
            <w:tcW w:w="1028" w:type="dxa"/>
            <w:shd w:val="clear" w:color="auto" w:fill="auto"/>
            <w:vAlign w:val="center"/>
            <w:hideMark/>
          </w:tcPr>
          <w:p w14:paraId="23F4DFA6"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ind w:right="74"/>
              <w:jc w:val="right"/>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14,296</w:t>
            </w:r>
          </w:p>
        </w:tc>
        <w:tc>
          <w:tcPr>
            <w:tcW w:w="1497" w:type="dxa"/>
            <w:shd w:val="clear" w:color="auto" w:fill="auto"/>
            <w:vAlign w:val="center"/>
            <w:hideMark/>
          </w:tcPr>
          <w:p w14:paraId="0434B787"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ind w:right="74"/>
              <w:jc w:val="right"/>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22,708</w:t>
            </w:r>
          </w:p>
        </w:tc>
        <w:tc>
          <w:tcPr>
            <w:tcW w:w="1523" w:type="dxa"/>
            <w:shd w:val="clear" w:color="auto" w:fill="auto"/>
            <w:vAlign w:val="center"/>
            <w:hideMark/>
          </w:tcPr>
          <w:p w14:paraId="75716FCF"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right"/>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21,980 (97%)</w:t>
            </w:r>
          </w:p>
        </w:tc>
        <w:tc>
          <w:tcPr>
            <w:tcW w:w="1264" w:type="dxa"/>
            <w:shd w:val="clear" w:color="auto" w:fill="auto"/>
            <w:vAlign w:val="center"/>
            <w:hideMark/>
          </w:tcPr>
          <w:p w14:paraId="1BDB5A21" w14:textId="2235B260"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SRDA, VEGA (</w:t>
            </w:r>
            <w:proofErr w:type="spellStart"/>
            <w:r w:rsidRPr="00DE4CD2">
              <w:rPr>
                <w:rFonts w:asciiTheme="majorHAnsi" w:eastAsia="Times New Roman" w:hAnsiTheme="majorHAnsi" w:cstheme="majorHAnsi"/>
                <w:sz w:val="20"/>
                <w:szCs w:val="20"/>
                <w:lang w:val="de-DE" w:eastAsia="de-DE"/>
              </w:rPr>
              <w:t>Univ</w:t>
            </w:r>
            <w:proofErr w:type="spellEnd"/>
            <w:r w:rsidRPr="00DE4CD2">
              <w:rPr>
                <w:rFonts w:asciiTheme="majorHAnsi" w:eastAsia="Times New Roman" w:hAnsiTheme="majorHAnsi" w:cstheme="majorHAnsi"/>
                <w:sz w:val="20"/>
                <w:szCs w:val="20"/>
                <w:lang w:val="de-DE" w:eastAsia="de-DE"/>
              </w:rPr>
              <w:t xml:space="preserve"> &amp; SAS), KEGA</w:t>
            </w:r>
          </w:p>
        </w:tc>
        <w:tc>
          <w:tcPr>
            <w:tcW w:w="1936" w:type="dxa"/>
            <w:shd w:val="clear" w:color="auto" w:fill="auto"/>
            <w:vAlign w:val="center"/>
            <w:hideMark/>
          </w:tcPr>
          <w:p w14:paraId="491D5644"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sz w:val="20"/>
                <w:szCs w:val="20"/>
                <w:lang w:val="de-DE" w:eastAsia="de-DE"/>
              </w:rPr>
            </w:pPr>
            <w:r w:rsidRPr="00DE4CD2">
              <w:rPr>
                <w:rFonts w:asciiTheme="majorHAnsi" w:eastAsia="Times New Roman" w:hAnsiTheme="majorHAnsi" w:cstheme="majorHAnsi"/>
                <w:sz w:val="20"/>
                <w:szCs w:val="20"/>
                <w:lang w:val="de-DE" w:eastAsia="de-DE"/>
              </w:rPr>
              <w:t>1998-2022</w:t>
            </w:r>
          </w:p>
        </w:tc>
      </w:tr>
      <w:tr w:rsidR="00880919" w:rsidRPr="00DE4CD2" w14:paraId="6A00EA2C" w14:textId="77777777" w:rsidTr="00B90855">
        <w:trPr>
          <w:trHeight w:val="510"/>
        </w:trPr>
        <w:tc>
          <w:tcPr>
            <w:tcW w:w="1324" w:type="dxa"/>
            <w:shd w:val="clear" w:color="auto" w:fill="auto"/>
            <w:vAlign w:val="center"/>
            <w:hideMark/>
          </w:tcPr>
          <w:p w14:paraId="17D3760F"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b/>
                <w:bCs/>
                <w:sz w:val="20"/>
                <w:szCs w:val="20"/>
                <w:lang w:val="de-DE" w:eastAsia="de-DE"/>
              </w:rPr>
            </w:pPr>
            <w:r w:rsidRPr="00DE4CD2">
              <w:rPr>
                <w:rFonts w:asciiTheme="majorHAnsi" w:eastAsia="Times New Roman" w:hAnsiTheme="majorHAnsi" w:cstheme="majorHAnsi"/>
                <w:b/>
                <w:bCs/>
                <w:sz w:val="20"/>
                <w:szCs w:val="20"/>
                <w:lang w:val="de-DE" w:eastAsia="de-DE"/>
              </w:rPr>
              <w:t>Total</w:t>
            </w:r>
          </w:p>
        </w:tc>
        <w:tc>
          <w:tcPr>
            <w:tcW w:w="921" w:type="dxa"/>
            <w:shd w:val="clear" w:color="auto" w:fill="auto"/>
            <w:vAlign w:val="center"/>
            <w:hideMark/>
          </w:tcPr>
          <w:p w14:paraId="2664E5AF" w14:textId="3A75277A"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b/>
                <w:bCs/>
                <w:sz w:val="20"/>
                <w:szCs w:val="20"/>
                <w:lang w:val="de-DE" w:eastAsia="de-DE"/>
              </w:rPr>
            </w:pPr>
          </w:p>
        </w:tc>
        <w:tc>
          <w:tcPr>
            <w:tcW w:w="1028" w:type="dxa"/>
            <w:shd w:val="clear" w:color="auto" w:fill="auto"/>
            <w:vAlign w:val="center"/>
            <w:hideMark/>
          </w:tcPr>
          <w:p w14:paraId="07CC21F3"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b/>
                <w:bCs/>
                <w:sz w:val="20"/>
                <w:szCs w:val="20"/>
                <w:lang w:val="de-DE" w:eastAsia="de-DE"/>
              </w:rPr>
            </w:pPr>
            <w:r w:rsidRPr="00DE4CD2">
              <w:rPr>
                <w:rFonts w:asciiTheme="majorHAnsi" w:eastAsia="Times New Roman" w:hAnsiTheme="majorHAnsi" w:cstheme="majorHAnsi"/>
                <w:b/>
                <w:bCs/>
                <w:sz w:val="20"/>
                <w:szCs w:val="20"/>
                <w:lang w:val="de-DE" w:eastAsia="de-DE"/>
              </w:rPr>
              <w:t>528,693</w:t>
            </w:r>
          </w:p>
        </w:tc>
        <w:tc>
          <w:tcPr>
            <w:tcW w:w="1497" w:type="dxa"/>
            <w:shd w:val="clear" w:color="auto" w:fill="auto"/>
            <w:vAlign w:val="center"/>
            <w:hideMark/>
          </w:tcPr>
          <w:p w14:paraId="3D3F23AC"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b/>
                <w:bCs/>
                <w:sz w:val="20"/>
                <w:szCs w:val="20"/>
                <w:lang w:val="de-DE" w:eastAsia="de-DE"/>
              </w:rPr>
            </w:pPr>
            <w:r w:rsidRPr="00DE4CD2">
              <w:rPr>
                <w:rFonts w:asciiTheme="majorHAnsi" w:eastAsia="Times New Roman" w:hAnsiTheme="majorHAnsi" w:cstheme="majorHAnsi"/>
                <w:b/>
                <w:bCs/>
                <w:sz w:val="20"/>
                <w:szCs w:val="20"/>
                <w:lang w:val="de-DE" w:eastAsia="de-DE"/>
              </w:rPr>
              <w:t>786,138</w:t>
            </w:r>
          </w:p>
        </w:tc>
        <w:tc>
          <w:tcPr>
            <w:tcW w:w="1523" w:type="dxa"/>
            <w:shd w:val="clear" w:color="auto" w:fill="auto"/>
            <w:vAlign w:val="center"/>
            <w:hideMark/>
          </w:tcPr>
          <w:p w14:paraId="3A484065"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b/>
                <w:bCs/>
                <w:sz w:val="20"/>
                <w:szCs w:val="20"/>
                <w:lang w:val="de-DE" w:eastAsia="de-DE"/>
              </w:rPr>
            </w:pPr>
            <w:r w:rsidRPr="00DE4CD2">
              <w:rPr>
                <w:rFonts w:asciiTheme="majorHAnsi" w:eastAsia="Times New Roman" w:hAnsiTheme="majorHAnsi" w:cstheme="majorHAnsi"/>
                <w:b/>
                <w:bCs/>
                <w:sz w:val="20"/>
                <w:szCs w:val="20"/>
                <w:lang w:val="de-DE" w:eastAsia="de-DE"/>
              </w:rPr>
              <w:t>624,526 (79%)</w:t>
            </w:r>
          </w:p>
        </w:tc>
        <w:tc>
          <w:tcPr>
            <w:tcW w:w="1264" w:type="dxa"/>
            <w:shd w:val="clear" w:color="auto" w:fill="auto"/>
            <w:vAlign w:val="center"/>
            <w:hideMark/>
          </w:tcPr>
          <w:p w14:paraId="00DB4467" w14:textId="77777777"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b/>
                <w:bCs/>
                <w:sz w:val="20"/>
                <w:szCs w:val="20"/>
                <w:lang w:val="de-DE" w:eastAsia="de-DE"/>
              </w:rPr>
            </w:pPr>
            <w:r w:rsidRPr="00DE4CD2">
              <w:rPr>
                <w:rFonts w:asciiTheme="majorHAnsi" w:eastAsia="Times New Roman" w:hAnsiTheme="majorHAnsi" w:cstheme="majorHAnsi"/>
                <w:b/>
                <w:bCs/>
                <w:sz w:val="20"/>
                <w:szCs w:val="20"/>
                <w:lang w:val="de-DE" w:eastAsia="de-DE"/>
              </w:rPr>
              <w:t>78+</w:t>
            </w:r>
          </w:p>
        </w:tc>
        <w:tc>
          <w:tcPr>
            <w:tcW w:w="1936" w:type="dxa"/>
            <w:shd w:val="clear" w:color="auto" w:fill="auto"/>
            <w:vAlign w:val="center"/>
            <w:hideMark/>
          </w:tcPr>
          <w:p w14:paraId="76DBD17F" w14:textId="3B78528E" w:rsidR="009912D5" w:rsidRPr="00DE4CD2" w:rsidRDefault="009912D5" w:rsidP="009912D5">
            <w:pPr>
              <w:pBdr>
                <w:top w:val="none" w:sz="0" w:space="0" w:color="auto"/>
                <w:left w:val="none" w:sz="0" w:space="0" w:color="auto"/>
                <w:bottom w:val="none" w:sz="0" w:space="0" w:color="auto"/>
                <w:right w:val="none" w:sz="0" w:space="0" w:color="auto"/>
                <w:between w:val="none" w:sz="0" w:space="0" w:color="auto"/>
              </w:pBdr>
              <w:jc w:val="center"/>
              <w:rPr>
                <w:rFonts w:asciiTheme="majorHAnsi" w:eastAsia="Times New Roman" w:hAnsiTheme="majorHAnsi" w:cstheme="majorHAnsi"/>
                <w:b/>
                <w:bCs/>
                <w:sz w:val="20"/>
                <w:szCs w:val="20"/>
                <w:lang w:val="de-DE" w:eastAsia="de-DE"/>
              </w:rPr>
            </w:pPr>
          </w:p>
        </w:tc>
      </w:tr>
    </w:tbl>
    <w:p w14:paraId="643E6145" w14:textId="411A3D47" w:rsidR="00B90855" w:rsidRPr="00DE4CD2" w:rsidRDefault="00B90855" w:rsidP="00946DAC">
      <w:pPr>
        <w:spacing w:after="240"/>
        <w:jc w:val="both"/>
        <w:rPr>
          <w:rFonts w:asciiTheme="majorHAnsi" w:hAnsiTheme="majorHAnsi" w:cstheme="majorHAnsi"/>
          <w:b/>
          <w:bCs/>
          <w:i/>
          <w:iCs/>
        </w:rPr>
      </w:pPr>
    </w:p>
    <w:p w14:paraId="26AD9D58" w14:textId="6D79F68F" w:rsidR="00B90855" w:rsidRPr="00DE4CD2" w:rsidRDefault="00B90855" w:rsidP="00946DAC">
      <w:pPr>
        <w:spacing w:after="240"/>
        <w:jc w:val="both"/>
        <w:rPr>
          <w:rFonts w:asciiTheme="majorHAnsi" w:hAnsiTheme="majorHAnsi" w:cstheme="majorHAnsi"/>
          <w:b/>
          <w:bCs/>
          <w:i/>
          <w:iCs/>
        </w:rPr>
      </w:pPr>
    </w:p>
    <w:p w14:paraId="04116664" w14:textId="1ED1733B" w:rsidR="00FF0B92" w:rsidRPr="00DE4CD2" w:rsidRDefault="00FF0B92" w:rsidP="00946DAC">
      <w:pPr>
        <w:spacing w:after="240"/>
        <w:jc w:val="both"/>
        <w:rPr>
          <w:rFonts w:asciiTheme="majorHAnsi" w:hAnsiTheme="majorHAnsi" w:cstheme="majorHAnsi"/>
          <w:b/>
          <w:bCs/>
          <w:i/>
          <w:iCs/>
        </w:rPr>
      </w:pPr>
      <w:r w:rsidRPr="00DE4CD2">
        <w:rPr>
          <w:rFonts w:asciiTheme="majorHAnsi" w:hAnsiTheme="majorHAnsi" w:cstheme="majorHAnsi"/>
          <w:b/>
          <w:bCs/>
          <w:i/>
          <w:iCs/>
        </w:rPr>
        <w:lastRenderedPageBreak/>
        <w:t xml:space="preserve">Description of </w:t>
      </w:r>
      <w:r w:rsidR="007E1A47" w:rsidRPr="00DE4CD2">
        <w:rPr>
          <w:rFonts w:asciiTheme="majorHAnsi" w:hAnsiTheme="majorHAnsi" w:cstheme="majorHAnsi"/>
          <w:b/>
          <w:bCs/>
          <w:i/>
          <w:iCs/>
        </w:rPr>
        <w:t>use</w:t>
      </w:r>
    </w:p>
    <w:p w14:paraId="0A2B451B" w14:textId="4C4C8D6D" w:rsidR="00515B72" w:rsidRPr="00DE4CD2" w:rsidRDefault="00F15FFA" w:rsidP="00515B72">
      <w:pPr>
        <w:jc w:val="both"/>
        <w:rPr>
          <w:rFonts w:asciiTheme="majorHAnsi" w:hAnsiTheme="majorHAnsi" w:cstheme="majorHAnsi"/>
        </w:rPr>
      </w:pPr>
      <w:r w:rsidRPr="00DE4CD2">
        <w:rPr>
          <w:rFonts w:asciiTheme="majorHAnsi" w:hAnsiTheme="majorHAnsi" w:cstheme="majorHAnsi"/>
          <w:lang w:val="en-US"/>
        </w:rPr>
        <w:t xml:space="preserve">With the coverage, inter-operability and different functionalities as described above, EUPRO clearly constitutes a window on the multi-faceted, and geographically dispersed R&amp;D collaboration landscape. </w:t>
      </w:r>
      <w:r w:rsidR="00946DAC" w:rsidRPr="00DE4CD2">
        <w:rPr>
          <w:rFonts w:asciiTheme="majorHAnsi" w:hAnsiTheme="majorHAnsi" w:cstheme="majorHAnsi"/>
          <w:lang w:val="en-US"/>
        </w:rPr>
        <w:t>Actually</w:t>
      </w:r>
      <w:r w:rsidRPr="00DE4CD2">
        <w:rPr>
          <w:rFonts w:asciiTheme="majorHAnsi" w:hAnsiTheme="majorHAnsi" w:cstheme="majorHAnsi"/>
          <w:lang w:val="en-US"/>
        </w:rPr>
        <w:t xml:space="preserve">, it has been increasingly used intensively as a core facility in research activities that investigate structures, dynamics and impacts of project-based R&amp;D collaboration (see e.g. Wanzenböck et al. 2015, Lata et al. 2015, Lepori et al. 2015, Wanzenböck and Piribauer 2016, Uhlbach et al. 2017, Villard et al. 2017, Neuländtner and Scherngell 2020, Wanzenböck et al. 2029, Uhlbach et al. 2022). In a nutshell, these studies focus on the characterization and modelling of European R&amp;D collaboration networks from different anchor points (e.g. geographical, technological, institutional, etc.), and on the exploration of the complex relationships between publicly funded R&amp;D </w:t>
      </w:r>
      <w:r w:rsidR="00946DAC" w:rsidRPr="00DE4CD2">
        <w:rPr>
          <w:rFonts w:asciiTheme="majorHAnsi" w:hAnsiTheme="majorHAnsi" w:cstheme="majorHAnsi"/>
          <w:lang w:val="en-US"/>
        </w:rPr>
        <w:t xml:space="preserve">collaboration </w:t>
      </w:r>
      <w:r w:rsidRPr="00DE4CD2">
        <w:rPr>
          <w:rFonts w:asciiTheme="majorHAnsi" w:hAnsiTheme="majorHAnsi" w:cstheme="majorHAnsi"/>
          <w:lang w:val="en-US"/>
        </w:rPr>
        <w:t>networks, (regional) knowledge creation and technological diversification tendencies.</w:t>
      </w:r>
      <w:r w:rsidR="00D04683" w:rsidRPr="00DE4CD2">
        <w:rPr>
          <w:rFonts w:asciiTheme="majorHAnsi" w:hAnsiTheme="majorHAnsi" w:cstheme="majorHAnsi"/>
          <w:lang w:val="en-US"/>
        </w:rPr>
        <w:t xml:space="preserve"> Table </w:t>
      </w:r>
      <w:r w:rsidR="00B90855" w:rsidRPr="00DE4CD2">
        <w:rPr>
          <w:rFonts w:asciiTheme="majorHAnsi" w:hAnsiTheme="majorHAnsi" w:cstheme="majorHAnsi"/>
          <w:lang w:val="en-US"/>
        </w:rPr>
        <w:t>4</w:t>
      </w:r>
      <w:r w:rsidR="00D04683" w:rsidRPr="00DE4CD2">
        <w:rPr>
          <w:rFonts w:asciiTheme="majorHAnsi" w:hAnsiTheme="majorHAnsi" w:cstheme="majorHAnsi"/>
          <w:lang w:val="en-US"/>
        </w:rPr>
        <w:t xml:space="preserve"> provides </w:t>
      </w:r>
      <w:r w:rsidR="00515B72" w:rsidRPr="00DE4CD2">
        <w:rPr>
          <w:rFonts w:asciiTheme="majorHAnsi" w:hAnsiTheme="majorHAnsi" w:cstheme="majorHAnsi"/>
          <w:lang w:val="en-US"/>
        </w:rPr>
        <w:t xml:space="preserve">an overview on the main usage statistics over the past five years (within RISIS2), accompanied with some impression on the usage of EUPRO in scholarly works. </w:t>
      </w:r>
      <w:r w:rsidR="00515B72" w:rsidRPr="00DE4CD2">
        <w:rPr>
          <w:rFonts w:asciiTheme="majorHAnsi" w:hAnsiTheme="majorHAnsi" w:cstheme="majorHAnsi"/>
        </w:rPr>
        <w:t xml:space="preserve">It can be clearly seen that the advancements of EUPRO that have been pushed forward and implemented within RISIS have underpinned and consolidated its significance for studying dynamics of R&amp;D collaboration networks across Europe. </w:t>
      </w:r>
    </w:p>
    <w:p w14:paraId="321141B9" w14:textId="3906E4AA" w:rsidR="00F15FFA" w:rsidRPr="00DE4CD2" w:rsidRDefault="00F15FFA" w:rsidP="00F15FFA">
      <w:pPr>
        <w:jc w:val="both"/>
        <w:rPr>
          <w:rFonts w:asciiTheme="majorHAnsi" w:hAnsiTheme="majorHAnsi" w:cstheme="majorHAnsi"/>
        </w:rPr>
      </w:pPr>
    </w:p>
    <w:p w14:paraId="137E4E65" w14:textId="7770B8FC" w:rsidR="00946DAC" w:rsidRPr="00DE4CD2" w:rsidRDefault="00946DAC" w:rsidP="00D04683">
      <w:pPr>
        <w:pStyle w:val="Beschriftung"/>
        <w:keepNext/>
        <w:spacing w:after="0"/>
        <w:rPr>
          <w:rFonts w:asciiTheme="majorHAnsi" w:hAnsiTheme="majorHAnsi" w:cstheme="majorHAnsi"/>
          <w:color w:val="auto"/>
          <w:sz w:val="24"/>
          <w:szCs w:val="24"/>
        </w:rPr>
      </w:pPr>
      <w:r w:rsidRPr="00DE4CD2">
        <w:rPr>
          <w:rFonts w:asciiTheme="majorHAnsi" w:hAnsiTheme="majorHAnsi" w:cstheme="majorHAnsi"/>
          <w:color w:val="auto"/>
          <w:sz w:val="24"/>
          <w:szCs w:val="24"/>
        </w:rPr>
        <w:t xml:space="preserve">Table </w:t>
      </w:r>
      <w:r w:rsidR="00B90855" w:rsidRPr="00DE4CD2">
        <w:rPr>
          <w:rFonts w:asciiTheme="majorHAnsi" w:hAnsiTheme="majorHAnsi" w:cstheme="majorHAnsi"/>
          <w:color w:val="auto"/>
          <w:sz w:val="24"/>
          <w:szCs w:val="24"/>
        </w:rPr>
        <w:t>4</w:t>
      </w:r>
      <w:r w:rsidRPr="00DE4CD2">
        <w:rPr>
          <w:rFonts w:asciiTheme="majorHAnsi" w:hAnsiTheme="majorHAnsi" w:cstheme="majorHAnsi"/>
          <w:color w:val="auto"/>
          <w:sz w:val="24"/>
          <w:szCs w:val="24"/>
        </w:rPr>
        <w:t xml:space="preserve"> Main usage parameters of EUPRO</w:t>
      </w:r>
      <w:r w:rsidR="00664AD0" w:rsidRPr="00DE4CD2">
        <w:rPr>
          <w:rFonts w:asciiTheme="majorHAnsi" w:hAnsiTheme="majorHAnsi" w:cstheme="majorHAnsi"/>
          <w:color w:val="auto"/>
          <w:sz w:val="24"/>
          <w:szCs w:val="24"/>
        </w:rPr>
        <w:t xml:space="preserve"> (end of 2023)</w:t>
      </w:r>
    </w:p>
    <w:tbl>
      <w:tblPr>
        <w:tblW w:w="51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892"/>
        <w:gridCol w:w="1275"/>
      </w:tblGrid>
      <w:tr w:rsidR="00FC3526" w:rsidRPr="00DE4CD2" w14:paraId="5BF09263" w14:textId="77777777" w:rsidTr="00515B72">
        <w:trPr>
          <w:trHeight w:val="454"/>
        </w:trPr>
        <w:tc>
          <w:tcPr>
            <w:tcW w:w="3892" w:type="dxa"/>
            <w:shd w:val="clear" w:color="auto" w:fill="auto"/>
            <w:vAlign w:val="center"/>
          </w:tcPr>
          <w:p w14:paraId="14D89BB7" w14:textId="418C72C9" w:rsidR="00261191" w:rsidRPr="00DE4CD2" w:rsidRDefault="00261191" w:rsidP="00261191">
            <w:pPr>
              <w:pBdr>
                <w:top w:val="none" w:sz="0" w:space="0" w:color="auto"/>
                <w:left w:val="none" w:sz="0" w:space="0" w:color="auto"/>
                <w:bottom w:val="none" w:sz="0" w:space="0" w:color="auto"/>
                <w:right w:val="none" w:sz="0" w:space="0" w:color="auto"/>
                <w:between w:val="none" w:sz="0" w:space="0" w:color="auto"/>
              </w:pBdr>
              <w:rPr>
                <w:rFonts w:asciiTheme="majorHAnsi" w:eastAsia="Times New Roman" w:hAnsiTheme="majorHAnsi" w:cstheme="majorHAnsi"/>
                <w:b/>
                <w:bCs/>
                <w:sz w:val="22"/>
                <w:szCs w:val="22"/>
                <w:lang w:eastAsia="de-DE"/>
              </w:rPr>
            </w:pPr>
            <w:r w:rsidRPr="00DE4CD2">
              <w:rPr>
                <w:rFonts w:asciiTheme="majorHAnsi" w:eastAsia="Times New Roman" w:hAnsiTheme="majorHAnsi" w:cstheme="majorHAnsi"/>
                <w:b/>
                <w:bCs/>
                <w:sz w:val="22"/>
                <w:szCs w:val="22"/>
                <w:lang w:eastAsia="de-DE"/>
              </w:rPr>
              <w:t>Dimension of use</w:t>
            </w:r>
          </w:p>
        </w:tc>
        <w:tc>
          <w:tcPr>
            <w:tcW w:w="1275" w:type="dxa"/>
            <w:shd w:val="clear" w:color="auto" w:fill="auto"/>
            <w:vAlign w:val="center"/>
          </w:tcPr>
          <w:p w14:paraId="54DA7613" w14:textId="5ABF335D" w:rsidR="00261191" w:rsidRPr="00DE4CD2" w:rsidRDefault="00261191" w:rsidP="00261191">
            <w:pPr>
              <w:pBdr>
                <w:top w:val="none" w:sz="0" w:space="0" w:color="auto"/>
                <w:left w:val="none" w:sz="0" w:space="0" w:color="auto"/>
                <w:bottom w:val="none" w:sz="0" w:space="0" w:color="auto"/>
                <w:right w:val="none" w:sz="0" w:space="0" w:color="auto"/>
                <w:between w:val="none" w:sz="0" w:space="0" w:color="auto"/>
              </w:pBdr>
              <w:jc w:val="right"/>
              <w:rPr>
                <w:rFonts w:asciiTheme="majorHAnsi" w:eastAsia="Times New Roman" w:hAnsiTheme="majorHAnsi" w:cstheme="majorHAnsi"/>
                <w:b/>
                <w:bCs/>
                <w:sz w:val="22"/>
                <w:szCs w:val="22"/>
                <w:lang w:eastAsia="de-DE"/>
              </w:rPr>
            </w:pPr>
            <w:r w:rsidRPr="00DE4CD2">
              <w:rPr>
                <w:rFonts w:asciiTheme="majorHAnsi" w:eastAsia="Times New Roman" w:hAnsiTheme="majorHAnsi" w:cstheme="majorHAnsi"/>
                <w:b/>
                <w:bCs/>
                <w:sz w:val="22"/>
                <w:szCs w:val="22"/>
                <w:lang w:eastAsia="de-DE"/>
              </w:rPr>
              <w:t># (%)</w:t>
            </w:r>
          </w:p>
        </w:tc>
      </w:tr>
      <w:tr w:rsidR="00FC3526" w:rsidRPr="00DE4CD2" w14:paraId="453BC256" w14:textId="77777777" w:rsidTr="00515B72">
        <w:trPr>
          <w:trHeight w:val="340"/>
        </w:trPr>
        <w:tc>
          <w:tcPr>
            <w:tcW w:w="3892" w:type="dxa"/>
            <w:shd w:val="clear" w:color="auto" w:fill="auto"/>
            <w:vAlign w:val="center"/>
            <w:hideMark/>
          </w:tcPr>
          <w:p w14:paraId="6FFFB097" w14:textId="6BA4ED16" w:rsidR="00261191" w:rsidRPr="00DE4CD2" w:rsidRDefault="00261191" w:rsidP="00261191">
            <w:pPr>
              <w:pBdr>
                <w:top w:val="none" w:sz="0" w:space="0" w:color="auto"/>
                <w:left w:val="none" w:sz="0" w:space="0" w:color="auto"/>
                <w:bottom w:val="none" w:sz="0" w:space="0" w:color="auto"/>
                <w:right w:val="none" w:sz="0" w:space="0" w:color="auto"/>
                <w:between w:val="none" w:sz="0" w:space="0" w:color="auto"/>
              </w:pBdr>
              <w:rPr>
                <w:rFonts w:asciiTheme="majorHAnsi" w:eastAsia="Times New Roman" w:hAnsiTheme="majorHAnsi" w:cstheme="majorHAnsi"/>
                <w:b/>
                <w:bCs/>
                <w:sz w:val="22"/>
                <w:szCs w:val="22"/>
                <w:lang w:val="de-DE" w:eastAsia="de-DE"/>
              </w:rPr>
            </w:pPr>
            <w:r w:rsidRPr="00DE4CD2">
              <w:rPr>
                <w:rFonts w:asciiTheme="majorHAnsi" w:eastAsia="Times New Roman" w:hAnsiTheme="majorHAnsi" w:cstheme="majorHAnsi"/>
                <w:b/>
                <w:bCs/>
                <w:sz w:val="22"/>
                <w:szCs w:val="22"/>
                <w:lang w:eastAsia="de-DE"/>
              </w:rPr>
              <w:t>Total access requests RISIS2</w:t>
            </w:r>
          </w:p>
        </w:tc>
        <w:tc>
          <w:tcPr>
            <w:tcW w:w="1275" w:type="dxa"/>
            <w:shd w:val="clear" w:color="auto" w:fill="auto"/>
            <w:vAlign w:val="center"/>
            <w:hideMark/>
          </w:tcPr>
          <w:p w14:paraId="3F268EA9" w14:textId="7E3A04CD" w:rsidR="00261191" w:rsidRPr="00DE4CD2" w:rsidRDefault="00261191" w:rsidP="00261191">
            <w:pPr>
              <w:pBdr>
                <w:top w:val="none" w:sz="0" w:space="0" w:color="auto"/>
                <w:left w:val="none" w:sz="0" w:space="0" w:color="auto"/>
                <w:bottom w:val="none" w:sz="0" w:space="0" w:color="auto"/>
                <w:right w:val="none" w:sz="0" w:space="0" w:color="auto"/>
                <w:between w:val="none" w:sz="0" w:space="0" w:color="auto"/>
              </w:pBdr>
              <w:jc w:val="right"/>
              <w:rPr>
                <w:rFonts w:asciiTheme="majorHAnsi" w:eastAsia="Times New Roman" w:hAnsiTheme="majorHAnsi" w:cstheme="majorHAnsi"/>
                <w:sz w:val="22"/>
                <w:szCs w:val="22"/>
                <w:lang w:val="de-DE" w:eastAsia="de-DE"/>
              </w:rPr>
            </w:pPr>
            <w:r w:rsidRPr="00DE4CD2">
              <w:rPr>
                <w:rFonts w:asciiTheme="majorHAnsi" w:eastAsia="Times New Roman" w:hAnsiTheme="majorHAnsi" w:cstheme="majorHAnsi"/>
                <w:sz w:val="22"/>
                <w:szCs w:val="22"/>
                <w:lang w:eastAsia="de-DE"/>
              </w:rPr>
              <w:t>6</w:t>
            </w:r>
            <w:r w:rsidR="00482CDB" w:rsidRPr="00DE4CD2">
              <w:rPr>
                <w:rFonts w:asciiTheme="majorHAnsi" w:eastAsia="Times New Roman" w:hAnsiTheme="majorHAnsi" w:cstheme="majorHAnsi"/>
                <w:sz w:val="22"/>
                <w:szCs w:val="22"/>
                <w:lang w:eastAsia="de-DE"/>
              </w:rPr>
              <w:t>2</w:t>
            </w:r>
          </w:p>
        </w:tc>
      </w:tr>
      <w:tr w:rsidR="00FC3526" w:rsidRPr="00DE4CD2" w14:paraId="73BF2956" w14:textId="77777777" w:rsidTr="00515B72">
        <w:trPr>
          <w:trHeight w:val="340"/>
        </w:trPr>
        <w:tc>
          <w:tcPr>
            <w:tcW w:w="3892" w:type="dxa"/>
            <w:shd w:val="clear" w:color="auto" w:fill="auto"/>
            <w:vAlign w:val="center"/>
            <w:hideMark/>
          </w:tcPr>
          <w:p w14:paraId="209B2806" w14:textId="77777777" w:rsidR="00261191" w:rsidRPr="00DE4CD2" w:rsidRDefault="00261191" w:rsidP="00261191">
            <w:pPr>
              <w:pBdr>
                <w:top w:val="none" w:sz="0" w:space="0" w:color="auto"/>
                <w:left w:val="none" w:sz="0" w:space="0" w:color="auto"/>
                <w:bottom w:val="none" w:sz="0" w:space="0" w:color="auto"/>
                <w:right w:val="none" w:sz="0" w:space="0" w:color="auto"/>
                <w:between w:val="none" w:sz="0" w:space="0" w:color="auto"/>
              </w:pBdr>
              <w:ind w:left="209"/>
              <w:rPr>
                <w:rFonts w:asciiTheme="majorHAnsi" w:eastAsia="Times New Roman" w:hAnsiTheme="majorHAnsi" w:cstheme="majorHAnsi"/>
                <w:sz w:val="22"/>
                <w:szCs w:val="22"/>
                <w:lang w:val="de-DE" w:eastAsia="de-DE"/>
              </w:rPr>
            </w:pPr>
            <w:r w:rsidRPr="00DE4CD2">
              <w:rPr>
                <w:rFonts w:asciiTheme="majorHAnsi" w:eastAsia="Times New Roman" w:hAnsiTheme="majorHAnsi" w:cstheme="majorHAnsi"/>
                <w:sz w:val="22"/>
                <w:szCs w:val="22"/>
                <w:lang w:val="fr-FR" w:eastAsia="de-DE"/>
              </w:rPr>
              <w:t xml:space="preserve">Physical </w:t>
            </w:r>
          </w:p>
        </w:tc>
        <w:tc>
          <w:tcPr>
            <w:tcW w:w="1275" w:type="dxa"/>
            <w:shd w:val="clear" w:color="auto" w:fill="auto"/>
            <w:vAlign w:val="center"/>
            <w:hideMark/>
          </w:tcPr>
          <w:p w14:paraId="7B5B2C4B" w14:textId="37590203" w:rsidR="00261191" w:rsidRPr="00DE4CD2" w:rsidRDefault="00261191" w:rsidP="00261191">
            <w:pPr>
              <w:pBdr>
                <w:top w:val="none" w:sz="0" w:space="0" w:color="auto"/>
                <w:left w:val="none" w:sz="0" w:space="0" w:color="auto"/>
                <w:bottom w:val="none" w:sz="0" w:space="0" w:color="auto"/>
                <w:right w:val="none" w:sz="0" w:space="0" w:color="auto"/>
                <w:between w:val="none" w:sz="0" w:space="0" w:color="auto"/>
              </w:pBdr>
              <w:jc w:val="right"/>
              <w:rPr>
                <w:rFonts w:asciiTheme="majorHAnsi" w:eastAsia="Times New Roman" w:hAnsiTheme="majorHAnsi" w:cstheme="majorHAnsi"/>
                <w:sz w:val="22"/>
                <w:szCs w:val="22"/>
                <w:lang w:val="de-DE" w:eastAsia="de-DE"/>
              </w:rPr>
            </w:pPr>
            <w:r w:rsidRPr="00DE4CD2">
              <w:rPr>
                <w:rFonts w:asciiTheme="majorHAnsi" w:eastAsia="Times New Roman" w:hAnsiTheme="majorHAnsi" w:cstheme="majorHAnsi"/>
                <w:sz w:val="22"/>
                <w:szCs w:val="22"/>
                <w:lang w:val="de-DE" w:eastAsia="de-DE"/>
              </w:rPr>
              <w:t>6 (10%)</w:t>
            </w:r>
          </w:p>
        </w:tc>
      </w:tr>
      <w:tr w:rsidR="00FC3526" w:rsidRPr="00DE4CD2" w14:paraId="767FB71E" w14:textId="77777777" w:rsidTr="00515B72">
        <w:trPr>
          <w:trHeight w:val="340"/>
        </w:trPr>
        <w:tc>
          <w:tcPr>
            <w:tcW w:w="3892" w:type="dxa"/>
            <w:shd w:val="clear" w:color="auto" w:fill="auto"/>
            <w:vAlign w:val="center"/>
            <w:hideMark/>
          </w:tcPr>
          <w:p w14:paraId="07A1BE42" w14:textId="77777777" w:rsidR="00261191" w:rsidRPr="00DE4CD2" w:rsidRDefault="00261191" w:rsidP="00261191">
            <w:pPr>
              <w:pBdr>
                <w:top w:val="none" w:sz="0" w:space="0" w:color="auto"/>
                <w:left w:val="none" w:sz="0" w:space="0" w:color="auto"/>
                <w:bottom w:val="none" w:sz="0" w:space="0" w:color="auto"/>
                <w:right w:val="none" w:sz="0" w:space="0" w:color="auto"/>
                <w:between w:val="none" w:sz="0" w:space="0" w:color="auto"/>
              </w:pBdr>
              <w:ind w:left="209"/>
              <w:rPr>
                <w:rFonts w:asciiTheme="majorHAnsi" w:eastAsia="Times New Roman" w:hAnsiTheme="majorHAnsi" w:cstheme="majorHAnsi"/>
                <w:sz w:val="22"/>
                <w:szCs w:val="22"/>
                <w:lang w:val="de-DE" w:eastAsia="de-DE"/>
              </w:rPr>
            </w:pPr>
            <w:r w:rsidRPr="00DE4CD2">
              <w:rPr>
                <w:rFonts w:asciiTheme="majorHAnsi" w:eastAsia="Times New Roman" w:hAnsiTheme="majorHAnsi" w:cstheme="majorHAnsi"/>
                <w:sz w:val="22"/>
                <w:szCs w:val="22"/>
                <w:lang w:eastAsia="de-DE"/>
              </w:rPr>
              <w:t>Distant</w:t>
            </w:r>
          </w:p>
        </w:tc>
        <w:tc>
          <w:tcPr>
            <w:tcW w:w="1275" w:type="dxa"/>
            <w:shd w:val="clear" w:color="auto" w:fill="auto"/>
            <w:vAlign w:val="center"/>
            <w:hideMark/>
          </w:tcPr>
          <w:p w14:paraId="630CA0BF" w14:textId="60532333" w:rsidR="00261191" w:rsidRPr="00DE4CD2" w:rsidRDefault="00261191" w:rsidP="00261191">
            <w:pPr>
              <w:pBdr>
                <w:top w:val="none" w:sz="0" w:space="0" w:color="auto"/>
                <w:left w:val="none" w:sz="0" w:space="0" w:color="auto"/>
                <w:bottom w:val="none" w:sz="0" w:space="0" w:color="auto"/>
                <w:right w:val="none" w:sz="0" w:space="0" w:color="auto"/>
                <w:between w:val="none" w:sz="0" w:space="0" w:color="auto"/>
              </w:pBdr>
              <w:jc w:val="right"/>
              <w:rPr>
                <w:rFonts w:asciiTheme="majorHAnsi" w:eastAsia="Times New Roman" w:hAnsiTheme="majorHAnsi" w:cstheme="majorHAnsi"/>
                <w:sz w:val="22"/>
                <w:szCs w:val="22"/>
                <w:lang w:val="de-DE" w:eastAsia="de-DE"/>
              </w:rPr>
            </w:pPr>
            <w:r w:rsidRPr="00DE4CD2">
              <w:rPr>
                <w:rFonts w:asciiTheme="majorHAnsi" w:eastAsia="Times New Roman" w:hAnsiTheme="majorHAnsi" w:cstheme="majorHAnsi"/>
                <w:sz w:val="22"/>
                <w:szCs w:val="22"/>
                <w:lang w:val="de-DE" w:eastAsia="de-DE"/>
              </w:rPr>
              <w:t>5</w:t>
            </w:r>
            <w:r w:rsidR="00482CDB" w:rsidRPr="00DE4CD2">
              <w:rPr>
                <w:rFonts w:asciiTheme="majorHAnsi" w:eastAsia="Times New Roman" w:hAnsiTheme="majorHAnsi" w:cstheme="majorHAnsi"/>
                <w:sz w:val="22"/>
                <w:szCs w:val="22"/>
                <w:lang w:val="de-DE" w:eastAsia="de-DE"/>
              </w:rPr>
              <w:t>6</w:t>
            </w:r>
            <w:r w:rsidRPr="00DE4CD2">
              <w:rPr>
                <w:rFonts w:asciiTheme="majorHAnsi" w:eastAsia="Times New Roman" w:hAnsiTheme="majorHAnsi" w:cstheme="majorHAnsi"/>
                <w:sz w:val="22"/>
                <w:szCs w:val="22"/>
                <w:lang w:val="de-DE" w:eastAsia="de-DE"/>
              </w:rPr>
              <w:t xml:space="preserve"> (90%)</w:t>
            </w:r>
          </w:p>
        </w:tc>
      </w:tr>
      <w:tr w:rsidR="00FC3526" w:rsidRPr="00DE4CD2" w14:paraId="7D226A81" w14:textId="77777777" w:rsidTr="00515B72">
        <w:trPr>
          <w:trHeight w:val="340"/>
        </w:trPr>
        <w:tc>
          <w:tcPr>
            <w:tcW w:w="3892" w:type="dxa"/>
            <w:shd w:val="clear" w:color="auto" w:fill="auto"/>
            <w:vAlign w:val="center"/>
            <w:hideMark/>
          </w:tcPr>
          <w:p w14:paraId="1CA10425" w14:textId="77777777" w:rsidR="00261191" w:rsidRPr="00DE4CD2" w:rsidRDefault="00261191" w:rsidP="00261191">
            <w:pPr>
              <w:pBdr>
                <w:top w:val="none" w:sz="0" w:space="0" w:color="auto"/>
                <w:left w:val="none" w:sz="0" w:space="0" w:color="auto"/>
                <w:bottom w:val="none" w:sz="0" w:space="0" w:color="auto"/>
                <w:right w:val="none" w:sz="0" w:space="0" w:color="auto"/>
                <w:between w:val="none" w:sz="0" w:space="0" w:color="auto"/>
              </w:pBdr>
              <w:ind w:left="209"/>
              <w:rPr>
                <w:rFonts w:asciiTheme="majorHAnsi" w:eastAsia="Times New Roman" w:hAnsiTheme="majorHAnsi" w:cstheme="majorHAnsi"/>
                <w:sz w:val="22"/>
                <w:szCs w:val="22"/>
                <w:lang w:val="de-DE" w:eastAsia="de-DE"/>
              </w:rPr>
            </w:pPr>
            <w:r w:rsidRPr="00DE4CD2">
              <w:rPr>
                <w:rFonts w:asciiTheme="majorHAnsi" w:eastAsia="Times New Roman" w:hAnsiTheme="majorHAnsi" w:cstheme="majorHAnsi"/>
                <w:sz w:val="22"/>
                <w:szCs w:val="22"/>
                <w:lang w:eastAsia="de-DE"/>
              </w:rPr>
              <w:t>Single requests</w:t>
            </w:r>
          </w:p>
        </w:tc>
        <w:tc>
          <w:tcPr>
            <w:tcW w:w="1275" w:type="dxa"/>
            <w:shd w:val="clear" w:color="auto" w:fill="auto"/>
            <w:vAlign w:val="center"/>
            <w:hideMark/>
          </w:tcPr>
          <w:p w14:paraId="6828B7DC" w14:textId="208B4D34" w:rsidR="00261191" w:rsidRPr="00DE4CD2" w:rsidRDefault="00261191" w:rsidP="00261191">
            <w:pPr>
              <w:pBdr>
                <w:top w:val="none" w:sz="0" w:space="0" w:color="auto"/>
                <w:left w:val="none" w:sz="0" w:space="0" w:color="auto"/>
                <w:bottom w:val="none" w:sz="0" w:space="0" w:color="auto"/>
                <w:right w:val="none" w:sz="0" w:space="0" w:color="auto"/>
                <w:between w:val="none" w:sz="0" w:space="0" w:color="auto"/>
              </w:pBdr>
              <w:jc w:val="right"/>
              <w:rPr>
                <w:rFonts w:asciiTheme="majorHAnsi" w:eastAsia="Times New Roman" w:hAnsiTheme="majorHAnsi" w:cstheme="majorHAnsi"/>
                <w:sz w:val="22"/>
                <w:szCs w:val="22"/>
                <w:lang w:val="de-DE" w:eastAsia="de-DE"/>
              </w:rPr>
            </w:pPr>
            <w:r w:rsidRPr="00DE4CD2">
              <w:rPr>
                <w:rFonts w:asciiTheme="majorHAnsi" w:eastAsia="Times New Roman" w:hAnsiTheme="majorHAnsi" w:cstheme="majorHAnsi"/>
                <w:sz w:val="22"/>
                <w:szCs w:val="22"/>
                <w:lang w:val="de-DE" w:eastAsia="de-DE"/>
              </w:rPr>
              <w:t>3</w:t>
            </w:r>
            <w:r w:rsidR="00482CDB" w:rsidRPr="00DE4CD2">
              <w:rPr>
                <w:rFonts w:asciiTheme="majorHAnsi" w:eastAsia="Times New Roman" w:hAnsiTheme="majorHAnsi" w:cstheme="majorHAnsi"/>
                <w:sz w:val="22"/>
                <w:szCs w:val="22"/>
                <w:lang w:val="de-DE" w:eastAsia="de-DE"/>
              </w:rPr>
              <w:t>5</w:t>
            </w:r>
            <w:r w:rsidRPr="00DE4CD2">
              <w:rPr>
                <w:rFonts w:asciiTheme="majorHAnsi" w:eastAsia="Times New Roman" w:hAnsiTheme="majorHAnsi" w:cstheme="majorHAnsi"/>
                <w:sz w:val="22"/>
                <w:szCs w:val="22"/>
                <w:lang w:val="de-DE" w:eastAsia="de-DE"/>
              </w:rPr>
              <w:t xml:space="preserve"> (55%)</w:t>
            </w:r>
          </w:p>
        </w:tc>
      </w:tr>
      <w:tr w:rsidR="00FC3526" w:rsidRPr="00DE4CD2" w14:paraId="19E553C8" w14:textId="77777777" w:rsidTr="00515B72">
        <w:trPr>
          <w:trHeight w:val="340"/>
        </w:trPr>
        <w:tc>
          <w:tcPr>
            <w:tcW w:w="3892" w:type="dxa"/>
            <w:shd w:val="clear" w:color="auto" w:fill="auto"/>
            <w:vAlign w:val="center"/>
            <w:hideMark/>
          </w:tcPr>
          <w:p w14:paraId="2C5CD32C" w14:textId="3B4D7CC0" w:rsidR="00261191" w:rsidRPr="00DE4CD2" w:rsidRDefault="00261191" w:rsidP="00261191">
            <w:pPr>
              <w:pBdr>
                <w:top w:val="none" w:sz="0" w:space="0" w:color="auto"/>
                <w:left w:val="none" w:sz="0" w:space="0" w:color="auto"/>
                <w:bottom w:val="none" w:sz="0" w:space="0" w:color="auto"/>
                <w:right w:val="none" w:sz="0" w:space="0" w:color="auto"/>
                <w:between w:val="none" w:sz="0" w:space="0" w:color="auto"/>
              </w:pBdr>
              <w:ind w:left="209"/>
              <w:rPr>
                <w:rFonts w:asciiTheme="majorHAnsi" w:eastAsia="Times New Roman" w:hAnsiTheme="majorHAnsi" w:cstheme="majorHAnsi"/>
                <w:sz w:val="22"/>
                <w:szCs w:val="22"/>
                <w:lang w:val="de-DE" w:eastAsia="de-DE"/>
              </w:rPr>
            </w:pPr>
            <w:r w:rsidRPr="00DE4CD2">
              <w:rPr>
                <w:rFonts w:asciiTheme="majorHAnsi" w:eastAsia="Times New Roman" w:hAnsiTheme="majorHAnsi" w:cstheme="majorHAnsi"/>
                <w:sz w:val="22"/>
                <w:szCs w:val="22"/>
                <w:lang w:eastAsia="de-DE"/>
              </w:rPr>
              <w:t xml:space="preserve">In </w:t>
            </w:r>
            <w:r w:rsidR="00664AD0" w:rsidRPr="00DE4CD2">
              <w:rPr>
                <w:rFonts w:asciiTheme="majorHAnsi" w:eastAsia="Times New Roman" w:hAnsiTheme="majorHAnsi" w:cstheme="majorHAnsi"/>
                <w:sz w:val="22"/>
                <w:szCs w:val="22"/>
                <w:lang w:eastAsia="de-DE"/>
              </w:rPr>
              <w:t>m</w:t>
            </w:r>
            <w:r w:rsidRPr="00DE4CD2">
              <w:rPr>
                <w:rFonts w:asciiTheme="majorHAnsi" w:eastAsia="Times New Roman" w:hAnsiTheme="majorHAnsi" w:cstheme="majorHAnsi"/>
                <w:sz w:val="22"/>
                <w:szCs w:val="22"/>
                <w:lang w:eastAsia="de-DE"/>
              </w:rPr>
              <w:t>ultiple requests</w:t>
            </w:r>
          </w:p>
        </w:tc>
        <w:tc>
          <w:tcPr>
            <w:tcW w:w="1275" w:type="dxa"/>
            <w:shd w:val="clear" w:color="auto" w:fill="auto"/>
            <w:vAlign w:val="center"/>
            <w:hideMark/>
          </w:tcPr>
          <w:p w14:paraId="001DFFA7" w14:textId="0670F7FD" w:rsidR="00261191" w:rsidRPr="00DE4CD2" w:rsidRDefault="00261191" w:rsidP="00261191">
            <w:pPr>
              <w:pBdr>
                <w:top w:val="none" w:sz="0" w:space="0" w:color="auto"/>
                <w:left w:val="none" w:sz="0" w:space="0" w:color="auto"/>
                <w:bottom w:val="none" w:sz="0" w:space="0" w:color="auto"/>
                <w:right w:val="none" w:sz="0" w:space="0" w:color="auto"/>
                <w:between w:val="none" w:sz="0" w:space="0" w:color="auto"/>
              </w:pBdr>
              <w:jc w:val="right"/>
              <w:rPr>
                <w:rFonts w:asciiTheme="majorHAnsi" w:eastAsia="Times New Roman" w:hAnsiTheme="majorHAnsi" w:cstheme="majorHAnsi"/>
                <w:sz w:val="22"/>
                <w:szCs w:val="22"/>
                <w:lang w:val="de-DE" w:eastAsia="de-DE"/>
              </w:rPr>
            </w:pPr>
            <w:r w:rsidRPr="00DE4CD2">
              <w:rPr>
                <w:rFonts w:asciiTheme="majorHAnsi" w:eastAsia="Times New Roman" w:hAnsiTheme="majorHAnsi" w:cstheme="majorHAnsi"/>
                <w:sz w:val="22"/>
                <w:szCs w:val="22"/>
                <w:lang w:val="de-DE" w:eastAsia="de-DE"/>
              </w:rPr>
              <w:t>27 (45%)</w:t>
            </w:r>
          </w:p>
        </w:tc>
      </w:tr>
      <w:tr w:rsidR="00FC3526" w:rsidRPr="00DE4CD2" w14:paraId="6FCFFB2D" w14:textId="77777777" w:rsidTr="00515B72">
        <w:trPr>
          <w:trHeight w:val="340"/>
        </w:trPr>
        <w:tc>
          <w:tcPr>
            <w:tcW w:w="3892" w:type="dxa"/>
            <w:shd w:val="clear" w:color="auto" w:fill="auto"/>
            <w:vAlign w:val="center"/>
            <w:hideMark/>
          </w:tcPr>
          <w:p w14:paraId="0DCBD649" w14:textId="77777777" w:rsidR="00261191" w:rsidRPr="00DE4CD2" w:rsidRDefault="00261191" w:rsidP="00261191">
            <w:pPr>
              <w:pBdr>
                <w:top w:val="none" w:sz="0" w:space="0" w:color="auto"/>
                <w:left w:val="none" w:sz="0" w:space="0" w:color="auto"/>
                <w:bottom w:val="none" w:sz="0" w:space="0" w:color="auto"/>
                <w:right w:val="none" w:sz="0" w:space="0" w:color="auto"/>
                <w:between w:val="none" w:sz="0" w:space="0" w:color="auto"/>
              </w:pBdr>
              <w:ind w:left="209"/>
              <w:rPr>
                <w:rFonts w:asciiTheme="majorHAnsi" w:eastAsia="Times New Roman" w:hAnsiTheme="majorHAnsi" w:cstheme="majorHAnsi"/>
                <w:sz w:val="22"/>
                <w:szCs w:val="22"/>
                <w:lang w:val="de-DE" w:eastAsia="de-DE"/>
              </w:rPr>
            </w:pPr>
            <w:r w:rsidRPr="00DE4CD2">
              <w:rPr>
                <w:rFonts w:asciiTheme="majorHAnsi" w:eastAsia="Times New Roman" w:hAnsiTheme="majorHAnsi" w:cstheme="majorHAnsi"/>
                <w:sz w:val="22"/>
                <w:szCs w:val="22"/>
                <w:lang w:val="de-DE" w:eastAsia="de-DE"/>
              </w:rPr>
              <w:t>RISIS internal</w:t>
            </w:r>
          </w:p>
        </w:tc>
        <w:tc>
          <w:tcPr>
            <w:tcW w:w="1275" w:type="dxa"/>
            <w:shd w:val="clear" w:color="auto" w:fill="auto"/>
            <w:vAlign w:val="center"/>
            <w:hideMark/>
          </w:tcPr>
          <w:p w14:paraId="5FE859F5" w14:textId="6E357107" w:rsidR="00261191" w:rsidRPr="00DE4CD2" w:rsidRDefault="00261191" w:rsidP="00261191">
            <w:pPr>
              <w:pBdr>
                <w:top w:val="none" w:sz="0" w:space="0" w:color="auto"/>
                <w:left w:val="none" w:sz="0" w:space="0" w:color="auto"/>
                <w:bottom w:val="none" w:sz="0" w:space="0" w:color="auto"/>
                <w:right w:val="none" w:sz="0" w:space="0" w:color="auto"/>
                <w:between w:val="none" w:sz="0" w:space="0" w:color="auto"/>
              </w:pBdr>
              <w:jc w:val="right"/>
              <w:rPr>
                <w:rFonts w:asciiTheme="majorHAnsi" w:eastAsia="Times New Roman" w:hAnsiTheme="majorHAnsi" w:cstheme="majorHAnsi"/>
                <w:sz w:val="22"/>
                <w:szCs w:val="22"/>
                <w:lang w:val="de-DE" w:eastAsia="de-DE"/>
              </w:rPr>
            </w:pPr>
            <w:r w:rsidRPr="00DE4CD2">
              <w:rPr>
                <w:rFonts w:asciiTheme="majorHAnsi" w:eastAsia="Times New Roman" w:hAnsiTheme="majorHAnsi" w:cstheme="majorHAnsi"/>
                <w:sz w:val="22"/>
                <w:szCs w:val="22"/>
                <w:lang w:val="de-DE" w:eastAsia="de-DE"/>
              </w:rPr>
              <w:t>10 (16%)</w:t>
            </w:r>
          </w:p>
        </w:tc>
      </w:tr>
      <w:tr w:rsidR="00FC3526" w:rsidRPr="00DE4CD2" w14:paraId="28894908" w14:textId="77777777" w:rsidTr="00515B72">
        <w:trPr>
          <w:trHeight w:val="340"/>
        </w:trPr>
        <w:tc>
          <w:tcPr>
            <w:tcW w:w="3892" w:type="dxa"/>
            <w:shd w:val="clear" w:color="auto" w:fill="auto"/>
            <w:vAlign w:val="center"/>
            <w:hideMark/>
          </w:tcPr>
          <w:p w14:paraId="18E3E456" w14:textId="77777777" w:rsidR="00261191" w:rsidRPr="00DE4CD2" w:rsidRDefault="00261191" w:rsidP="00261191">
            <w:pPr>
              <w:pBdr>
                <w:top w:val="none" w:sz="0" w:space="0" w:color="auto"/>
                <w:left w:val="none" w:sz="0" w:space="0" w:color="auto"/>
                <w:bottom w:val="none" w:sz="0" w:space="0" w:color="auto"/>
                <w:right w:val="none" w:sz="0" w:space="0" w:color="auto"/>
                <w:between w:val="none" w:sz="0" w:space="0" w:color="auto"/>
              </w:pBdr>
              <w:ind w:left="209"/>
              <w:rPr>
                <w:rFonts w:asciiTheme="majorHAnsi" w:eastAsia="Times New Roman" w:hAnsiTheme="majorHAnsi" w:cstheme="majorHAnsi"/>
                <w:sz w:val="22"/>
                <w:szCs w:val="22"/>
                <w:lang w:val="de-DE" w:eastAsia="de-DE"/>
              </w:rPr>
            </w:pPr>
            <w:r w:rsidRPr="00DE4CD2">
              <w:rPr>
                <w:rFonts w:asciiTheme="majorHAnsi" w:eastAsia="Times New Roman" w:hAnsiTheme="majorHAnsi" w:cstheme="majorHAnsi"/>
                <w:sz w:val="22"/>
                <w:szCs w:val="22"/>
                <w:lang w:val="de-DE" w:eastAsia="de-DE"/>
              </w:rPr>
              <w:t>RISIS external</w:t>
            </w:r>
          </w:p>
        </w:tc>
        <w:tc>
          <w:tcPr>
            <w:tcW w:w="1275" w:type="dxa"/>
            <w:shd w:val="clear" w:color="auto" w:fill="auto"/>
            <w:vAlign w:val="center"/>
            <w:hideMark/>
          </w:tcPr>
          <w:p w14:paraId="79BB7BCC" w14:textId="572B03C8" w:rsidR="00261191" w:rsidRPr="00DE4CD2" w:rsidRDefault="00261191" w:rsidP="00261191">
            <w:pPr>
              <w:pBdr>
                <w:top w:val="none" w:sz="0" w:space="0" w:color="auto"/>
                <w:left w:val="none" w:sz="0" w:space="0" w:color="auto"/>
                <w:bottom w:val="none" w:sz="0" w:space="0" w:color="auto"/>
                <w:right w:val="none" w:sz="0" w:space="0" w:color="auto"/>
                <w:between w:val="none" w:sz="0" w:space="0" w:color="auto"/>
              </w:pBdr>
              <w:jc w:val="right"/>
              <w:rPr>
                <w:rFonts w:asciiTheme="majorHAnsi" w:eastAsia="Times New Roman" w:hAnsiTheme="majorHAnsi" w:cstheme="majorHAnsi"/>
                <w:sz w:val="22"/>
                <w:szCs w:val="22"/>
                <w:lang w:val="de-DE" w:eastAsia="de-DE"/>
              </w:rPr>
            </w:pPr>
            <w:r w:rsidRPr="00DE4CD2">
              <w:rPr>
                <w:rFonts w:asciiTheme="majorHAnsi" w:eastAsia="Times New Roman" w:hAnsiTheme="majorHAnsi" w:cstheme="majorHAnsi"/>
                <w:sz w:val="22"/>
                <w:szCs w:val="22"/>
                <w:lang w:val="de-DE" w:eastAsia="de-DE"/>
              </w:rPr>
              <w:t>5</w:t>
            </w:r>
            <w:r w:rsidR="00482CDB" w:rsidRPr="00DE4CD2">
              <w:rPr>
                <w:rFonts w:asciiTheme="majorHAnsi" w:eastAsia="Times New Roman" w:hAnsiTheme="majorHAnsi" w:cstheme="majorHAnsi"/>
                <w:sz w:val="22"/>
                <w:szCs w:val="22"/>
                <w:lang w:val="de-DE" w:eastAsia="de-DE"/>
              </w:rPr>
              <w:t>2</w:t>
            </w:r>
            <w:r w:rsidRPr="00DE4CD2">
              <w:rPr>
                <w:rFonts w:asciiTheme="majorHAnsi" w:eastAsia="Times New Roman" w:hAnsiTheme="majorHAnsi" w:cstheme="majorHAnsi"/>
                <w:sz w:val="22"/>
                <w:szCs w:val="22"/>
                <w:lang w:val="de-DE" w:eastAsia="de-DE"/>
              </w:rPr>
              <w:t xml:space="preserve"> (84%)</w:t>
            </w:r>
          </w:p>
        </w:tc>
      </w:tr>
      <w:tr w:rsidR="00FC3526" w:rsidRPr="00DE4CD2" w14:paraId="21131AD5" w14:textId="77777777" w:rsidTr="00515B72">
        <w:trPr>
          <w:trHeight w:val="340"/>
        </w:trPr>
        <w:tc>
          <w:tcPr>
            <w:tcW w:w="3892" w:type="dxa"/>
            <w:shd w:val="clear" w:color="auto" w:fill="auto"/>
            <w:vAlign w:val="center"/>
            <w:hideMark/>
          </w:tcPr>
          <w:p w14:paraId="35C37E91" w14:textId="610E155A" w:rsidR="00261191" w:rsidRPr="00DE4CD2" w:rsidRDefault="00261191" w:rsidP="00261191">
            <w:pPr>
              <w:pBdr>
                <w:top w:val="none" w:sz="0" w:space="0" w:color="auto"/>
                <w:left w:val="none" w:sz="0" w:space="0" w:color="auto"/>
                <w:bottom w:val="none" w:sz="0" w:space="0" w:color="auto"/>
                <w:right w:val="none" w:sz="0" w:space="0" w:color="auto"/>
                <w:between w:val="none" w:sz="0" w:space="0" w:color="auto"/>
              </w:pBdr>
              <w:rPr>
                <w:rFonts w:asciiTheme="majorHAnsi" w:eastAsia="Times New Roman" w:hAnsiTheme="majorHAnsi" w:cstheme="majorHAnsi"/>
                <w:b/>
                <w:bCs/>
                <w:sz w:val="22"/>
                <w:szCs w:val="22"/>
                <w:lang w:val="de-DE" w:eastAsia="de-DE"/>
              </w:rPr>
            </w:pPr>
            <w:r w:rsidRPr="00DE4CD2">
              <w:rPr>
                <w:rFonts w:asciiTheme="majorHAnsi" w:eastAsia="Times New Roman" w:hAnsiTheme="majorHAnsi" w:cstheme="majorHAnsi"/>
                <w:b/>
                <w:bCs/>
                <w:sz w:val="22"/>
                <w:szCs w:val="22"/>
                <w:lang w:val="de-DE" w:eastAsia="de-DE"/>
              </w:rPr>
              <w:t xml:space="preserve">Publications </w:t>
            </w:r>
            <w:r w:rsidRPr="00DE4CD2">
              <w:rPr>
                <w:rFonts w:asciiTheme="majorHAnsi" w:eastAsia="Times New Roman" w:hAnsiTheme="majorHAnsi" w:cstheme="majorHAnsi"/>
                <w:sz w:val="22"/>
                <w:szCs w:val="22"/>
                <w:lang w:val="de-DE" w:eastAsia="de-DE"/>
              </w:rPr>
              <w:t>(</w:t>
            </w:r>
            <w:proofErr w:type="spellStart"/>
            <w:r w:rsidR="0043128F" w:rsidRPr="00DE4CD2">
              <w:rPr>
                <w:rFonts w:asciiTheme="majorHAnsi" w:eastAsia="Times New Roman" w:hAnsiTheme="majorHAnsi" w:cstheme="majorHAnsi"/>
                <w:sz w:val="22"/>
                <w:szCs w:val="22"/>
                <w:lang w:val="de-DE" w:eastAsia="de-DE"/>
              </w:rPr>
              <w:t>documents</w:t>
            </w:r>
            <w:proofErr w:type="spellEnd"/>
            <w:r w:rsidR="0043128F" w:rsidRPr="00DE4CD2">
              <w:rPr>
                <w:rFonts w:asciiTheme="majorHAnsi" w:eastAsia="Times New Roman" w:hAnsiTheme="majorHAnsi" w:cstheme="majorHAnsi"/>
                <w:sz w:val="22"/>
                <w:szCs w:val="22"/>
                <w:lang w:val="de-DE" w:eastAsia="de-DE"/>
              </w:rPr>
              <w:t xml:space="preserve"> </w:t>
            </w:r>
            <w:proofErr w:type="spellStart"/>
            <w:r w:rsidRPr="00DE4CD2">
              <w:rPr>
                <w:rFonts w:asciiTheme="majorHAnsi" w:eastAsia="Times New Roman" w:hAnsiTheme="majorHAnsi" w:cstheme="majorHAnsi"/>
                <w:sz w:val="22"/>
                <w:szCs w:val="22"/>
                <w:lang w:val="de-DE" w:eastAsia="de-DE"/>
              </w:rPr>
              <w:t>google</w:t>
            </w:r>
            <w:proofErr w:type="spellEnd"/>
            <w:r w:rsidRPr="00DE4CD2">
              <w:rPr>
                <w:rFonts w:asciiTheme="majorHAnsi" w:eastAsia="Times New Roman" w:hAnsiTheme="majorHAnsi" w:cstheme="majorHAnsi"/>
                <w:sz w:val="22"/>
                <w:szCs w:val="22"/>
                <w:lang w:val="de-DE" w:eastAsia="de-DE"/>
              </w:rPr>
              <w:t xml:space="preserve"> </w:t>
            </w:r>
            <w:proofErr w:type="spellStart"/>
            <w:r w:rsidRPr="00DE4CD2">
              <w:rPr>
                <w:rFonts w:asciiTheme="majorHAnsi" w:eastAsia="Times New Roman" w:hAnsiTheme="majorHAnsi" w:cstheme="majorHAnsi"/>
                <w:sz w:val="22"/>
                <w:szCs w:val="22"/>
                <w:lang w:val="de-DE" w:eastAsia="de-DE"/>
              </w:rPr>
              <w:t>scholar</w:t>
            </w:r>
            <w:proofErr w:type="spellEnd"/>
            <w:r w:rsidRPr="00DE4CD2">
              <w:rPr>
                <w:rFonts w:asciiTheme="majorHAnsi" w:eastAsia="Times New Roman" w:hAnsiTheme="majorHAnsi" w:cstheme="majorHAnsi"/>
                <w:sz w:val="22"/>
                <w:szCs w:val="22"/>
                <w:lang w:val="de-DE" w:eastAsia="de-DE"/>
              </w:rPr>
              <w:t>)</w:t>
            </w:r>
          </w:p>
        </w:tc>
        <w:tc>
          <w:tcPr>
            <w:tcW w:w="1275" w:type="dxa"/>
            <w:shd w:val="clear" w:color="auto" w:fill="auto"/>
            <w:vAlign w:val="center"/>
            <w:hideMark/>
          </w:tcPr>
          <w:p w14:paraId="27DB3F2B" w14:textId="21CC6D7C" w:rsidR="00261191" w:rsidRPr="00DE4CD2" w:rsidRDefault="0043128F" w:rsidP="0043128F">
            <w:pPr>
              <w:pBdr>
                <w:top w:val="none" w:sz="0" w:space="0" w:color="auto"/>
                <w:left w:val="none" w:sz="0" w:space="0" w:color="auto"/>
                <w:bottom w:val="none" w:sz="0" w:space="0" w:color="auto"/>
                <w:right w:val="none" w:sz="0" w:space="0" w:color="auto"/>
                <w:between w:val="none" w:sz="0" w:space="0" w:color="auto"/>
              </w:pBdr>
              <w:jc w:val="right"/>
              <w:rPr>
                <w:rFonts w:asciiTheme="majorHAnsi" w:eastAsia="Times New Roman" w:hAnsiTheme="majorHAnsi" w:cstheme="majorHAnsi"/>
                <w:b/>
                <w:bCs/>
                <w:sz w:val="22"/>
                <w:szCs w:val="22"/>
                <w:lang w:val="de-DE" w:eastAsia="de-DE"/>
              </w:rPr>
            </w:pPr>
            <w:r w:rsidRPr="00DE4CD2">
              <w:rPr>
                <w:rFonts w:asciiTheme="majorHAnsi" w:eastAsia="Times New Roman" w:hAnsiTheme="majorHAnsi" w:cstheme="majorHAnsi"/>
                <w:b/>
                <w:bCs/>
                <w:sz w:val="22"/>
                <w:szCs w:val="22"/>
                <w:lang w:val="de-DE" w:eastAsia="de-DE"/>
              </w:rPr>
              <w:t>171</w:t>
            </w:r>
          </w:p>
        </w:tc>
      </w:tr>
      <w:tr w:rsidR="00880919" w:rsidRPr="00DE4CD2" w14:paraId="6B013EDA" w14:textId="77777777" w:rsidTr="00515B72">
        <w:trPr>
          <w:trHeight w:val="340"/>
        </w:trPr>
        <w:tc>
          <w:tcPr>
            <w:tcW w:w="3892" w:type="dxa"/>
            <w:shd w:val="clear" w:color="auto" w:fill="auto"/>
            <w:vAlign w:val="center"/>
            <w:hideMark/>
          </w:tcPr>
          <w:p w14:paraId="74F9186B" w14:textId="77777777" w:rsidR="00261191" w:rsidRPr="00DE4CD2" w:rsidRDefault="00261191" w:rsidP="00261191">
            <w:pPr>
              <w:pBdr>
                <w:top w:val="none" w:sz="0" w:space="0" w:color="auto"/>
                <w:left w:val="none" w:sz="0" w:space="0" w:color="auto"/>
                <w:bottom w:val="none" w:sz="0" w:space="0" w:color="auto"/>
                <w:right w:val="none" w:sz="0" w:space="0" w:color="auto"/>
                <w:between w:val="none" w:sz="0" w:space="0" w:color="auto"/>
              </w:pBdr>
              <w:rPr>
                <w:rFonts w:asciiTheme="majorHAnsi" w:eastAsia="Times New Roman" w:hAnsiTheme="majorHAnsi" w:cstheme="majorHAnsi"/>
                <w:b/>
                <w:bCs/>
                <w:sz w:val="22"/>
                <w:szCs w:val="22"/>
                <w:lang w:val="de-DE" w:eastAsia="de-DE"/>
              </w:rPr>
            </w:pPr>
            <w:r w:rsidRPr="00DE4CD2">
              <w:rPr>
                <w:rFonts w:asciiTheme="majorHAnsi" w:eastAsia="Times New Roman" w:hAnsiTheme="majorHAnsi" w:cstheme="majorHAnsi"/>
                <w:b/>
                <w:bCs/>
                <w:sz w:val="22"/>
                <w:szCs w:val="22"/>
                <w:lang w:val="de-DE" w:eastAsia="de-DE"/>
              </w:rPr>
              <w:t xml:space="preserve">Journal </w:t>
            </w:r>
            <w:proofErr w:type="spellStart"/>
            <w:r w:rsidRPr="00DE4CD2">
              <w:rPr>
                <w:rFonts w:asciiTheme="majorHAnsi" w:eastAsia="Times New Roman" w:hAnsiTheme="majorHAnsi" w:cstheme="majorHAnsi"/>
                <w:b/>
                <w:bCs/>
                <w:sz w:val="22"/>
                <w:szCs w:val="22"/>
                <w:lang w:val="de-DE" w:eastAsia="de-DE"/>
              </w:rPr>
              <w:t>articles</w:t>
            </w:r>
            <w:proofErr w:type="spellEnd"/>
          </w:p>
        </w:tc>
        <w:tc>
          <w:tcPr>
            <w:tcW w:w="1275" w:type="dxa"/>
            <w:shd w:val="clear" w:color="auto" w:fill="auto"/>
            <w:vAlign w:val="center"/>
            <w:hideMark/>
          </w:tcPr>
          <w:p w14:paraId="132AC62C" w14:textId="1821EFEB" w:rsidR="00261191" w:rsidRPr="00DE4CD2" w:rsidRDefault="00664AD0" w:rsidP="00664AD0">
            <w:pPr>
              <w:pBdr>
                <w:top w:val="none" w:sz="0" w:space="0" w:color="auto"/>
                <w:left w:val="none" w:sz="0" w:space="0" w:color="auto"/>
                <w:bottom w:val="none" w:sz="0" w:space="0" w:color="auto"/>
                <w:right w:val="none" w:sz="0" w:space="0" w:color="auto"/>
                <w:between w:val="none" w:sz="0" w:space="0" w:color="auto"/>
              </w:pBdr>
              <w:jc w:val="right"/>
              <w:rPr>
                <w:rFonts w:asciiTheme="majorHAnsi" w:eastAsia="Times New Roman" w:hAnsiTheme="majorHAnsi" w:cstheme="majorHAnsi"/>
                <w:b/>
                <w:bCs/>
                <w:sz w:val="22"/>
                <w:szCs w:val="22"/>
                <w:lang w:val="de-DE" w:eastAsia="de-DE"/>
              </w:rPr>
            </w:pPr>
            <w:r w:rsidRPr="00DE4CD2">
              <w:rPr>
                <w:rFonts w:asciiTheme="majorHAnsi" w:eastAsia="Times New Roman" w:hAnsiTheme="majorHAnsi" w:cstheme="majorHAnsi"/>
                <w:b/>
                <w:bCs/>
                <w:sz w:val="22"/>
                <w:szCs w:val="22"/>
                <w:lang w:val="de-DE" w:eastAsia="de-DE"/>
              </w:rPr>
              <w:t>45</w:t>
            </w:r>
          </w:p>
        </w:tc>
      </w:tr>
    </w:tbl>
    <w:p w14:paraId="086B3288" w14:textId="77777777" w:rsidR="00946DAC" w:rsidRPr="00DE4CD2" w:rsidRDefault="00946DAC" w:rsidP="00B34277">
      <w:pPr>
        <w:jc w:val="both"/>
        <w:rPr>
          <w:rFonts w:asciiTheme="majorHAnsi" w:hAnsiTheme="majorHAnsi" w:cstheme="majorHAnsi"/>
        </w:rPr>
      </w:pPr>
    </w:p>
    <w:p w14:paraId="657D24F0" w14:textId="77777777" w:rsidR="00515B72" w:rsidRPr="00DE4CD2" w:rsidRDefault="00515B72" w:rsidP="00B34277">
      <w:pPr>
        <w:jc w:val="both"/>
        <w:rPr>
          <w:rFonts w:asciiTheme="majorHAnsi" w:hAnsiTheme="majorHAnsi" w:cstheme="majorHAnsi"/>
        </w:rPr>
      </w:pPr>
    </w:p>
    <w:p w14:paraId="16FD19EB" w14:textId="6E9DFDB5" w:rsidR="00B34277" w:rsidRPr="00DE4CD2" w:rsidRDefault="00B34277" w:rsidP="00B34277">
      <w:pPr>
        <w:jc w:val="both"/>
        <w:rPr>
          <w:rFonts w:asciiTheme="majorHAnsi" w:hAnsiTheme="majorHAnsi" w:cstheme="majorHAnsi"/>
        </w:rPr>
      </w:pPr>
      <w:r w:rsidRPr="00DE4CD2">
        <w:rPr>
          <w:rFonts w:asciiTheme="majorHAnsi" w:hAnsiTheme="majorHAnsi" w:cstheme="majorHAnsi"/>
        </w:rPr>
        <w:t>In what follows</w:t>
      </w:r>
      <w:r w:rsidR="00515B72" w:rsidRPr="00DE4CD2">
        <w:rPr>
          <w:rFonts w:asciiTheme="majorHAnsi" w:hAnsiTheme="majorHAnsi" w:cstheme="majorHAnsi"/>
        </w:rPr>
        <w:t xml:space="preserve"> we want to complement the overall statistics with</w:t>
      </w:r>
      <w:r w:rsidRPr="00DE4CD2">
        <w:rPr>
          <w:rFonts w:asciiTheme="majorHAnsi" w:hAnsiTheme="majorHAnsi" w:cstheme="majorHAnsi"/>
        </w:rPr>
        <w:t xml:space="preserve"> some exemplary research highlights </w:t>
      </w:r>
      <w:r w:rsidR="00215716" w:rsidRPr="00DE4CD2">
        <w:rPr>
          <w:rFonts w:asciiTheme="majorHAnsi" w:hAnsiTheme="majorHAnsi" w:cstheme="majorHAnsi"/>
        </w:rPr>
        <w:t xml:space="preserve">that </w:t>
      </w:r>
      <w:r w:rsidRPr="00DE4CD2">
        <w:rPr>
          <w:rFonts w:asciiTheme="majorHAnsi" w:hAnsiTheme="majorHAnsi" w:cstheme="majorHAnsi"/>
        </w:rPr>
        <w:t>are described in compact form</w:t>
      </w:r>
      <w:r w:rsidR="00515B72" w:rsidRPr="00DE4CD2">
        <w:rPr>
          <w:rFonts w:asciiTheme="majorHAnsi" w:hAnsiTheme="majorHAnsi" w:cstheme="majorHAnsi"/>
        </w:rPr>
        <w:t xml:space="preserve">. </w:t>
      </w:r>
      <w:r w:rsidRPr="00DE4CD2">
        <w:rPr>
          <w:rFonts w:asciiTheme="majorHAnsi" w:hAnsiTheme="majorHAnsi" w:cstheme="majorHAnsi"/>
        </w:rPr>
        <w:t xml:space="preserve">A first illustrative example is a research work investigating </w:t>
      </w:r>
      <w:r w:rsidRPr="00DE4CD2">
        <w:rPr>
          <w:rFonts w:asciiTheme="majorHAnsi" w:hAnsiTheme="majorHAnsi" w:cstheme="majorHAnsi"/>
          <w:bCs/>
        </w:rPr>
        <w:t>the role of</w:t>
      </w:r>
      <w:r w:rsidR="00515B72" w:rsidRPr="00DE4CD2">
        <w:rPr>
          <w:rFonts w:asciiTheme="majorHAnsi" w:hAnsiTheme="majorHAnsi" w:cstheme="majorHAnsi"/>
          <w:bCs/>
        </w:rPr>
        <w:t xml:space="preserve"> R&amp;D </w:t>
      </w:r>
      <w:r w:rsidR="00215716" w:rsidRPr="00DE4CD2">
        <w:rPr>
          <w:rFonts w:asciiTheme="majorHAnsi" w:hAnsiTheme="majorHAnsi" w:cstheme="majorHAnsi"/>
          <w:bCs/>
        </w:rPr>
        <w:t>collaboration</w:t>
      </w:r>
      <w:r w:rsidRPr="00DE4CD2">
        <w:rPr>
          <w:rFonts w:asciiTheme="majorHAnsi" w:hAnsiTheme="majorHAnsi" w:cstheme="majorHAnsi"/>
          <w:bCs/>
        </w:rPr>
        <w:t xml:space="preserve"> networks for exploitative versus explorative of regional knowledge creation</w:t>
      </w:r>
      <w:r w:rsidRPr="00DE4CD2">
        <w:rPr>
          <w:rFonts w:asciiTheme="majorHAnsi" w:hAnsiTheme="majorHAnsi" w:cstheme="majorHAnsi"/>
          <w:b/>
        </w:rPr>
        <w:t xml:space="preserve"> </w:t>
      </w:r>
      <w:r w:rsidRPr="00DE4CD2">
        <w:rPr>
          <w:rFonts w:asciiTheme="majorHAnsi" w:hAnsiTheme="majorHAnsi" w:cstheme="majorHAnsi"/>
          <w:bCs/>
        </w:rPr>
        <w:t>(Neuländtner and Scherngell 2022).</w:t>
      </w:r>
      <w:r w:rsidRPr="00DE4CD2">
        <w:rPr>
          <w:rFonts w:asciiTheme="majorHAnsi" w:hAnsiTheme="majorHAnsi" w:cstheme="majorHAnsi"/>
        </w:rPr>
        <w:t xml:space="preserve"> It lies in the vein of studies recognizing the beneficial effect of R&amp;D networks on regional knowledge creation but argues that the significance and strength of the effect differs for different modes of knowledge creation–exploitative and explorative–as well as for the quantity and quality of knowledge created. To explore these differences, the study estimates a set of spatial autoregressive (SAR) models for European regions with varying network effects that are based on a region’s network centrality in the cross-region R&amp;D network of the EU Framework Programme (FP). The results are very interesting in a policy context as they point consistently to a higher positive impact of regional network centralities on explorative rather than exploitative knowledge creation. </w:t>
      </w:r>
    </w:p>
    <w:p w14:paraId="2DAFE0A9" w14:textId="77777777" w:rsidR="00515B72" w:rsidRPr="00DE4CD2" w:rsidRDefault="00515B72" w:rsidP="00B34277">
      <w:pPr>
        <w:spacing w:after="120"/>
        <w:jc w:val="both"/>
        <w:rPr>
          <w:rFonts w:asciiTheme="majorHAnsi" w:eastAsiaTheme="minorHAnsi" w:hAnsiTheme="majorHAnsi" w:cstheme="majorHAnsi"/>
          <w:i/>
          <w:iCs/>
          <w:lang w:val="en-US" w:eastAsia="en-US"/>
        </w:rPr>
      </w:pPr>
    </w:p>
    <w:p w14:paraId="26E3C07D" w14:textId="1211FE54" w:rsidR="00B34277" w:rsidRPr="00DE4CD2" w:rsidRDefault="00B34277" w:rsidP="00B34277">
      <w:pPr>
        <w:spacing w:after="120"/>
        <w:jc w:val="both"/>
        <w:rPr>
          <w:rFonts w:asciiTheme="majorHAnsi" w:eastAsiaTheme="minorHAnsi" w:hAnsiTheme="majorHAnsi" w:cstheme="majorHAnsi"/>
          <w:i/>
          <w:iCs/>
          <w:lang w:val="en-US" w:eastAsia="en-US"/>
        </w:rPr>
      </w:pPr>
      <w:r w:rsidRPr="00DE4CD2">
        <w:rPr>
          <w:rFonts w:asciiTheme="majorHAnsi" w:eastAsiaTheme="minorHAnsi" w:hAnsiTheme="majorHAnsi" w:cstheme="majorHAnsi"/>
          <w:i/>
          <w:iCs/>
          <w:lang w:val="en-US" w:eastAsia="en-US"/>
        </w:rPr>
        <w:lastRenderedPageBreak/>
        <w:t xml:space="preserve">Figure </w:t>
      </w:r>
      <w:r w:rsidR="00C97F32" w:rsidRPr="00DE4CD2">
        <w:rPr>
          <w:rFonts w:asciiTheme="majorHAnsi" w:eastAsiaTheme="minorHAnsi" w:hAnsiTheme="majorHAnsi" w:cstheme="majorHAnsi"/>
          <w:i/>
          <w:iCs/>
          <w:lang w:val="en-US" w:eastAsia="en-US"/>
        </w:rPr>
        <w:t>3</w:t>
      </w:r>
      <w:r w:rsidRPr="00DE4CD2">
        <w:rPr>
          <w:rFonts w:asciiTheme="majorHAnsi" w:eastAsiaTheme="minorHAnsi" w:hAnsiTheme="majorHAnsi" w:cstheme="majorHAnsi"/>
          <w:i/>
          <w:iCs/>
          <w:lang w:val="en-US" w:eastAsia="en-US"/>
        </w:rPr>
        <w:t>: Effects of participation in FP networks (degree centrality) on knowledge creation</w:t>
      </w:r>
    </w:p>
    <w:tbl>
      <w:tblPr>
        <w:tblStyle w:val="Tabellenraster"/>
        <w:tblW w:w="96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41"/>
        <w:gridCol w:w="4841"/>
      </w:tblGrid>
      <w:tr w:rsidR="00FC3526" w:rsidRPr="00DE4CD2" w14:paraId="784F0FEE" w14:textId="77777777" w:rsidTr="00AD1AC7">
        <w:trPr>
          <w:trHeight w:val="310"/>
        </w:trPr>
        <w:tc>
          <w:tcPr>
            <w:tcW w:w="4841" w:type="dxa"/>
            <w:tcBorders>
              <w:top w:val="single" w:sz="4" w:space="0" w:color="auto"/>
              <w:left w:val="nil"/>
              <w:bottom w:val="single" w:sz="4" w:space="0" w:color="auto"/>
              <w:right w:val="nil"/>
            </w:tcBorders>
            <w:vAlign w:val="center"/>
            <w:hideMark/>
          </w:tcPr>
          <w:p w14:paraId="0A5C4D29" w14:textId="77777777" w:rsidR="00B34277" w:rsidRPr="00DE4CD2" w:rsidRDefault="00B34277" w:rsidP="008924F4">
            <w:pPr>
              <w:jc w:val="both"/>
              <w:rPr>
                <w:rFonts w:asciiTheme="majorHAnsi" w:hAnsiTheme="majorHAnsi" w:cstheme="majorHAnsi"/>
              </w:rPr>
            </w:pPr>
            <w:r w:rsidRPr="00DE4CD2">
              <w:rPr>
                <w:rFonts w:asciiTheme="majorHAnsi" w:eastAsia="Times New Roman" w:hAnsiTheme="majorHAnsi" w:cstheme="majorHAnsi"/>
                <w:b/>
                <w:bCs/>
                <w:szCs w:val="20"/>
                <w:lang w:eastAsia="de-DE"/>
              </w:rPr>
              <w:t xml:space="preserve">Exploitation - Quantity </w:t>
            </w:r>
          </w:p>
        </w:tc>
        <w:tc>
          <w:tcPr>
            <w:tcW w:w="4841" w:type="dxa"/>
            <w:tcBorders>
              <w:top w:val="single" w:sz="4" w:space="0" w:color="auto"/>
              <w:left w:val="nil"/>
              <w:bottom w:val="single" w:sz="4" w:space="0" w:color="auto"/>
              <w:right w:val="nil"/>
            </w:tcBorders>
            <w:vAlign w:val="center"/>
            <w:hideMark/>
          </w:tcPr>
          <w:p w14:paraId="1208D7E4" w14:textId="77777777" w:rsidR="00B34277" w:rsidRPr="00DE4CD2" w:rsidRDefault="00B34277" w:rsidP="008924F4">
            <w:pPr>
              <w:jc w:val="both"/>
              <w:rPr>
                <w:rFonts w:asciiTheme="majorHAnsi" w:hAnsiTheme="majorHAnsi" w:cstheme="majorHAnsi"/>
              </w:rPr>
            </w:pPr>
            <w:r w:rsidRPr="00DE4CD2">
              <w:rPr>
                <w:rFonts w:asciiTheme="majorHAnsi" w:eastAsia="Times New Roman" w:hAnsiTheme="majorHAnsi" w:cstheme="majorHAnsi"/>
                <w:b/>
                <w:bCs/>
                <w:szCs w:val="20"/>
                <w:lang w:eastAsia="de-DE"/>
              </w:rPr>
              <w:t xml:space="preserve">Exploitation - Quality </w:t>
            </w:r>
          </w:p>
        </w:tc>
      </w:tr>
      <w:tr w:rsidR="00FC3526" w:rsidRPr="00DE4CD2" w14:paraId="119A4AD1" w14:textId="77777777" w:rsidTr="00AD1AC7">
        <w:trPr>
          <w:trHeight w:val="5557"/>
        </w:trPr>
        <w:tc>
          <w:tcPr>
            <w:tcW w:w="4841" w:type="dxa"/>
            <w:tcBorders>
              <w:top w:val="single" w:sz="4" w:space="0" w:color="auto"/>
              <w:left w:val="nil"/>
              <w:bottom w:val="single" w:sz="4" w:space="0" w:color="auto"/>
              <w:right w:val="nil"/>
            </w:tcBorders>
          </w:tcPr>
          <w:p w14:paraId="0C230FF4" w14:textId="77777777" w:rsidR="00B34277" w:rsidRPr="00DE4CD2" w:rsidRDefault="00B34277" w:rsidP="008924F4">
            <w:pPr>
              <w:jc w:val="both"/>
              <w:rPr>
                <w:rFonts w:asciiTheme="majorHAnsi" w:hAnsiTheme="majorHAnsi" w:cstheme="majorHAnsi"/>
                <w:noProof/>
              </w:rPr>
            </w:pPr>
            <w:r w:rsidRPr="00DE4CD2">
              <w:rPr>
                <w:rFonts w:asciiTheme="majorHAnsi" w:hAnsiTheme="majorHAnsi" w:cstheme="majorHAnsi"/>
                <w:noProof/>
              </w:rPr>
              <w:drawing>
                <wp:inline distT="0" distB="0" distL="0" distR="0" wp14:anchorId="10FCA820" wp14:editId="47CA7FD5">
                  <wp:extent cx="2790825" cy="3238500"/>
                  <wp:effectExtent l="0" t="0" r="9525" b="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
                          <pic:cNvPicPr>
                            <a:picLocks noChangeAspect="1" noChangeArrowheads="1"/>
                          </pic:cNvPicPr>
                        </pic:nvPicPr>
                        <pic:blipFill>
                          <a:blip r:embed="rId11" cstate="print">
                            <a:extLst>
                              <a:ext uri="{28A0092B-C50C-407E-A947-70E740481C1C}">
                                <a14:useLocalDpi xmlns:a14="http://schemas.microsoft.com/office/drawing/2010/main" val="0"/>
                              </a:ext>
                            </a:extLst>
                          </a:blip>
                          <a:srcRect l="11404" t="3967" r="19835"/>
                          <a:stretch>
                            <a:fillRect/>
                          </a:stretch>
                        </pic:blipFill>
                        <pic:spPr bwMode="auto">
                          <a:xfrm>
                            <a:off x="0" y="0"/>
                            <a:ext cx="2790825" cy="3238500"/>
                          </a:xfrm>
                          <a:prstGeom prst="rect">
                            <a:avLst/>
                          </a:prstGeom>
                          <a:noFill/>
                          <a:ln>
                            <a:noFill/>
                          </a:ln>
                        </pic:spPr>
                      </pic:pic>
                    </a:graphicData>
                  </a:graphic>
                </wp:inline>
              </w:drawing>
            </w:r>
          </w:p>
          <w:p w14:paraId="3827CC19" w14:textId="77777777" w:rsidR="00B34277" w:rsidRPr="00DE4CD2" w:rsidRDefault="00B34277" w:rsidP="008924F4">
            <w:pPr>
              <w:jc w:val="both"/>
              <w:rPr>
                <w:rFonts w:asciiTheme="majorHAnsi" w:hAnsiTheme="majorHAnsi" w:cstheme="majorHAnsi"/>
              </w:rPr>
            </w:pPr>
          </w:p>
        </w:tc>
        <w:tc>
          <w:tcPr>
            <w:tcW w:w="4841" w:type="dxa"/>
            <w:tcBorders>
              <w:top w:val="single" w:sz="4" w:space="0" w:color="auto"/>
              <w:left w:val="nil"/>
              <w:bottom w:val="single" w:sz="4" w:space="0" w:color="auto"/>
              <w:right w:val="nil"/>
            </w:tcBorders>
            <w:hideMark/>
          </w:tcPr>
          <w:p w14:paraId="69CDA75B" w14:textId="77777777" w:rsidR="00B34277" w:rsidRPr="00DE4CD2" w:rsidRDefault="00B34277" w:rsidP="008924F4">
            <w:pPr>
              <w:jc w:val="both"/>
              <w:rPr>
                <w:rFonts w:asciiTheme="majorHAnsi" w:hAnsiTheme="majorHAnsi" w:cstheme="majorHAnsi"/>
              </w:rPr>
            </w:pPr>
            <w:r w:rsidRPr="00DE4CD2">
              <w:rPr>
                <w:rFonts w:asciiTheme="majorHAnsi" w:hAnsiTheme="majorHAnsi" w:cstheme="majorHAnsi"/>
                <w:noProof/>
              </w:rPr>
              <w:drawing>
                <wp:inline distT="0" distB="0" distL="0" distR="0" wp14:anchorId="3E96EEAA" wp14:editId="3F4EB2E5">
                  <wp:extent cx="2762250" cy="3238500"/>
                  <wp:effectExtent l="0" t="0" r="0" b="0"/>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8"/>
                          <pic:cNvPicPr>
                            <a:picLocks noChangeAspect="1" noChangeArrowheads="1"/>
                          </pic:cNvPicPr>
                        </pic:nvPicPr>
                        <pic:blipFill>
                          <a:blip r:embed="rId12" cstate="print">
                            <a:extLst>
                              <a:ext uri="{28A0092B-C50C-407E-A947-70E740481C1C}">
                                <a14:useLocalDpi xmlns:a14="http://schemas.microsoft.com/office/drawing/2010/main" val="0"/>
                              </a:ext>
                            </a:extLst>
                          </a:blip>
                          <a:srcRect l="11900" t="3967" r="19835"/>
                          <a:stretch>
                            <a:fillRect/>
                          </a:stretch>
                        </pic:blipFill>
                        <pic:spPr bwMode="auto">
                          <a:xfrm>
                            <a:off x="0" y="0"/>
                            <a:ext cx="2762250" cy="3238500"/>
                          </a:xfrm>
                          <a:prstGeom prst="rect">
                            <a:avLst/>
                          </a:prstGeom>
                          <a:noFill/>
                          <a:ln>
                            <a:noFill/>
                          </a:ln>
                        </pic:spPr>
                      </pic:pic>
                    </a:graphicData>
                  </a:graphic>
                </wp:inline>
              </w:drawing>
            </w:r>
          </w:p>
        </w:tc>
      </w:tr>
      <w:tr w:rsidR="00FC3526" w:rsidRPr="00DE4CD2" w14:paraId="48D7B195" w14:textId="77777777" w:rsidTr="00AD1AC7">
        <w:trPr>
          <w:trHeight w:val="280"/>
        </w:trPr>
        <w:tc>
          <w:tcPr>
            <w:tcW w:w="4841" w:type="dxa"/>
            <w:tcBorders>
              <w:top w:val="single" w:sz="4" w:space="0" w:color="auto"/>
              <w:left w:val="nil"/>
              <w:bottom w:val="single" w:sz="4" w:space="0" w:color="auto"/>
              <w:right w:val="nil"/>
            </w:tcBorders>
            <w:vAlign w:val="center"/>
            <w:hideMark/>
          </w:tcPr>
          <w:p w14:paraId="6734F7F5" w14:textId="77777777" w:rsidR="00B34277" w:rsidRPr="00DE4CD2" w:rsidRDefault="00B34277" w:rsidP="008924F4">
            <w:pPr>
              <w:jc w:val="both"/>
              <w:rPr>
                <w:rFonts w:asciiTheme="majorHAnsi" w:hAnsiTheme="majorHAnsi" w:cstheme="majorHAnsi"/>
              </w:rPr>
            </w:pPr>
            <w:r w:rsidRPr="00DE4CD2">
              <w:rPr>
                <w:rFonts w:asciiTheme="majorHAnsi" w:eastAsia="Times New Roman" w:hAnsiTheme="majorHAnsi" w:cstheme="majorHAnsi"/>
                <w:b/>
                <w:bCs/>
                <w:szCs w:val="20"/>
                <w:lang w:eastAsia="de-DE"/>
              </w:rPr>
              <w:t xml:space="preserve">Exploration - Quantity </w:t>
            </w:r>
          </w:p>
        </w:tc>
        <w:tc>
          <w:tcPr>
            <w:tcW w:w="4841" w:type="dxa"/>
            <w:tcBorders>
              <w:top w:val="single" w:sz="4" w:space="0" w:color="auto"/>
              <w:left w:val="nil"/>
              <w:bottom w:val="single" w:sz="4" w:space="0" w:color="auto"/>
              <w:right w:val="nil"/>
            </w:tcBorders>
            <w:vAlign w:val="center"/>
            <w:hideMark/>
          </w:tcPr>
          <w:p w14:paraId="76196F81" w14:textId="77777777" w:rsidR="00B34277" w:rsidRPr="00DE4CD2" w:rsidRDefault="00B34277" w:rsidP="008924F4">
            <w:pPr>
              <w:jc w:val="both"/>
              <w:rPr>
                <w:rFonts w:asciiTheme="majorHAnsi" w:hAnsiTheme="majorHAnsi" w:cstheme="majorHAnsi"/>
              </w:rPr>
            </w:pPr>
            <w:r w:rsidRPr="00DE4CD2">
              <w:rPr>
                <w:rFonts w:asciiTheme="majorHAnsi" w:eastAsia="Times New Roman" w:hAnsiTheme="majorHAnsi" w:cstheme="majorHAnsi"/>
                <w:b/>
                <w:bCs/>
                <w:szCs w:val="20"/>
                <w:lang w:eastAsia="de-DE"/>
              </w:rPr>
              <w:t xml:space="preserve">Exploration - Quality </w:t>
            </w:r>
          </w:p>
        </w:tc>
      </w:tr>
      <w:tr w:rsidR="00FC3526" w:rsidRPr="00DE4CD2" w14:paraId="0F1C6978" w14:textId="77777777" w:rsidTr="00AD1AC7">
        <w:trPr>
          <w:trHeight w:val="5413"/>
        </w:trPr>
        <w:tc>
          <w:tcPr>
            <w:tcW w:w="4841" w:type="dxa"/>
            <w:tcBorders>
              <w:top w:val="single" w:sz="4" w:space="0" w:color="auto"/>
              <w:left w:val="nil"/>
              <w:bottom w:val="single" w:sz="4" w:space="0" w:color="auto"/>
              <w:right w:val="nil"/>
            </w:tcBorders>
            <w:hideMark/>
          </w:tcPr>
          <w:p w14:paraId="15C47593" w14:textId="77777777" w:rsidR="00B34277" w:rsidRPr="00DE4CD2" w:rsidRDefault="00B34277" w:rsidP="008924F4">
            <w:pPr>
              <w:spacing w:line="360" w:lineRule="auto"/>
              <w:jc w:val="both"/>
              <w:rPr>
                <w:rFonts w:asciiTheme="majorHAnsi" w:hAnsiTheme="majorHAnsi" w:cstheme="majorHAnsi"/>
              </w:rPr>
            </w:pPr>
            <w:r w:rsidRPr="00DE4CD2">
              <w:rPr>
                <w:rFonts w:asciiTheme="majorHAnsi" w:hAnsiTheme="majorHAnsi" w:cstheme="majorHAnsi"/>
                <w:noProof/>
              </w:rPr>
              <w:drawing>
                <wp:inline distT="0" distB="0" distL="0" distR="0" wp14:anchorId="4931CB70" wp14:editId="16567622">
                  <wp:extent cx="2752725" cy="3238500"/>
                  <wp:effectExtent l="0" t="0" r="9525" b="0"/>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6"/>
                          <pic:cNvPicPr>
                            <a:picLocks noChangeAspect="1" noChangeArrowheads="1"/>
                          </pic:cNvPicPr>
                        </pic:nvPicPr>
                        <pic:blipFill>
                          <a:blip r:embed="rId13" cstate="print">
                            <a:extLst>
                              <a:ext uri="{28A0092B-C50C-407E-A947-70E740481C1C}">
                                <a14:useLocalDpi xmlns:a14="http://schemas.microsoft.com/office/drawing/2010/main" val="0"/>
                              </a:ext>
                            </a:extLst>
                          </a:blip>
                          <a:srcRect l="11736" t="3770" r="20000"/>
                          <a:stretch>
                            <a:fillRect/>
                          </a:stretch>
                        </pic:blipFill>
                        <pic:spPr bwMode="auto">
                          <a:xfrm>
                            <a:off x="0" y="0"/>
                            <a:ext cx="2752725" cy="3238500"/>
                          </a:xfrm>
                          <a:prstGeom prst="rect">
                            <a:avLst/>
                          </a:prstGeom>
                          <a:noFill/>
                          <a:ln>
                            <a:noFill/>
                          </a:ln>
                        </pic:spPr>
                      </pic:pic>
                    </a:graphicData>
                  </a:graphic>
                </wp:inline>
              </w:drawing>
            </w:r>
          </w:p>
        </w:tc>
        <w:tc>
          <w:tcPr>
            <w:tcW w:w="4841" w:type="dxa"/>
            <w:tcBorders>
              <w:top w:val="single" w:sz="4" w:space="0" w:color="auto"/>
              <w:left w:val="nil"/>
              <w:bottom w:val="single" w:sz="4" w:space="0" w:color="auto"/>
              <w:right w:val="nil"/>
            </w:tcBorders>
            <w:hideMark/>
          </w:tcPr>
          <w:p w14:paraId="2CDF5714" w14:textId="77777777" w:rsidR="00B34277" w:rsidRPr="00DE4CD2" w:rsidRDefault="00B34277" w:rsidP="008924F4">
            <w:pPr>
              <w:keepNext/>
              <w:spacing w:line="360" w:lineRule="auto"/>
              <w:jc w:val="both"/>
              <w:rPr>
                <w:rFonts w:asciiTheme="majorHAnsi" w:hAnsiTheme="majorHAnsi" w:cstheme="majorHAnsi"/>
              </w:rPr>
            </w:pPr>
            <w:r w:rsidRPr="00DE4CD2">
              <w:rPr>
                <w:rFonts w:asciiTheme="majorHAnsi" w:hAnsiTheme="majorHAnsi" w:cstheme="majorHAnsi"/>
                <w:noProof/>
              </w:rPr>
              <w:drawing>
                <wp:inline distT="0" distB="0" distL="0" distR="0" wp14:anchorId="0DFEC627" wp14:editId="02048ACE">
                  <wp:extent cx="2790825" cy="3238500"/>
                  <wp:effectExtent l="0" t="0" r="9525" b="0"/>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7"/>
                          <pic:cNvPicPr>
                            <a:picLocks noChangeAspect="1" noChangeArrowheads="1"/>
                          </pic:cNvPicPr>
                        </pic:nvPicPr>
                        <pic:blipFill>
                          <a:blip r:embed="rId14" cstate="print">
                            <a:extLst>
                              <a:ext uri="{28A0092B-C50C-407E-A947-70E740481C1C}">
                                <a14:useLocalDpi xmlns:a14="http://schemas.microsoft.com/office/drawing/2010/main" val="0"/>
                              </a:ext>
                            </a:extLst>
                          </a:blip>
                          <a:srcRect l="10909" t="3770" r="20164"/>
                          <a:stretch>
                            <a:fillRect/>
                          </a:stretch>
                        </pic:blipFill>
                        <pic:spPr bwMode="auto">
                          <a:xfrm>
                            <a:off x="0" y="0"/>
                            <a:ext cx="2790825" cy="3238500"/>
                          </a:xfrm>
                          <a:prstGeom prst="rect">
                            <a:avLst/>
                          </a:prstGeom>
                          <a:noFill/>
                          <a:ln>
                            <a:noFill/>
                          </a:ln>
                        </pic:spPr>
                      </pic:pic>
                    </a:graphicData>
                  </a:graphic>
                </wp:inline>
              </w:drawing>
            </w:r>
          </w:p>
        </w:tc>
      </w:tr>
    </w:tbl>
    <w:p w14:paraId="5006D3D8" w14:textId="77777777" w:rsidR="00B34277" w:rsidRPr="00DE4CD2" w:rsidRDefault="00B34277" w:rsidP="00B34277">
      <w:pPr>
        <w:spacing w:after="120"/>
        <w:jc w:val="both"/>
        <w:rPr>
          <w:rFonts w:asciiTheme="majorHAnsi" w:hAnsiTheme="majorHAnsi" w:cstheme="majorHAnsi"/>
          <w:sz w:val="18"/>
        </w:rPr>
      </w:pPr>
      <w:r w:rsidRPr="00DE4CD2">
        <w:rPr>
          <w:rFonts w:asciiTheme="majorHAnsi" w:hAnsiTheme="majorHAnsi" w:cstheme="majorHAnsi"/>
          <w:sz w:val="18"/>
        </w:rPr>
        <w:t>Notes: Grouping of variables by means of natural breaks</w:t>
      </w:r>
    </w:p>
    <w:p w14:paraId="7E5D1B55" w14:textId="77777777" w:rsidR="00B34277" w:rsidRPr="00DE4CD2" w:rsidRDefault="00B34277" w:rsidP="00B34277">
      <w:pPr>
        <w:jc w:val="both"/>
        <w:rPr>
          <w:rFonts w:asciiTheme="majorHAnsi" w:hAnsiTheme="majorHAnsi" w:cstheme="majorHAnsi"/>
        </w:rPr>
      </w:pPr>
    </w:p>
    <w:p w14:paraId="54EE7F58" w14:textId="184916D9" w:rsidR="00B34277" w:rsidRPr="00DE4CD2" w:rsidRDefault="00B34277" w:rsidP="00B34277">
      <w:pPr>
        <w:jc w:val="both"/>
        <w:rPr>
          <w:rFonts w:asciiTheme="majorHAnsi" w:hAnsiTheme="majorHAnsi" w:cstheme="majorHAnsi"/>
        </w:rPr>
      </w:pPr>
      <w:r w:rsidRPr="00DE4CD2">
        <w:rPr>
          <w:rFonts w:asciiTheme="majorHAnsi" w:hAnsiTheme="majorHAnsi" w:cstheme="majorHAnsi"/>
        </w:rPr>
        <w:t xml:space="preserve">Moreover, the quantity and quality of newly created knowledge is found to be conversely affected by the regional network centralities considered. Interestingly, a high number of links (degree centrality) has in relative terms higher positive effects on the quality, rather than the pure quantity </w:t>
      </w:r>
      <w:r w:rsidRPr="00DE4CD2">
        <w:rPr>
          <w:rFonts w:asciiTheme="majorHAnsi" w:hAnsiTheme="majorHAnsi" w:cstheme="majorHAnsi"/>
        </w:rPr>
        <w:lastRenderedPageBreak/>
        <w:t xml:space="preserve">of knowledge outputs, while an authoritative network position is more conducive for increasing the quantity rather than the quality of knowledge. Looking at agglomeration effects, it is shown that exploitation is driven by spatial </w:t>
      </w:r>
      <w:proofErr w:type="spellStart"/>
      <w:r w:rsidRPr="00DE4CD2">
        <w:rPr>
          <w:rFonts w:asciiTheme="majorHAnsi" w:hAnsiTheme="majorHAnsi" w:cstheme="majorHAnsi"/>
        </w:rPr>
        <w:t>spillovers</w:t>
      </w:r>
      <w:proofErr w:type="spellEnd"/>
      <w:r w:rsidRPr="00DE4CD2">
        <w:rPr>
          <w:rFonts w:asciiTheme="majorHAnsi" w:hAnsiTheme="majorHAnsi" w:cstheme="majorHAnsi"/>
        </w:rPr>
        <w:t xml:space="preserve"> from </w:t>
      </w:r>
      <w:proofErr w:type="spellStart"/>
      <w:r w:rsidRPr="00DE4CD2">
        <w:rPr>
          <w:rFonts w:asciiTheme="majorHAnsi" w:hAnsiTheme="majorHAnsi" w:cstheme="majorHAnsi"/>
        </w:rPr>
        <w:t>neighboring</w:t>
      </w:r>
      <w:proofErr w:type="spellEnd"/>
      <w:r w:rsidRPr="00DE4CD2">
        <w:rPr>
          <w:rFonts w:asciiTheme="majorHAnsi" w:hAnsiTheme="majorHAnsi" w:cstheme="majorHAnsi"/>
        </w:rPr>
        <w:t xml:space="preserve"> regions–though much more for quantity than quality of knowledge–while such agglomeration effects are not identified for knowledge exploration.</w:t>
      </w:r>
    </w:p>
    <w:p w14:paraId="5C98295C" w14:textId="77777777" w:rsidR="00B34277" w:rsidRPr="00DE4CD2" w:rsidRDefault="00B34277" w:rsidP="00B34277">
      <w:pPr>
        <w:jc w:val="both"/>
        <w:rPr>
          <w:rFonts w:asciiTheme="majorHAnsi" w:hAnsiTheme="majorHAnsi" w:cstheme="majorHAnsi"/>
        </w:rPr>
      </w:pPr>
    </w:p>
    <w:p w14:paraId="547798D2" w14:textId="2D85E477" w:rsidR="00B34277" w:rsidRPr="00DE4CD2" w:rsidRDefault="00B34277" w:rsidP="00B34277">
      <w:pPr>
        <w:jc w:val="both"/>
        <w:rPr>
          <w:rFonts w:asciiTheme="majorHAnsi" w:hAnsiTheme="majorHAnsi" w:cstheme="majorHAnsi"/>
        </w:rPr>
      </w:pPr>
      <w:r w:rsidRPr="00DE4CD2">
        <w:rPr>
          <w:rFonts w:asciiTheme="majorHAnsi" w:hAnsiTheme="majorHAnsi" w:cstheme="majorHAnsi"/>
        </w:rPr>
        <w:t xml:space="preserve">An exemplifying element of this research work is illustrated in Figure </w:t>
      </w:r>
      <w:r w:rsidR="00C97F32" w:rsidRPr="00DE4CD2">
        <w:rPr>
          <w:rFonts w:asciiTheme="majorHAnsi" w:hAnsiTheme="majorHAnsi" w:cstheme="majorHAnsi"/>
        </w:rPr>
        <w:t>3</w:t>
      </w:r>
      <w:r w:rsidRPr="00DE4CD2">
        <w:rPr>
          <w:rFonts w:asciiTheme="majorHAnsi" w:hAnsiTheme="majorHAnsi" w:cstheme="majorHAnsi"/>
        </w:rPr>
        <w:t xml:space="preserve">. It shows the spatial distribution of the effect estimates of the spatial model, i.e. showing which regions have benefitted most in their knowledge production outputs from a specific central positioning in European FP networks in terms of the different categories considered, exploitation-quantity (share of patents), exploitation-quality (share of high quality patents), exploration-quantity (share of publications), exploration-quality (share of high impact publications). The most interesting insights are that lagging regions tend–in relative terms–to benefit more from a central positioning in European FP networks than leading regions. However, more regions are able </w:t>
      </w:r>
      <w:r w:rsidRPr="00DE4CD2">
        <w:rPr>
          <w:rFonts w:asciiTheme="majorHAnsi" w:hAnsiTheme="majorHAnsi" w:cstheme="majorHAnsi"/>
          <w:lang w:val="en-US"/>
        </w:rPr>
        <w:t xml:space="preserve">to gain higher effects in terms of quantity, i.e. easier to increase quantity based on networks than quality (since for quality face-to-face is still very important). On a side note, UK regions are among the top benefitting regions of participating in FP networks, which bears of course important conclusions in context of Brexit </w:t>
      </w:r>
      <w:r w:rsidRPr="00DE4CD2">
        <w:rPr>
          <w:rFonts w:asciiTheme="majorHAnsi" w:hAnsiTheme="majorHAnsi" w:cstheme="majorHAnsi"/>
        </w:rPr>
        <w:t xml:space="preserve">(for further details on the approach, data and method: </w:t>
      </w:r>
      <w:hyperlink r:id="rId15" w:history="1">
        <w:r w:rsidRPr="00DE4CD2">
          <w:rPr>
            <w:rStyle w:val="Hyperlink"/>
            <w:rFonts w:asciiTheme="majorHAnsi" w:hAnsiTheme="majorHAnsi" w:cstheme="majorHAnsi"/>
            <w:color w:val="auto"/>
          </w:rPr>
          <w:t>https://zenodo.org/record/3724562</w:t>
        </w:r>
      </w:hyperlink>
      <w:r w:rsidRPr="00DE4CD2">
        <w:rPr>
          <w:rFonts w:asciiTheme="majorHAnsi" w:hAnsiTheme="majorHAnsi" w:cstheme="majorHAnsi"/>
        </w:rPr>
        <w:t xml:space="preserve">). </w:t>
      </w:r>
    </w:p>
    <w:p w14:paraId="0B2E876F" w14:textId="77777777" w:rsidR="00B34277" w:rsidRPr="00DE4CD2" w:rsidRDefault="00B34277" w:rsidP="00B34277">
      <w:pPr>
        <w:jc w:val="both"/>
        <w:rPr>
          <w:rFonts w:asciiTheme="majorHAnsi" w:hAnsiTheme="majorHAnsi" w:cstheme="majorHAnsi"/>
        </w:rPr>
      </w:pPr>
    </w:p>
    <w:p w14:paraId="130E6A52" w14:textId="77777777" w:rsidR="00B34277" w:rsidRPr="00DE4CD2" w:rsidRDefault="00B34277" w:rsidP="00B34277">
      <w:pPr>
        <w:jc w:val="both"/>
        <w:rPr>
          <w:rFonts w:asciiTheme="majorHAnsi" w:hAnsiTheme="majorHAnsi" w:cstheme="majorHAnsi"/>
        </w:rPr>
      </w:pPr>
      <w:r w:rsidRPr="00DE4CD2">
        <w:rPr>
          <w:rFonts w:asciiTheme="majorHAnsi" w:hAnsiTheme="majorHAnsi" w:cstheme="majorHAnsi"/>
        </w:rPr>
        <w:t>Another very recent research highlight uses EUPRO to analyse the relationship between the regional allocation of research grants and new technological specialisations of European regions between 1999 and 2010 (Uhlbach et al. 2022). Using a fixed effects linear probability model, our results indicate that FP participations have a positive but relatively small effect on the development of new specialisations of regions. Results further suggest that participations can compensate for a lack of local related capabilities.</w:t>
      </w:r>
    </w:p>
    <w:p w14:paraId="2B1179B9" w14:textId="77777777" w:rsidR="00B34277" w:rsidRPr="00DE4CD2" w:rsidRDefault="00B34277" w:rsidP="00B34277">
      <w:pPr>
        <w:jc w:val="both"/>
        <w:rPr>
          <w:rFonts w:asciiTheme="majorHAnsi" w:hAnsiTheme="majorHAnsi" w:cstheme="majorHAnsi"/>
        </w:rPr>
      </w:pPr>
    </w:p>
    <w:p w14:paraId="58776EF2" w14:textId="35F0E33B" w:rsidR="00B34277" w:rsidRPr="00DE4CD2" w:rsidRDefault="00B34277" w:rsidP="00B34277">
      <w:pPr>
        <w:jc w:val="both"/>
        <w:rPr>
          <w:rFonts w:asciiTheme="majorHAnsi" w:hAnsiTheme="majorHAnsi" w:cstheme="majorHAnsi"/>
        </w:rPr>
      </w:pPr>
      <w:r w:rsidRPr="00DE4CD2">
        <w:rPr>
          <w:rFonts w:asciiTheme="majorHAnsi" w:hAnsiTheme="majorHAnsi" w:cstheme="majorHAnsi"/>
        </w:rPr>
        <w:t xml:space="preserve">A first illustrative application mobilizing the recently developed NATPRO module of EUPRO provides some initial insights into national versus European funded R&amp;D projects at the level of countries or regions, in depth insights into national systems, or the thematic orientations of national vs. European funding. Figure </w:t>
      </w:r>
      <w:r w:rsidR="00C97F32" w:rsidRPr="00DE4CD2">
        <w:rPr>
          <w:rFonts w:asciiTheme="majorHAnsi" w:hAnsiTheme="majorHAnsi" w:cstheme="majorHAnsi"/>
        </w:rPr>
        <w:t>4</w:t>
      </w:r>
      <w:r w:rsidRPr="00DE4CD2">
        <w:rPr>
          <w:rFonts w:asciiTheme="majorHAnsi" w:hAnsiTheme="majorHAnsi" w:cstheme="majorHAnsi"/>
        </w:rPr>
        <w:t xml:space="preserve"> shows one specific example of the different analytical elements focusing on the number R&amp;D projects of organisations located in Austria, differentiated by national versus European funding sources. Here, national projects include all projects from the two main national research funding agencies FWF (research council) and FFG (innovation agency), while European funding is confined to the EU Framework Programme (FP). It can be seen that larger public research organisations, like AIT or </w:t>
      </w:r>
      <w:proofErr w:type="spellStart"/>
      <w:r w:rsidRPr="00DE4CD2">
        <w:rPr>
          <w:rFonts w:asciiTheme="majorHAnsi" w:hAnsiTheme="majorHAnsi" w:cstheme="majorHAnsi"/>
        </w:rPr>
        <w:t>Joanneum</w:t>
      </w:r>
      <w:proofErr w:type="spellEnd"/>
      <w:r w:rsidRPr="00DE4CD2">
        <w:rPr>
          <w:rFonts w:asciiTheme="majorHAnsi" w:hAnsiTheme="majorHAnsi" w:cstheme="majorHAnsi"/>
        </w:rPr>
        <w:t xml:space="preserve"> Research are more intensively engaged with European projects, while basic research oriented, large universities, most importantly University of Vienna, have usually a higher number of nationally funded projects than European ones. Such analyses cannot only be further disaggregated by research funding agencies (</w:t>
      </w:r>
      <w:proofErr w:type="spellStart"/>
      <w:r w:rsidRPr="00DE4CD2">
        <w:rPr>
          <w:rFonts w:asciiTheme="majorHAnsi" w:hAnsiTheme="majorHAnsi" w:cstheme="majorHAnsi"/>
        </w:rPr>
        <w:t>i.e</w:t>
      </w:r>
      <w:proofErr w:type="spellEnd"/>
      <w:r w:rsidRPr="00DE4CD2">
        <w:rPr>
          <w:rFonts w:asciiTheme="majorHAnsi" w:hAnsiTheme="majorHAnsi" w:cstheme="majorHAnsi"/>
        </w:rPr>
        <w:t xml:space="preserve"> in this case the more basic research oriented Austrian Science Fund FWF versus the more innovation oriented Austrian Research Promotion Agency FFG), but also enlarged with to a number of analytical dimensions, such as thematic orientations of national versus European projects, multi-level networks or i</w:t>
      </w:r>
      <w:r w:rsidRPr="00DE4CD2">
        <w:rPr>
          <w:rFonts w:asciiTheme="majorHAnsi" w:hAnsiTheme="majorHAnsi" w:cstheme="majorHAnsi"/>
          <w:lang w:val="en-US"/>
        </w:rPr>
        <w:t>n depth analysis of project portfolios in relation to instruments characteristics (via linking with EFIL, see Section 2.4.2).</w:t>
      </w:r>
      <w:r w:rsidRPr="00DE4CD2">
        <w:rPr>
          <w:rFonts w:asciiTheme="majorHAnsi" w:hAnsiTheme="majorHAnsi" w:cstheme="majorHAnsi"/>
        </w:rPr>
        <w:t xml:space="preserve"> </w:t>
      </w:r>
    </w:p>
    <w:p w14:paraId="333B8F73" w14:textId="0EFAEE2C" w:rsidR="00AD1AC7" w:rsidRPr="00DE4CD2" w:rsidRDefault="00AD1AC7" w:rsidP="00B34277">
      <w:pPr>
        <w:jc w:val="both"/>
        <w:rPr>
          <w:rFonts w:asciiTheme="majorHAnsi" w:hAnsiTheme="majorHAnsi" w:cstheme="majorHAnsi"/>
        </w:rPr>
      </w:pPr>
    </w:p>
    <w:p w14:paraId="4B8FB4B9" w14:textId="6314F386" w:rsidR="00AD1AC7" w:rsidRPr="00DE4CD2" w:rsidRDefault="00AD1AC7" w:rsidP="00B34277">
      <w:pPr>
        <w:jc w:val="both"/>
        <w:rPr>
          <w:rFonts w:asciiTheme="majorHAnsi" w:hAnsiTheme="majorHAnsi" w:cstheme="majorHAnsi"/>
        </w:rPr>
      </w:pPr>
    </w:p>
    <w:p w14:paraId="35CF3F1C" w14:textId="6AB4F06F" w:rsidR="00AD1AC7" w:rsidRPr="00DE4CD2" w:rsidRDefault="00AD1AC7" w:rsidP="00B34277">
      <w:pPr>
        <w:jc w:val="both"/>
        <w:rPr>
          <w:rFonts w:asciiTheme="majorHAnsi" w:hAnsiTheme="majorHAnsi" w:cstheme="majorHAnsi"/>
        </w:rPr>
      </w:pPr>
    </w:p>
    <w:p w14:paraId="78E8115A" w14:textId="77777777" w:rsidR="00B34277" w:rsidRPr="00DE4CD2" w:rsidRDefault="00B34277" w:rsidP="00B34277">
      <w:pPr>
        <w:rPr>
          <w:rFonts w:asciiTheme="majorHAnsi" w:eastAsiaTheme="minorHAnsi" w:hAnsiTheme="majorHAnsi" w:cstheme="majorHAnsi"/>
          <w:i/>
          <w:iCs/>
          <w:lang w:val="en-US" w:eastAsia="en-US"/>
        </w:rPr>
      </w:pPr>
    </w:p>
    <w:p w14:paraId="79EEA8EC" w14:textId="36F26E62" w:rsidR="00B34277" w:rsidRPr="00DE4CD2" w:rsidRDefault="00B34277" w:rsidP="00B34277">
      <w:pPr>
        <w:rPr>
          <w:rFonts w:asciiTheme="majorHAnsi" w:hAnsiTheme="majorHAnsi" w:cstheme="majorHAnsi"/>
        </w:rPr>
      </w:pPr>
      <w:r w:rsidRPr="00DE4CD2">
        <w:rPr>
          <w:rFonts w:asciiTheme="majorHAnsi" w:eastAsiaTheme="minorHAnsi" w:hAnsiTheme="majorHAnsi" w:cstheme="majorHAnsi"/>
          <w:i/>
          <w:iCs/>
          <w:lang w:val="en-US" w:eastAsia="en-US"/>
        </w:rPr>
        <w:lastRenderedPageBreak/>
        <w:t xml:space="preserve">Figure </w:t>
      </w:r>
      <w:r w:rsidR="00C97F32" w:rsidRPr="00DE4CD2">
        <w:rPr>
          <w:rFonts w:asciiTheme="majorHAnsi" w:eastAsiaTheme="minorHAnsi" w:hAnsiTheme="majorHAnsi" w:cstheme="majorHAnsi"/>
          <w:i/>
          <w:iCs/>
          <w:lang w:val="en-US" w:eastAsia="en-US"/>
        </w:rPr>
        <w:t>4</w:t>
      </w:r>
      <w:r w:rsidRPr="00DE4CD2">
        <w:rPr>
          <w:rFonts w:asciiTheme="majorHAnsi" w:eastAsiaTheme="minorHAnsi" w:hAnsiTheme="majorHAnsi" w:cstheme="majorHAnsi"/>
          <w:i/>
          <w:iCs/>
          <w:lang w:val="en-US" w:eastAsia="en-US"/>
        </w:rPr>
        <w:t xml:space="preserve">: Number of R&amp;D projects of public research actors in Austria – national versus European funding </w:t>
      </w:r>
    </w:p>
    <w:p w14:paraId="53D3500F" w14:textId="77777777" w:rsidR="00B34277" w:rsidRPr="00DE4CD2" w:rsidRDefault="00B34277" w:rsidP="00B34277">
      <w:pPr>
        <w:rPr>
          <w:rFonts w:asciiTheme="majorHAnsi" w:hAnsiTheme="majorHAnsi" w:cstheme="majorHAnsi"/>
        </w:rPr>
      </w:pPr>
      <w:r w:rsidRPr="00DE4CD2">
        <w:rPr>
          <w:rFonts w:asciiTheme="majorHAnsi" w:hAnsiTheme="majorHAnsi" w:cstheme="majorHAnsi"/>
          <w:noProof/>
        </w:rPr>
        <w:drawing>
          <wp:inline distT="0" distB="0" distL="0" distR="0" wp14:anchorId="034DC300" wp14:editId="444483B7">
            <wp:extent cx="5676900" cy="3700122"/>
            <wp:effectExtent l="0" t="0" r="0" b="0"/>
            <wp:docPr id="40" name="Picture 1">
              <a:extLst xmlns:a="http://schemas.openxmlformats.org/drawingml/2006/main">
                <a:ext uri="{FF2B5EF4-FFF2-40B4-BE49-F238E27FC236}">
                  <a16:creationId xmlns:a16="http://schemas.microsoft.com/office/drawing/2014/main" id="{5EEC6002-9B86-4930-AC4C-0DCA24B876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5EEC6002-9B86-4930-AC4C-0DCA24B876EF}"/>
                        </a:ext>
                      </a:extLst>
                    </pic:cNvPr>
                    <pic:cNvPicPr>
                      <a:picLocks noChangeAspect="1"/>
                    </pic:cNvPicPr>
                  </pic:nvPicPr>
                  <pic:blipFill>
                    <a:blip r:embed="rId16"/>
                    <a:stretch>
                      <a:fillRect/>
                    </a:stretch>
                  </pic:blipFill>
                  <pic:spPr>
                    <a:xfrm>
                      <a:off x="0" y="0"/>
                      <a:ext cx="5683402" cy="3704360"/>
                    </a:xfrm>
                    <a:prstGeom prst="rect">
                      <a:avLst/>
                    </a:prstGeom>
                  </pic:spPr>
                </pic:pic>
              </a:graphicData>
            </a:graphic>
          </wp:inline>
        </w:drawing>
      </w:r>
    </w:p>
    <w:p w14:paraId="6CB31FB2" w14:textId="77777777" w:rsidR="00B34277" w:rsidRPr="00DE4CD2" w:rsidRDefault="00B34277" w:rsidP="00B34277">
      <w:pPr>
        <w:rPr>
          <w:rFonts w:asciiTheme="majorHAnsi" w:hAnsiTheme="majorHAnsi" w:cstheme="majorHAnsi"/>
        </w:rPr>
      </w:pPr>
    </w:p>
    <w:p w14:paraId="2ED3DE1C" w14:textId="77777777" w:rsidR="00B34277" w:rsidRPr="00DE4CD2" w:rsidRDefault="00B34277" w:rsidP="00B34277">
      <w:pPr>
        <w:rPr>
          <w:rFonts w:asciiTheme="majorHAnsi" w:hAnsiTheme="majorHAnsi" w:cstheme="majorHAnsi"/>
        </w:rPr>
      </w:pPr>
    </w:p>
    <w:p w14:paraId="0E54E971" w14:textId="38E3DB0C" w:rsidR="005C3960" w:rsidRPr="00DE4CD2" w:rsidRDefault="005C3960" w:rsidP="005B3E1A">
      <w:pPr>
        <w:pStyle w:val="berschrift3"/>
        <w:rPr>
          <w:rFonts w:asciiTheme="majorHAnsi" w:hAnsiTheme="majorHAnsi" w:cstheme="majorHAnsi"/>
          <w:color w:val="auto"/>
        </w:rPr>
      </w:pPr>
      <w:bookmarkStart w:id="5" w:name="_Toc153536122"/>
      <w:bookmarkEnd w:id="2"/>
      <w:r w:rsidRPr="00DE4CD2">
        <w:rPr>
          <w:rFonts w:asciiTheme="majorHAnsi" w:hAnsiTheme="majorHAnsi" w:cstheme="majorHAnsi"/>
          <w:color w:val="auto"/>
        </w:rPr>
        <w:t>CWTS Publication</w:t>
      </w:r>
      <w:bookmarkEnd w:id="5"/>
      <w:r w:rsidR="00FF0B92" w:rsidRPr="00DE4CD2">
        <w:rPr>
          <w:rFonts w:asciiTheme="majorHAnsi" w:hAnsiTheme="majorHAnsi" w:cstheme="majorHAnsi"/>
          <w:color w:val="auto"/>
        </w:rPr>
        <w:t xml:space="preserve"> </w:t>
      </w:r>
    </w:p>
    <w:p w14:paraId="24508A71" w14:textId="77777777" w:rsidR="00FF0B92" w:rsidRPr="00DE4CD2" w:rsidRDefault="00FF0B92" w:rsidP="00FF0B92">
      <w:pPr>
        <w:rPr>
          <w:rFonts w:asciiTheme="majorHAnsi" w:hAnsiTheme="majorHAnsi" w:cstheme="majorHAnsi"/>
        </w:rPr>
      </w:pPr>
    </w:p>
    <w:p w14:paraId="2ECDF742" w14:textId="77777777" w:rsidR="00B90855" w:rsidRPr="00DE4CD2" w:rsidRDefault="00B90855" w:rsidP="00B90855">
      <w:pPr>
        <w:jc w:val="both"/>
        <w:rPr>
          <w:rFonts w:asciiTheme="majorHAnsi" w:hAnsiTheme="majorHAnsi" w:cstheme="majorHAnsi"/>
          <w:lang w:val="en-US"/>
        </w:rPr>
      </w:pPr>
      <w:r w:rsidRPr="00DE4CD2">
        <w:rPr>
          <w:rFonts w:asciiTheme="majorHAnsi" w:hAnsiTheme="majorHAnsi" w:cstheme="majorHAnsi"/>
          <w:lang w:val="en-US"/>
        </w:rPr>
        <w:t>The CWTS publication database provides a source to monitor and evaluate research and innovation. Achievements in the academic/ R&amp;D sector are usually published in journals and conference proceedings. In this way the results of public and private investment become public and can be used for building knowledge and further development. Contributions of actors (authors, organizations, countries, regions) can be monitored and assessed using this data in a responsible and appropriate way. Moreover, by using citations to these publications one may assess the (scientific) impact of research.</w:t>
      </w:r>
    </w:p>
    <w:p w14:paraId="2E935E38" w14:textId="77777777" w:rsidR="00B90855" w:rsidRPr="00DE4CD2" w:rsidRDefault="00B90855" w:rsidP="00B90855">
      <w:pPr>
        <w:jc w:val="both"/>
        <w:rPr>
          <w:rFonts w:asciiTheme="majorHAnsi" w:hAnsiTheme="majorHAnsi" w:cstheme="majorHAnsi"/>
          <w:lang w:val="en-US"/>
        </w:rPr>
      </w:pPr>
    </w:p>
    <w:p w14:paraId="66924982" w14:textId="77777777" w:rsidR="00B90855" w:rsidRPr="00DE4CD2" w:rsidRDefault="00B90855" w:rsidP="00B90855">
      <w:pPr>
        <w:jc w:val="both"/>
        <w:rPr>
          <w:rFonts w:asciiTheme="majorHAnsi" w:hAnsiTheme="majorHAnsi" w:cstheme="majorHAnsi"/>
          <w:lang w:val="en-US"/>
        </w:rPr>
      </w:pPr>
      <w:r w:rsidRPr="00DE4CD2">
        <w:rPr>
          <w:rFonts w:asciiTheme="majorHAnsi" w:hAnsiTheme="majorHAnsi" w:cstheme="majorHAnsi"/>
          <w:lang w:val="en-US"/>
        </w:rPr>
        <w:t xml:space="preserve">CWTS publications is a publication database based on a core collection of Web of Science. It is an enhanced version of Clarivate Analytics’ citation indexes: Web-of-Science version of the Science Citation Index, Social Science Citation Index, Arts &amp; Humanities Citation Index and Conference Proceedings Citation Index. A combination of smart computer algorithms and manual data cleaning ensures a better unification of the names and addresses of universities and other publishing organizations. Moreover, CWTS ensures better citation counts by taking great care in proper linking of the citing- and cited publications. CWTS is working continuously on expanding its data system with other major scientific databases, such as PATSTAT (patent analysis), </w:t>
      </w:r>
      <w:proofErr w:type="spellStart"/>
      <w:r w:rsidRPr="00DE4CD2">
        <w:rPr>
          <w:rFonts w:asciiTheme="majorHAnsi" w:hAnsiTheme="majorHAnsi" w:cstheme="majorHAnsi"/>
          <w:lang w:val="en-US"/>
        </w:rPr>
        <w:t>Unpaywall</w:t>
      </w:r>
      <w:proofErr w:type="spellEnd"/>
      <w:r w:rsidRPr="00DE4CD2">
        <w:rPr>
          <w:rFonts w:asciiTheme="majorHAnsi" w:hAnsiTheme="majorHAnsi" w:cstheme="majorHAnsi"/>
          <w:lang w:val="en-US"/>
        </w:rPr>
        <w:t xml:space="preserve"> (open access), Orbis (co-publications with industry) and </w:t>
      </w:r>
      <w:proofErr w:type="spellStart"/>
      <w:r w:rsidRPr="00DE4CD2">
        <w:rPr>
          <w:rFonts w:asciiTheme="majorHAnsi" w:hAnsiTheme="majorHAnsi" w:cstheme="majorHAnsi"/>
          <w:lang w:val="en-US"/>
        </w:rPr>
        <w:t>Crossref</w:t>
      </w:r>
      <w:proofErr w:type="spellEnd"/>
      <w:r w:rsidRPr="00DE4CD2">
        <w:rPr>
          <w:rFonts w:asciiTheme="majorHAnsi" w:hAnsiTheme="majorHAnsi" w:cstheme="majorHAnsi"/>
          <w:lang w:val="en-US"/>
        </w:rPr>
        <w:t xml:space="preserve"> Event Data (social media, blogs, newsfeeds etc.). This makes the connection with other RISIS data sources relatively easy.</w:t>
      </w:r>
    </w:p>
    <w:p w14:paraId="151ADECA" w14:textId="77777777" w:rsidR="00B90855" w:rsidRPr="00DE4CD2" w:rsidRDefault="00B90855" w:rsidP="00B90855">
      <w:pPr>
        <w:jc w:val="both"/>
        <w:rPr>
          <w:rFonts w:asciiTheme="majorHAnsi" w:hAnsiTheme="majorHAnsi" w:cstheme="majorHAnsi"/>
          <w:lang w:val="en-US"/>
        </w:rPr>
      </w:pPr>
    </w:p>
    <w:p w14:paraId="42E1A7B3" w14:textId="77777777" w:rsidR="00B90855" w:rsidRPr="00DE4CD2" w:rsidRDefault="00B90855" w:rsidP="00B90855">
      <w:pPr>
        <w:jc w:val="both"/>
        <w:rPr>
          <w:rFonts w:asciiTheme="majorHAnsi" w:hAnsiTheme="majorHAnsi" w:cstheme="majorHAnsi"/>
          <w:lang w:val="en-US"/>
        </w:rPr>
      </w:pPr>
      <w:r w:rsidRPr="00DE4CD2">
        <w:rPr>
          <w:rFonts w:asciiTheme="majorHAnsi" w:hAnsiTheme="majorHAnsi" w:cstheme="majorHAnsi"/>
          <w:lang w:val="en-US"/>
        </w:rPr>
        <w:lastRenderedPageBreak/>
        <w:t>Within the RISIS setting, the CWTS publications database  is enriched in 3 directions: actor harmonization (with a large effort worldwide, but also dealing in particular with ORGREG entities and with CIB entities); geocoding ang geolocation; thematic structuring (with the 4000 knowledge clusters that enable completely new ways to analyze science dynamics). The latter enables us to provide an advances and dynamic connection to Sustainable Development Goals (SDGs) and other political and mission oriented themes.</w:t>
      </w:r>
    </w:p>
    <w:p w14:paraId="41E09CDF" w14:textId="77777777" w:rsidR="00B90855" w:rsidRPr="00DE4CD2" w:rsidRDefault="00B90855" w:rsidP="00B90855">
      <w:pPr>
        <w:jc w:val="both"/>
        <w:rPr>
          <w:rFonts w:asciiTheme="majorHAnsi" w:hAnsiTheme="majorHAnsi" w:cstheme="majorHAnsi"/>
          <w:lang w:val="en-US"/>
        </w:rPr>
      </w:pPr>
    </w:p>
    <w:p w14:paraId="65EB6055" w14:textId="6EDA2594" w:rsidR="00B90855" w:rsidRPr="00DE4CD2" w:rsidRDefault="00B90855" w:rsidP="00B90855">
      <w:pPr>
        <w:jc w:val="both"/>
        <w:rPr>
          <w:rFonts w:asciiTheme="majorHAnsi" w:hAnsiTheme="majorHAnsi" w:cstheme="majorHAnsi"/>
          <w:lang w:val="en-US"/>
        </w:rPr>
      </w:pPr>
      <w:r w:rsidRPr="00DE4CD2">
        <w:rPr>
          <w:rFonts w:asciiTheme="majorHAnsi" w:hAnsiTheme="majorHAnsi" w:cstheme="majorHAnsi"/>
          <w:lang w:val="en-US"/>
        </w:rPr>
        <w:t xml:space="preserve">The DB is updated every year. This update is also the occasion to incorporate new developments (2019 has enables to fully link it to the ORGREG DB. CWTS produces the ‘Leiden ranking’ which compiles a set of indicators at the university level (over 1000 annually). This set has been augmented in the first RISIS period to cover all ORGREG entities (i.e. 2960 organizations). </w:t>
      </w:r>
    </w:p>
    <w:p w14:paraId="11DB82B6" w14:textId="77777777" w:rsidR="00B90855" w:rsidRPr="00DE4CD2" w:rsidRDefault="00B90855" w:rsidP="00B90855">
      <w:pPr>
        <w:jc w:val="both"/>
        <w:rPr>
          <w:rFonts w:asciiTheme="majorHAnsi" w:hAnsiTheme="majorHAnsi" w:cstheme="majorHAnsi"/>
          <w:lang w:val="en-US"/>
        </w:rPr>
      </w:pPr>
    </w:p>
    <w:p w14:paraId="2D322DD3" w14:textId="77777777" w:rsidR="00B90855" w:rsidRPr="00DE4CD2" w:rsidRDefault="00B90855" w:rsidP="00B90855">
      <w:pPr>
        <w:rPr>
          <w:rFonts w:asciiTheme="majorHAnsi" w:hAnsiTheme="majorHAnsi" w:cstheme="majorHAnsi"/>
          <w:b/>
          <w:bCs/>
          <w:i/>
          <w:iCs/>
        </w:rPr>
      </w:pPr>
      <w:r w:rsidRPr="00DE4CD2">
        <w:rPr>
          <w:rFonts w:asciiTheme="majorHAnsi" w:hAnsiTheme="majorHAnsi" w:cstheme="majorHAnsi"/>
          <w:b/>
          <w:bCs/>
          <w:i/>
          <w:iCs/>
        </w:rPr>
        <w:t>Main achievements</w:t>
      </w:r>
    </w:p>
    <w:p w14:paraId="7914C9D8" w14:textId="77777777" w:rsidR="00B90855" w:rsidRPr="00DE4CD2" w:rsidRDefault="00B90855" w:rsidP="00B90855">
      <w:pPr>
        <w:jc w:val="both"/>
        <w:rPr>
          <w:rFonts w:asciiTheme="majorHAnsi" w:hAnsiTheme="majorHAnsi" w:cstheme="majorHAnsi"/>
          <w:lang w:val="en-US"/>
        </w:rPr>
      </w:pPr>
    </w:p>
    <w:p w14:paraId="2D906DA3" w14:textId="1C2B9BC6" w:rsidR="00B90855" w:rsidRPr="00DE4CD2" w:rsidRDefault="00B90855" w:rsidP="00B90855">
      <w:pPr>
        <w:jc w:val="both"/>
        <w:rPr>
          <w:rFonts w:asciiTheme="majorHAnsi" w:hAnsiTheme="majorHAnsi" w:cstheme="majorHAnsi"/>
          <w:lang w:val="en-US"/>
        </w:rPr>
      </w:pPr>
      <w:r w:rsidRPr="00DE4CD2">
        <w:rPr>
          <w:rFonts w:asciiTheme="majorHAnsi" w:hAnsiTheme="majorHAnsi" w:cstheme="majorHAnsi"/>
          <w:lang w:val="en-US"/>
        </w:rPr>
        <w:t xml:space="preserve">CWTS publication database had a multi-year </w:t>
      </w:r>
      <w:proofErr w:type="spellStart"/>
      <w:r w:rsidRPr="00DE4CD2">
        <w:rPr>
          <w:rFonts w:asciiTheme="majorHAnsi" w:hAnsiTheme="majorHAnsi" w:cstheme="majorHAnsi"/>
          <w:lang w:val="en-US"/>
        </w:rPr>
        <w:t>programme</w:t>
      </w:r>
      <w:proofErr w:type="spellEnd"/>
      <w:r w:rsidRPr="00DE4CD2">
        <w:rPr>
          <w:rFonts w:asciiTheme="majorHAnsi" w:hAnsiTheme="majorHAnsi" w:cstheme="majorHAnsi"/>
          <w:lang w:val="en-US"/>
        </w:rPr>
        <w:t xml:space="preserve"> of incorporating new features. 4 main new developments have been integrated: (i) the bottom-up citation-based clustering of scientific activities is (around 4000 clusters) provides longitudinal analyses of science dynamics at all levels (in particular organizations); (ii) CWTS has developed indicators of open science which are incorporated into ORGREG. In a second step CWTS is engaging into new approaches to analyze the role and dynamics of open science, and for doing so has proposed to sub-contract efforts with the University of Bologna around the Open Citations Corpus (OCC, http://opencitations.net/corpus). (iii) A third development lies in the use of acknowledgements to better understand the role of funding organizations and project-based funding in the dynamics of knowledge production. (iv) CWTS has developed a new approach to analyze the role of science in society combining the publication DB with </w:t>
      </w:r>
      <w:proofErr w:type="spellStart"/>
      <w:r w:rsidRPr="00DE4CD2">
        <w:rPr>
          <w:rFonts w:asciiTheme="majorHAnsi" w:hAnsiTheme="majorHAnsi" w:cstheme="majorHAnsi"/>
          <w:lang w:val="en-US"/>
        </w:rPr>
        <w:t>Crossref</w:t>
      </w:r>
      <w:proofErr w:type="spellEnd"/>
      <w:r w:rsidRPr="00DE4CD2">
        <w:rPr>
          <w:rFonts w:asciiTheme="majorHAnsi" w:hAnsiTheme="majorHAnsi" w:cstheme="majorHAnsi"/>
          <w:lang w:val="en-US"/>
        </w:rPr>
        <w:t xml:space="preserve">-Event data (see 2020 paper on the ABC method). This is implemented to produce indicators at the organization level on request. Table 5 summarizes the main achievements enabled by RISIS in the advancement of the dataset. </w:t>
      </w:r>
    </w:p>
    <w:p w14:paraId="487453FC" w14:textId="31C6C702" w:rsidR="00B90855" w:rsidRPr="00DE4CD2" w:rsidRDefault="00B90855" w:rsidP="00B90855">
      <w:pPr>
        <w:jc w:val="both"/>
        <w:rPr>
          <w:rFonts w:asciiTheme="majorHAnsi" w:hAnsiTheme="majorHAnsi" w:cstheme="majorHAnsi"/>
          <w:lang w:val="en-US"/>
        </w:rPr>
      </w:pPr>
    </w:p>
    <w:p w14:paraId="325F4FC7" w14:textId="537E7C3F" w:rsidR="00B90855" w:rsidRPr="00DE4CD2" w:rsidRDefault="00B90855" w:rsidP="00B90855">
      <w:pPr>
        <w:pStyle w:val="Beschriftung"/>
        <w:keepNext/>
        <w:spacing w:after="120"/>
        <w:rPr>
          <w:rFonts w:asciiTheme="majorHAnsi" w:hAnsiTheme="majorHAnsi" w:cstheme="majorHAnsi"/>
          <w:color w:val="auto"/>
          <w:sz w:val="24"/>
          <w:szCs w:val="24"/>
        </w:rPr>
      </w:pPr>
      <w:r w:rsidRPr="00DE4CD2">
        <w:rPr>
          <w:rFonts w:asciiTheme="majorHAnsi" w:hAnsiTheme="majorHAnsi" w:cstheme="majorHAnsi"/>
          <w:color w:val="auto"/>
          <w:sz w:val="24"/>
          <w:szCs w:val="24"/>
        </w:rPr>
        <w:t xml:space="preserve">Table 5  Overview on achievements enabled by RISIS </w:t>
      </w:r>
    </w:p>
    <w:tbl>
      <w:tblPr>
        <w:tblStyle w:val="Tabellenraster"/>
        <w:tblW w:w="0" w:type="auto"/>
        <w:tblLook w:val="04A0" w:firstRow="1" w:lastRow="0" w:firstColumn="1" w:lastColumn="0" w:noHBand="0" w:noVBand="1"/>
      </w:tblPr>
      <w:tblGrid>
        <w:gridCol w:w="2965"/>
        <w:gridCol w:w="6657"/>
      </w:tblGrid>
      <w:tr w:rsidR="00FC3526" w:rsidRPr="00DE4CD2" w14:paraId="485FC632" w14:textId="77777777" w:rsidTr="00D41D63">
        <w:tc>
          <w:tcPr>
            <w:tcW w:w="2965" w:type="dxa"/>
          </w:tcPr>
          <w:p w14:paraId="39B1CE61" w14:textId="77777777" w:rsidR="00B90855" w:rsidRPr="00DE4CD2" w:rsidRDefault="00B90855" w:rsidP="00D41D63">
            <w:pPr>
              <w:pBdr>
                <w:top w:val="none" w:sz="0" w:space="0" w:color="auto"/>
                <w:left w:val="none" w:sz="0" w:space="0" w:color="auto"/>
                <w:bottom w:val="none" w:sz="0" w:space="0" w:color="auto"/>
                <w:right w:val="none" w:sz="0" w:space="0" w:color="auto"/>
                <w:between w:val="none" w:sz="0" w:space="0" w:color="auto"/>
              </w:pBdr>
              <w:rPr>
                <w:rFonts w:asciiTheme="majorHAnsi" w:hAnsiTheme="majorHAnsi" w:cstheme="majorHAnsi"/>
                <w:b/>
                <w:bCs/>
                <w:lang w:val="en-US"/>
              </w:rPr>
            </w:pPr>
            <w:r w:rsidRPr="00DE4CD2">
              <w:rPr>
                <w:rFonts w:asciiTheme="majorHAnsi" w:hAnsiTheme="majorHAnsi" w:cstheme="majorHAnsi"/>
                <w:b/>
                <w:bCs/>
                <w:lang w:val="en-US"/>
              </w:rPr>
              <w:t>Element</w:t>
            </w:r>
          </w:p>
        </w:tc>
        <w:tc>
          <w:tcPr>
            <w:tcW w:w="6657" w:type="dxa"/>
          </w:tcPr>
          <w:p w14:paraId="754738ED" w14:textId="77777777" w:rsidR="00B90855" w:rsidRPr="00DE4CD2" w:rsidRDefault="00B90855" w:rsidP="00D41D63">
            <w:pPr>
              <w:pBdr>
                <w:top w:val="none" w:sz="0" w:space="0" w:color="auto"/>
                <w:left w:val="none" w:sz="0" w:space="0" w:color="auto"/>
                <w:bottom w:val="none" w:sz="0" w:space="0" w:color="auto"/>
                <w:right w:val="none" w:sz="0" w:space="0" w:color="auto"/>
                <w:between w:val="none" w:sz="0" w:space="0" w:color="auto"/>
              </w:pBdr>
              <w:rPr>
                <w:rFonts w:asciiTheme="majorHAnsi" w:hAnsiTheme="majorHAnsi" w:cstheme="majorHAnsi"/>
                <w:b/>
                <w:bCs/>
                <w:lang w:val="en-US"/>
              </w:rPr>
            </w:pPr>
            <w:r w:rsidRPr="00DE4CD2">
              <w:rPr>
                <w:rFonts w:asciiTheme="majorHAnsi" w:hAnsiTheme="majorHAnsi" w:cstheme="majorHAnsi"/>
                <w:b/>
                <w:bCs/>
                <w:lang w:val="en-US"/>
              </w:rPr>
              <w:t>Description</w:t>
            </w:r>
          </w:p>
        </w:tc>
      </w:tr>
      <w:tr w:rsidR="00FC3526" w:rsidRPr="00DE4CD2" w14:paraId="06AF454B" w14:textId="77777777" w:rsidTr="00D41D63">
        <w:tc>
          <w:tcPr>
            <w:tcW w:w="2965" w:type="dxa"/>
          </w:tcPr>
          <w:p w14:paraId="1D434DCC" w14:textId="77777777" w:rsidR="00B90855" w:rsidRPr="00DE4CD2" w:rsidRDefault="00B90855" w:rsidP="00D41D63">
            <w:pPr>
              <w:pBdr>
                <w:top w:val="none" w:sz="0" w:space="0" w:color="auto"/>
                <w:left w:val="none" w:sz="0" w:space="0" w:color="auto"/>
                <w:bottom w:val="none" w:sz="0" w:space="0" w:color="auto"/>
                <w:right w:val="none" w:sz="0" w:space="0" w:color="auto"/>
                <w:between w:val="none" w:sz="0" w:space="0" w:color="auto"/>
              </w:pBdr>
              <w:rPr>
                <w:rFonts w:asciiTheme="majorHAnsi" w:hAnsiTheme="majorHAnsi" w:cstheme="majorHAnsi"/>
                <w:lang w:val="en-US"/>
              </w:rPr>
            </w:pPr>
            <w:r w:rsidRPr="00DE4CD2">
              <w:rPr>
                <w:rFonts w:asciiTheme="majorHAnsi" w:hAnsiTheme="majorHAnsi" w:cstheme="majorHAnsi"/>
                <w:lang w:val="en-US"/>
              </w:rPr>
              <w:t>Persistent Identifiers</w:t>
            </w:r>
          </w:p>
        </w:tc>
        <w:tc>
          <w:tcPr>
            <w:tcW w:w="6657" w:type="dxa"/>
          </w:tcPr>
          <w:p w14:paraId="3A0C5896" w14:textId="77777777" w:rsidR="00B90855" w:rsidRPr="00DE4CD2" w:rsidRDefault="00B90855" w:rsidP="00D41D63">
            <w:pPr>
              <w:pBdr>
                <w:top w:val="none" w:sz="0" w:space="0" w:color="auto"/>
                <w:left w:val="none" w:sz="0" w:space="0" w:color="auto"/>
                <w:bottom w:val="none" w:sz="0" w:space="0" w:color="auto"/>
                <w:right w:val="none" w:sz="0" w:space="0" w:color="auto"/>
                <w:between w:val="none" w:sz="0" w:space="0" w:color="auto"/>
              </w:pBdr>
              <w:rPr>
                <w:rFonts w:asciiTheme="majorHAnsi" w:hAnsiTheme="majorHAnsi" w:cstheme="majorHAnsi"/>
                <w:lang w:val="en-US"/>
              </w:rPr>
            </w:pPr>
            <w:r w:rsidRPr="00DE4CD2">
              <w:rPr>
                <w:rFonts w:asciiTheme="majorHAnsi" w:hAnsiTheme="majorHAnsi" w:cstheme="majorHAnsi"/>
                <w:lang w:val="en-US"/>
              </w:rPr>
              <w:t xml:space="preserve">As many as possible author affiliations in publications were cleaned (identification of variants) and harmonized under a top level (main) organization (deposited in </w:t>
            </w:r>
            <w:proofErr w:type="spellStart"/>
            <w:r w:rsidRPr="00DE4CD2">
              <w:rPr>
                <w:rFonts w:asciiTheme="majorHAnsi" w:hAnsiTheme="majorHAnsi" w:cstheme="majorHAnsi"/>
                <w:lang w:val="en-US"/>
              </w:rPr>
              <w:t>OrgReg</w:t>
            </w:r>
            <w:proofErr w:type="spellEnd"/>
            <w:r w:rsidRPr="00DE4CD2">
              <w:rPr>
                <w:rFonts w:asciiTheme="majorHAnsi" w:hAnsiTheme="majorHAnsi" w:cstheme="majorHAnsi"/>
                <w:lang w:val="en-US"/>
              </w:rPr>
              <w:t>)</w:t>
            </w:r>
          </w:p>
        </w:tc>
      </w:tr>
      <w:tr w:rsidR="00FC3526" w:rsidRPr="00DE4CD2" w14:paraId="1B45AE34" w14:textId="77777777" w:rsidTr="00D41D63">
        <w:tc>
          <w:tcPr>
            <w:tcW w:w="2965" w:type="dxa"/>
          </w:tcPr>
          <w:p w14:paraId="0D01F6B6" w14:textId="77777777" w:rsidR="00B90855" w:rsidRPr="00DE4CD2" w:rsidRDefault="00B90855" w:rsidP="00D41D63">
            <w:pPr>
              <w:pBdr>
                <w:top w:val="none" w:sz="0" w:space="0" w:color="auto"/>
                <w:left w:val="none" w:sz="0" w:space="0" w:color="auto"/>
                <w:bottom w:val="none" w:sz="0" w:space="0" w:color="auto"/>
                <w:right w:val="none" w:sz="0" w:space="0" w:color="auto"/>
                <w:between w:val="none" w:sz="0" w:space="0" w:color="auto"/>
              </w:pBdr>
              <w:rPr>
                <w:rFonts w:asciiTheme="majorHAnsi" w:hAnsiTheme="majorHAnsi" w:cstheme="majorHAnsi"/>
                <w:lang w:val="en-US"/>
              </w:rPr>
            </w:pPr>
            <w:r w:rsidRPr="00DE4CD2">
              <w:rPr>
                <w:rFonts w:asciiTheme="majorHAnsi" w:hAnsiTheme="majorHAnsi" w:cstheme="majorHAnsi"/>
                <w:lang w:val="en-US"/>
              </w:rPr>
              <w:t>Affiliation geocoded</w:t>
            </w:r>
          </w:p>
        </w:tc>
        <w:tc>
          <w:tcPr>
            <w:tcW w:w="6657" w:type="dxa"/>
          </w:tcPr>
          <w:p w14:paraId="1F625AE4" w14:textId="77777777" w:rsidR="00B90855" w:rsidRPr="00DE4CD2" w:rsidRDefault="00B90855" w:rsidP="00D41D63">
            <w:pPr>
              <w:pBdr>
                <w:top w:val="none" w:sz="0" w:space="0" w:color="auto"/>
                <w:left w:val="none" w:sz="0" w:space="0" w:color="auto"/>
                <w:bottom w:val="none" w:sz="0" w:space="0" w:color="auto"/>
                <w:right w:val="none" w:sz="0" w:space="0" w:color="auto"/>
                <w:between w:val="none" w:sz="0" w:space="0" w:color="auto"/>
              </w:pBdr>
              <w:rPr>
                <w:rFonts w:asciiTheme="majorHAnsi" w:hAnsiTheme="majorHAnsi" w:cstheme="majorHAnsi"/>
                <w:lang w:val="en-US"/>
              </w:rPr>
            </w:pPr>
            <w:r w:rsidRPr="00DE4CD2">
              <w:rPr>
                <w:rFonts w:asciiTheme="majorHAnsi" w:hAnsiTheme="majorHAnsi" w:cstheme="majorHAnsi"/>
                <w:lang w:val="en-US"/>
              </w:rPr>
              <w:t>All author affiliation with sufficient information available were provided with longitude and latitude to position them geographically at publication level. Thus department or other subsidiary part of an organization are geocoded, independent of the main address of the main organization itself.</w:t>
            </w:r>
          </w:p>
        </w:tc>
      </w:tr>
      <w:tr w:rsidR="00FC3526" w:rsidRPr="00DE4CD2" w14:paraId="7380FE06" w14:textId="77777777" w:rsidTr="00D41D63">
        <w:tc>
          <w:tcPr>
            <w:tcW w:w="2965" w:type="dxa"/>
          </w:tcPr>
          <w:p w14:paraId="5B38BE68" w14:textId="77777777" w:rsidR="00B90855" w:rsidRPr="00DE4CD2" w:rsidRDefault="00B90855" w:rsidP="00D41D63">
            <w:pPr>
              <w:pBdr>
                <w:top w:val="none" w:sz="0" w:space="0" w:color="auto"/>
                <w:left w:val="none" w:sz="0" w:space="0" w:color="auto"/>
                <w:bottom w:val="none" w:sz="0" w:space="0" w:color="auto"/>
                <w:right w:val="none" w:sz="0" w:space="0" w:color="auto"/>
                <w:between w:val="none" w:sz="0" w:space="0" w:color="auto"/>
              </w:pBdr>
              <w:rPr>
                <w:rFonts w:asciiTheme="majorHAnsi" w:hAnsiTheme="majorHAnsi" w:cstheme="majorHAnsi"/>
                <w:lang w:val="en-US"/>
              </w:rPr>
            </w:pPr>
            <w:r w:rsidRPr="00DE4CD2">
              <w:rPr>
                <w:rFonts w:asciiTheme="majorHAnsi" w:hAnsiTheme="majorHAnsi" w:cstheme="majorHAnsi"/>
                <w:lang w:val="en-US"/>
              </w:rPr>
              <w:t>Publication level classification</w:t>
            </w:r>
          </w:p>
        </w:tc>
        <w:tc>
          <w:tcPr>
            <w:tcW w:w="6657" w:type="dxa"/>
          </w:tcPr>
          <w:p w14:paraId="2AED7A7E" w14:textId="77777777" w:rsidR="00B90855" w:rsidRPr="00DE4CD2" w:rsidRDefault="00B90855" w:rsidP="00D41D63">
            <w:pPr>
              <w:pBdr>
                <w:top w:val="none" w:sz="0" w:space="0" w:color="auto"/>
                <w:left w:val="none" w:sz="0" w:space="0" w:color="auto"/>
                <w:bottom w:val="none" w:sz="0" w:space="0" w:color="auto"/>
                <w:right w:val="none" w:sz="0" w:space="0" w:color="auto"/>
                <w:between w:val="none" w:sz="0" w:space="0" w:color="auto"/>
              </w:pBdr>
              <w:rPr>
                <w:rFonts w:asciiTheme="majorHAnsi" w:hAnsiTheme="majorHAnsi" w:cstheme="majorHAnsi"/>
                <w:lang w:val="en-US"/>
              </w:rPr>
            </w:pPr>
            <w:r w:rsidRPr="00DE4CD2">
              <w:rPr>
                <w:rFonts w:asciiTheme="majorHAnsi" w:hAnsiTheme="majorHAnsi" w:cstheme="majorHAnsi"/>
                <w:lang w:val="en-US"/>
              </w:rPr>
              <w:t>All publications (2000- onwards) with at least one incoming or outgoing citation were clustered into groups on the basis of direct citations between individual publications, to represent research areas, independent from the journals in which they were published.</w:t>
            </w:r>
          </w:p>
        </w:tc>
      </w:tr>
      <w:tr w:rsidR="00FC3526" w:rsidRPr="00DE4CD2" w14:paraId="50C0BD3B" w14:textId="77777777" w:rsidTr="00D41D63">
        <w:tc>
          <w:tcPr>
            <w:tcW w:w="2965" w:type="dxa"/>
          </w:tcPr>
          <w:p w14:paraId="369E2C9C" w14:textId="77777777" w:rsidR="00B90855" w:rsidRPr="00DE4CD2" w:rsidRDefault="00B90855" w:rsidP="00D41D63">
            <w:pPr>
              <w:pBdr>
                <w:top w:val="none" w:sz="0" w:space="0" w:color="auto"/>
                <w:left w:val="none" w:sz="0" w:space="0" w:color="auto"/>
                <w:bottom w:val="none" w:sz="0" w:space="0" w:color="auto"/>
                <w:right w:val="none" w:sz="0" w:space="0" w:color="auto"/>
                <w:between w:val="none" w:sz="0" w:space="0" w:color="auto"/>
              </w:pBdr>
              <w:rPr>
                <w:rFonts w:asciiTheme="majorHAnsi" w:hAnsiTheme="majorHAnsi" w:cstheme="majorHAnsi"/>
                <w:lang w:val="en-US"/>
              </w:rPr>
            </w:pPr>
            <w:r w:rsidRPr="00DE4CD2">
              <w:rPr>
                <w:rFonts w:asciiTheme="majorHAnsi" w:hAnsiTheme="majorHAnsi" w:cstheme="majorHAnsi"/>
                <w:lang w:val="en-US"/>
              </w:rPr>
              <w:t>Link to the KET-SDG ontology</w:t>
            </w:r>
          </w:p>
        </w:tc>
        <w:tc>
          <w:tcPr>
            <w:tcW w:w="6657" w:type="dxa"/>
          </w:tcPr>
          <w:p w14:paraId="6D221D08" w14:textId="77777777" w:rsidR="00B90855" w:rsidRPr="00DE4CD2" w:rsidRDefault="00B90855" w:rsidP="00D41D63">
            <w:pPr>
              <w:pBdr>
                <w:top w:val="none" w:sz="0" w:space="0" w:color="auto"/>
                <w:left w:val="none" w:sz="0" w:space="0" w:color="auto"/>
                <w:bottom w:val="none" w:sz="0" w:space="0" w:color="auto"/>
                <w:right w:val="none" w:sz="0" w:space="0" w:color="auto"/>
                <w:between w:val="none" w:sz="0" w:space="0" w:color="auto"/>
              </w:pBdr>
              <w:rPr>
                <w:rFonts w:asciiTheme="majorHAnsi" w:hAnsiTheme="majorHAnsi" w:cstheme="majorHAnsi"/>
                <w:lang w:val="en-US"/>
              </w:rPr>
            </w:pPr>
            <w:r w:rsidRPr="00DE4CD2">
              <w:rPr>
                <w:rFonts w:asciiTheme="majorHAnsi" w:hAnsiTheme="majorHAnsi" w:cstheme="majorHAnsi"/>
                <w:lang w:val="en-US"/>
              </w:rPr>
              <w:t>Around 4000 Clusters (areas) were linked to the ontology to define strength of relationship between a cluster and an SDG, KET or ontology subclass.</w:t>
            </w:r>
          </w:p>
        </w:tc>
      </w:tr>
      <w:tr w:rsidR="00880919" w:rsidRPr="00DE4CD2" w14:paraId="66004EF8" w14:textId="77777777" w:rsidTr="00D41D63">
        <w:tc>
          <w:tcPr>
            <w:tcW w:w="2965" w:type="dxa"/>
          </w:tcPr>
          <w:p w14:paraId="0D286E0F" w14:textId="77777777" w:rsidR="00B90855" w:rsidRPr="00DE4CD2" w:rsidRDefault="00B90855" w:rsidP="00D41D63">
            <w:pPr>
              <w:pBdr>
                <w:top w:val="none" w:sz="0" w:space="0" w:color="auto"/>
                <w:left w:val="none" w:sz="0" w:space="0" w:color="auto"/>
                <w:bottom w:val="none" w:sz="0" w:space="0" w:color="auto"/>
                <w:right w:val="none" w:sz="0" w:space="0" w:color="auto"/>
                <w:between w:val="none" w:sz="0" w:space="0" w:color="auto"/>
              </w:pBdr>
              <w:rPr>
                <w:rFonts w:asciiTheme="majorHAnsi" w:hAnsiTheme="majorHAnsi" w:cstheme="majorHAnsi"/>
                <w:lang w:val="en-US"/>
              </w:rPr>
            </w:pPr>
            <w:r w:rsidRPr="00DE4CD2">
              <w:rPr>
                <w:rFonts w:asciiTheme="majorHAnsi" w:hAnsiTheme="majorHAnsi" w:cstheme="majorHAnsi"/>
                <w:lang w:val="en-US"/>
              </w:rPr>
              <w:t>Additional information for individual publications</w:t>
            </w:r>
          </w:p>
        </w:tc>
        <w:tc>
          <w:tcPr>
            <w:tcW w:w="6657" w:type="dxa"/>
          </w:tcPr>
          <w:p w14:paraId="6312DEF5" w14:textId="77777777" w:rsidR="00B90855" w:rsidRPr="00DE4CD2" w:rsidRDefault="00B90855" w:rsidP="00D41D63">
            <w:pPr>
              <w:pBdr>
                <w:top w:val="none" w:sz="0" w:space="0" w:color="auto"/>
                <w:left w:val="none" w:sz="0" w:space="0" w:color="auto"/>
                <w:bottom w:val="none" w:sz="0" w:space="0" w:color="auto"/>
                <w:right w:val="none" w:sz="0" w:space="0" w:color="auto"/>
                <w:between w:val="none" w:sz="0" w:space="0" w:color="auto"/>
              </w:pBdr>
              <w:rPr>
                <w:rFonts w:asciiTheme="majorHAnsi" w:hAnsiTheme="majorHAnsi" w:cstheme="majorHAnsi"/>
                <w:lang w:val="en-US"/>
              </w:rPr>
            </w:pPr>
            <w:r w:rsidRPr="00DE4CD2">
              <w:rPr>
                <w:rFonts w:asciiTheme="majorHAnsi" w:hAnsiTheme="majorHAnsi" w:cstheme="majorHAnsi"/>
                <w:lang w:val="en-US"/>
              </w:rPr>
              <w:t>Open Access y/n, mentioned on twitter y/n, national or international co-authorship y/n, co-authorship with industry y/n, publication in English y/n</w:t>
            </w:r>
          </w:p>
        </w:tc>
      </w:tr>
    </w:tbl>
    <w:p w14:paraId="34E26480" w14:textId="77777777" w:rsidR="00B90855" w:rsidRPr="00DE4CD2" w:rsidRDefault="00B90855" w:rsidP="00B90855">
      <w:pPr>
        <w:rPr>
          <w:rFonts w:asciiTheme="majorHAnsi" w:hAnsiTheme="majorHAnsi" w:cstheme="majorHAnsi"/>
          <w:lang w:val="en-US"/>
        </w:rPr>
      </w:pPr>
    </w:p>
    <w:p w14:paraId="6C364542" w14:textId="701BFB9F" w:rsidR="00B90855" w:rsidRPr="00DE4CD2" w:rsidRDefault="00B90855" w:rsidP="008672BE">
      <w:pPr>
        <w:jc w:val="both"/>
        <w:rPr>
          <w:rFonts w:asciiTheme="majorHAnsi" w:hAnsiTheme="majorHAnsi" w:cstheme="majorHAnsi"/>
          <w:lang w:val="en-US"/>
        </w:rPr>
      </w:pPr>
      <w:r w:rsidRPr="00DE4CD2">
        <w:rPr>
          <w:rFonts w:asciiTheme="majorHAnsi" w:hAnsiTheme="majorHAnsi" w:cstheme="majorHAnsi"/>
          <w:lang w:val="en-US"/>
        </w:rPr>
        <w:t>The characteristics of clusters of publications, rather than the characteristics of individual publications provides a variety of analyses related to, for instance, the connectedness to societal aspects. The Area Based Connectedness (ABC) method in which each cluster is colored on a certain dimension of connectedness to indicate potential societal relevance. For instance, a large share of publications in a cluster with industry co-authors, indicates relatedness to innovation or potential application.</w:t>
      </w:r>
    </w:p>
    <w:p w14:paraId="47E5C086" w14:textId="6F0EC696" w:rsidR="00B90855" w:rsidRPr="00DE4CD2" w:rsidRDefault="00B90855" w:rsidP="00B90855">
      <w:pPr>
        <w:rPr>
          <w:rFonts w:asciiTheme="majorHAnsi" w:hAnsiTheme="majorHAnsi" w:cstheme="majorHAnsi"/>
          <w:lang w:val="en-US"/>
        </w:rPr>
      </w:pPr>
    </w:p>
    <w:p w14:paraId="59E0E202" w14:textId="77777777" w:rsidR="00B90855" w:rsidRPr="00DE4CD2" w:rsidRDefault="00B90855" w:rsidP="00B90855">
      <w:pPr>
        <w:jc w:val="both"/>
        <w:rPr>
          <w:rFonts w:asciiTheme="majorHAnsi" w:hAnsiTheme="majorHAnsi" w:cstheme="majorHAnsi"/>
          <w:b/>
          <w:bCs/>
          <w:i/>
          <w:iCs/>
        </w:rPr>
      </w:pPr>
      <w:r w:rsidRPr="00DE4CD2">
        <w:rPr>
          <w:rFonts w:asciiTheme="majorHAnsi" w:hAnsiTheme="majorHAnsi" w:cstheme="majorHAnsi"/>
          <w:b/>
          <w:bCs/>
          <w:i/>
          <w:iCs/>
        </w:rPr>
        <w:t>Description of use</w:t>
      </w:r>
    </w:p>
    <w:p w14:paraId="234B42AA" w14:textId="77777777" w:rsidR="00B90855" w:rsidRPr="00DE4CD2" w:rsidRDefault="00B90855" w:rsidP="008672BE">
      <w:pPr>
        <w:jc w:val="both"/>
        <w:rPr>
          <w:rFonts w:asciiTheme="majorHAnsi" w:hAnsiTheme="majorHAnsi" w:cstheme="majorHAnsi"/>
        </w:rPr>
      </w:pPr>
      <w:r w:rsidRPr="00DE4CD2">
        <w:rPr>
          <w:rFonts w:asciiTheme="majorHAnsi" w:hAnsiTheme="majorHAnsi" w:cstheme="majorHAnsi"/>
        </w:rPr>
        <w:t xml:space="preserve">Due to restriction the license CWTS has with the WOS data producer, Clarivate, remote access to the CWTS publication database is not possible at the level of micro data (the individual publications). This has led to complications with the handling of requests. Still a substantial number of requests were filed and processed. In most cases we could manage by sharing aggregate data with users. On the positive side, analyses could be executed by an experienced analyst at CWTS. On the  negative side, this required a substantial effort of CWTS staff members, which meant that sometimes, the user had to wait a while before the results could be shared and discussed. Moreover, users were not able to execute the analysis themselves. In the future, we will most likely be able to more open sources (e.g., </w:t>
      </w:r>
      <w:proofErr w:type="spellStart"/>
      <w:r w:rsidRPr="00DE4CD2">
        <w:rPr>
          <w:rFonts w:asciiTheme="majorHAnsi" w:hAnsiTheme="majorHAnsi" w:cstheme="majorHAnsi"/>
        </w:rPr>
        <w:t>OpenAlex</w:t>
      </w:r>
      <w:proofErr w:type="spellEnd"/>
      <w:r w:rsidRPr="00DE4CD2">
        <w:rPr>
          <w:rFonts w:asciiTheme="majorHAnsi" w:hAnsiTheme="majorHAnsi" w:cstheme="majorHAnsi"/>
        </w:rPr>
        <w:t xml:space="preserve">). This data source is not (yet) in the same qualitative state as CWTS </w:t>
      </w:r>
      <w:proofErr w:type="spellStart"/>
      <w:r w:rsidRPr="00DE4CD2">
        <w:rPr>
          <w:rFonts w:asciiTheme="majorHAnsi" w:hAnsiTheme="majorHAnsi" w:cstheme="majorHAnsi"/>
        </w:rPr>
        <w:t>WoS</w:t>
      </w:r>
      <w:proofErr w:type="spellEnd"/>
      <w:r w:rsidRPr="00DE4CD2">
        <w:rPr>
          <w:rFonts w:asciiTheme="majorHAnsi" w:hAnsiTheme="majorHAnsi" w:cstheme="majorHAnsi"/>
        </w:rPr>
        <w:t xml:space="preserve"> database to be used in a reliable way for RISIS requests. CWTS is currently working on this alternative. Early 2024 a first proof of concept will become available via the Leiden Ranking open edition in which all indicators from the Leiden Ranking will be available, together with all underlying micro data.</w:t>
      </w:r>
    </w:p>
    <w:p w14:paraId="06B6900B" w14:textId="24C09744" w:rsidR="00B90855" w:rsidRPr="00DE4CD2" w:rsidRDefault="00B90855" w:rsidP="00B90855">
      <w:pPr>
        <w:rPr>
          <w:rFonts w:asciiTheme="majorHAnsi" w:hAnsiTheme="majorHAnsi" w:cstheme="majorHAnsi"/>
        </w:rPr>
      </w:pPr>
    </w:p>
    <w:p w14:paraId="2B77E0A9" w14:textId="6CD30388" w:rsidR="00B90855" w:rsidRPr="00DE4CD2" w:rsidRDefault="00B90855" w:rsidP="00B90855">
      <w:pPr>
        <w:pStyle w:val="Beschriftung"/>
        <w:rPr>
          <w:rFonts w:asciiTheme="majorHAnsi" w:eastAsiaTheme="minorHAnsi" w:hAnsiTheme="majorHAnsi" w:cstheme="majorHAnsi"/>
          <w:color w:val="auto"/>
          <w:sz w:val="24"/>
          <w:szCs w:val="24"/>
          <w:lang w:val="en-US" w:eastAsia="en-US"/>
        </w:rPr>
      </w:pPr>
      <w:r w:rsidRPr="00DE4CD2">
        <w:rPr>
          <w:rFonts w:asciiTheme="majorHAnsi" w:eastAsiaTheme="minorHAnsi" w:hAnsiTheme="majorHAnsi" w:cstheme="majorHAnsi"/>
          <w:color w:val="auto"/>
          <w:sz w:val="24"/>
          <w:szCs w:val="24"/>
          <w:lang w:val="en-US" w:eastAsia="en-US"/>
        </w:rPr>
        <w:t>Figure 5: Network of terms co-occurring in titles, objectives and summaries of requests for access to CWTS publication dataset (2019-2023)</w:t>
      </w:r>
      <w:r w:rsidRPr="00DE4CD2">
        <w:rPr>
          <w:rFonts w:asciiTheme="majorHAnsi" w:eastAsiaTheme="minorHAnsi" w:hAnsiTheme="majorHAnsi" w:cstheme="majorHAnsi"/>
          <w:noProof/>
          <w:color w:val="auto"/>
          <w:sz w:val="24"/>
          <w:szCs w:val="24"/>
          <w:lang w:val="en-US" w:eastAsia="en-US"/>
        </w:rPr>
        <w:drawing>
          <wp:inline distT="0" distB="0" distL="0" distR="0" wp14:anchorId="6C2E889F" wp14:editId="050626AC">
            <wp:extent cx="6487348" cy="3663950"/>
            <wp:effectExtent l="0" t="0" r="8890" b="0"/>
            <wp:docPr id="1296601537" name="Picture 1" descr="A network of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601537" name="Picture 1" descr="A network of colored lines&#10;&#10;Description automatically generated with medium confidence"/>
                    <pic:cNvPicPr/>
                  </pic:nvPicPr>
                  <pic:blipFill rotWithShape="1">
                    <a:blip r:embed="rId17"/>
                    <a:srcRect b="7088"/>
                    <a:stretch/>
                  </pic:blipFill>
                  <pic:spPr bwMode="auto">
                    <a:xfrm>
                      <a:off x="0" y="0"/>
                      <a:ext cx="6498677" cy="3670349"/>
                    </a:xfrm>
                    <a:prstGeom prst="rect">
                      <a:avLst/>
                    </a:prstGeom>
                    <a:ln>
                      <a:noFill/>
                    </a:ln>
                    <a:extLst>
                      <a:ext uri="{53640926-AAD7-44D8-BBD7-CCE9431645EC}">
                        <a14:shadowObscured xmlns:a14="http://schemas.microsoft.com/office/drawing/2010/main"/>
                      </a:ext>
                    </a:extLst>
                  </pic:spPr>
                </pic:pic>
              </a:graphicData>
            </a:graphic>
          </wp:inline>
        </w:drawing>
      </w:r>
    </w:p>
    <w:p w14:paraId="3BA4F6A8" w14:textId="41C2E282" w:rsidR="00B90855" w:rsidRPr="00DE4CD2" w:rsidRDefault="00B90855" w:rsidP="008672BE">
      <w:pPr>
        <w:jc w:val="both"/>
        <w:rPr>
          <w:rFonts w:asciiTheme="majorHAnsi" w:hAnsiTheme="majorHAnsi" w:cstheme="majorHAnsi"/>
        </w:rPr>
      </w:pPr>
      <w:r w:rsidRPr="00DE4CD2">
        <w:rPr>
          <w:rFonts w:asciiTheme="majorHAnsi" w:hAnsiTheme="majorHAnsi" w:cstheme="majorHAnsi"/>
        </w:rPr>
        <w:lastRenderedPageBreak/>
        <w:t>In the network illustrated in figure 5, we present the main topics of 50 access requests processed at CWTS. The network shows three main clusters of terms, reflecting the areas of innovation (green), collaboration networks (blue) and the European Higher Education system (red). This overall structure reflects the thematic overview of the dataset use.</w:t>
      </w:r>
    </w:p>
    <w:p w14:paraId="63F5EA68" w14:textId="77777777" w:rsidR="00B90855" w:rsidRPr="00DE4CD2" w:rsidRDefault="00B90855" w:rsidP="00B90855">
      <w:pPr>
        <w:rPr>
          <w:rFonts w:asciiTheme="majorHAnsi" w:hAnsiTheme="majorHAnsi" w:cstheme="majorHAnsi"/>
        </w:rPr>
      </w:pPr>
    </w:p>
    <w:p w14:paraId="70E62F28" w14:textId="61361397" w:rsidR="00FF0B92" w:rsidRPr="00DE4CD2" w:rsidRDefault="00FF0B92" w:rsidP="00FF0B92">
      <w:pPr>
        <w:pStyle w:val="berschrift3"/>
        <w:rPr>
          <w:rFonts w:asciiTheme="majorHAnsi" w:hAnsiTheme="majorHAnsi" w:cstheme="majorHAnsi"/>
          <w:color w:val="auto"/>
        </w:rPr>
      </w:pPr>
      <w:bookmarkStart w:id="6" w:name="_Toc153536123"/>
      <w:r w:rsidRPr="00DE4CD2">
        <w:rPr>
          <w:rFonts w:asciiTheme="majorHAnsi" w:hAnsiTheme="majorHAnsi" w:cstheme="majorHAnsi"/>
          <w:color w:val="auto"/>
        </w:rPr>
        <w:t>RISIS-Patent</w:t>
      </w:r>
      <w:bookmarkEnd w:id="6"/>
    </w:p>
    <w:p w14:paraId="729A68F6" w14:textId="2D4F902D" w:rsidR="004A00EB" w:rsidRPr="00DE4CD2" w:rsidRDefault="004A00EB" w:rsidP="004A00EB">
      <w:pPr>
        <w:rPr>
          <w:rFonts w:asciiTheme="majorHAnsi" w:hAnsiTheme="majorHAnsi" w:cstheme="majorHAnsi"/>
        </w:rPr>
      </w:pPr>
    </w:p>
    <w:p w14:paraId="364D58DB" w14:textId="77777777" w:rsidR="000E4EBC" w:rsidRPr="00DE4CD2" w:rsidRDefault="000E4EBC" w:rsidP="000E4EBC">
      <w:pPr>
        <w:rPr>
          <w:rFonts w:asciiTheme="majorHAnsi" w:hAnsiTheme="majorHAnsi" w:cstheme="majorHAnsi"/>
          <w:b/>
          <w:bCs/>
          <w:i/>
          <w:iCs/>
        </w:rPr>
      </w:pPr>
      <w:r w:rsidRPr="00DE4CD2">
        <w:rPr>
          <w:rFonts w:asciiTheme="majorHAnsi" w:hAnsiTheme="majorHAnsi" w:cstheme="majorHAnsi"/>
          <w:b/>
          <w:bCs/>
          <w:i/>
          <w:iCs/>
        </w:rPr>
        <w:t xml:space="preserve">Present State and value added </w:t>
      </w:r>
    </w:p>
    <w:p w14:paraId="5056AA4A" w14:textId="77777777" w:rsidR="000E4EBC" w:rsidRPr="00DE4CD2" w:rsidRDefault="000E4EBC" w:rsidP="000E4EBC">
      <w:pPr>
        <w:jc w:val="both"/>
        <w:rPr>
          <w:rFonts w:asciiTheme="majorHAnsi" w:hAnsiTheme="majorHAnsi" w:cstheme="majorHAnsi"/>
        </w:rPr>
      </w:pPr>
      <w:r w:rsidRPr="00DE4CD2">
        <w:rPr>
          <w:rFonts w:asciiTheme="majorHAnsi" w:hAnsiTheme="majorHAnsi" w:cstheme="majorHAnsi"/>
        </w:rPr>
        <w:t>The RISIS Patent database derives from the EPO PATSTAT. The database is designed for the analysis of technological knowledge creation, using patent as a proxy. It focuses on ‘priority patents’ that represent the creation of new knowledge, while other non-priority patents describe either technical ameliorations or market extensions and are mobilised as indicators of the importance of the priority patent. Raw data treatments (data harmonisation, filling of missing values, processing of various additional information) enable to propose a set of (macro to micro level) variables to characterise the patents according to several dimensions (time, actor of invention, geography, technology and patent value).</w:t>
      </w:r>
    </w:p>
    <w:p w14:paraId="27CFC5D5" w14:textId="77777777" w:rsidR="000E4EBC" w:rsidRPr="00DE4CD2" w:rsidRDefault="000E4EBC" w:rsidP="000E4EBC">
      <w:pPr>
        <w:jc w:val="both"/>
        <w:rPr>
          <w:rFonts w:asciiTheme="majorHAnsi" w:hAnsiTheme="majorHAnsi" w:cstheme="majorHAnsi"/>
        </w:rPr>
      </w:pPr>
    </w:p>
    <w:p w14:paraId="68E533E6" w14:textId="77777777" w:rsidR="000E4EBC" w:rsidRPr="00DE4CD2" w:rsidRDefault="000E4EBC" w:rsidP="000E4EBC">
      <w:pPr>
        <w:jc w:val="both"/>
        <w:rPr>
          <w:rFonts w:asciiTheme="majorHAnsi" w:hAnsiTheme="majorHAnsi" w:cstheme="majorHAnsi"/>
          <w:lang w:val="en-US"/>
        </w:rPr>
      </w:pPr>
      <w:r w:rsidRPr="00DE4CD2">
        <w:rPr>
          <w:rFonts w:asciiTheme="majorHAnsi" w:hAnsiTheme="majorHAnsi" w:cstheme="majorHAnsi"/>
        </w:rPr>
        <w:t xml:space="preserve">The current update of the RISIS Patent Database (RPD21) relies on </w:t>
      </w:r>
      <w:r w:rsidRPr="00DE4CD2">
        <w:rPr>
          <w:rFonts w:asciiTheme="majorHAnsi" w:hAnsiTheme="majorHAnsi" w:cstheme="majorHAnsi"/>
          <w:lang w:val="en-US"/>
        </w:rPr>
        <w:t xml:space="preserve">the PATSTAT 2021 Edition April as a source. The coverage of the database is 2000-2019 (application year) (the coverage of the patents applied in 2020 is low and year 2019 is not fully completed). </w:t>
      </w:r>
    </w:p>
    <w:p w14:paraId="3C04EF3F" w14:textId="77777777" w:rsidR="000E4EBC" w:rsidRPr="00DE4CD2" w:rsidRDefault="000E4EBC" w:rsidP="000E4EBC">
      <w:pPr>
        <w:jc w:val="both"/>
        <w:rPr>
          <w:rFonts w:asciiTheme="majorHAnsi" w:hAnsiTheme="majorHAnsi" w:cstheme="majorHAnsi"/>
          <w:lang w:val="en-US"/>
        </w:rPr>
      </w:pPr>
    </w:p>
    <w:p w14:paraId="57A42DD3" w14:textId="6BAB2DF0" w:rsidR="000E4EBC" w:rsidRPr="00DE4CD2" w:rsidRDefault="000E4EBC" w:rsidP="000E4EBC">
      <w:pPr>
        <w:spacing w:after="120"/>
        <w:rPr>
          <w:rFonts w:asciiTheme="majorHAnsi" w:eastAsiaTheme="minorHAnsi" w:hAnsiTheme="majorHAnsi" w:cstheme="majorHAnsi"/>
          <w:i/>
          <w:iCs/>
          <w:lang w:val="en-US" w:eastAsia="en-US"/>
        </w:rPr>
      </w:pPr>
      <w:r w:rsidRPr="00DE4CD2">
        <w:rPr>
          <w:rFonts w:asciiTheme="majorHAnsi" w:eastAsiaTheme="minorHAnsi" w:hAnsiTheme="majorHAnsi" w:cstheme="majorHAnsi"/>
          <w:i/>
          <w:iCs/>
          <w:lang w:val="en-US" w:eastAsia="en-US"/>
        </w:rPr>
        <w:t>Figure 6: Number of priority patents applied over time</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6"/>
        <w:gridCol w:w="4811"/>
      </w:tblGrid>
      <w:tr w:rsidR="00FC3526" w:rsidRPr="00DE4CD2" w14:paraId="04502939" w14:textId="77777777" w:rsidTr="000E4EBC">
        <w:tc>
          <w:tcPr>
            <w:tcW w:w="4816" w:type="dxa"/>
          </w:tcPr>
          <w:p w14:paraId="301A33B3" w14:textId="77777777" w:rsidR="000E4EBC" w:rsidRPr="00DE4CD2" w:rsidRDefault="000E4EBC" w:rsidP="00D41D63">
            <w:pPr>
              <w:pBdr>
                <w:top w:val="none" w:sz="0" w:space="0" w:color="auto"/>
                <w:left w:val="none" w:sz="0" w:space="0" w:color="auto"/>
                <w:bottom w:val="none" w:sz="0" w:space="0" w:color="auto"/>
                <w:right w:val="none" w:sz="0" w:space="0" w:color="auto"/>
                <w:between w:val="none" w:sz="0" w:space="0" w:color="auto"/>
              </w:pBdr>
              <w:jc w:val="both"/>
              <w:rPr>
                <w:rFonts w:asciiTheme="majorHAnsi" w:hAnsiTheme="majorHAnsi" w:cstheme="majorHAnsi"/>
              </w:rPr>
            </w:pPr>
            <w:r w:rsidRPr="00DE4CD2">
              <w:rPr>
                <w:rFonts w:asciiTheme="majorHAnsi" w:hAnsiTheme="majorHAnsi" w:cstheme="majorHAnsi"/>
                <w:noProof/>
              </w:rPr>
              <w:drawing>
                <wp:inline distT="0" distB="0" distL="0" distR="0" wp14:anchorId="6BB1E476" wp14:editId="22966433">
                  <wp:extent cx="2909455" cy="1948815"/>
                  <wp:effectExtent l="0" t="0" r="12065" b="6985"/>
                  <wp:docPr id="46" name="Graphique 46">
                    <a:extLst xmlns:a="http://schemas.openxmlformats.org/drawingml/2006/main">
                      <a:ext uri="{FF2B5EF4-FFF2-40B4-BE49-F238E27FC236}">
                        <a16:creationId xmlns:a16="http://schemas.microsoft.com/office/drawing/2014/main" id="{F8B80166-5343-E342-B935-29FA04C06A3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c>
          <w:tcPr>
            <w:tcW w:w="4811" w:type="dxa"/>
          </w:tcPr>
          <w:p w14:paraId="783E2CF8" w14:textId="77777777" w:rsidR="000E4EBC" w:rsidRPr="00DE4CD2" w:rsidRDefault="000E4EBC" w:rsidP="00D41D63">
            <w:pPr>
              <w:pBdr>
                <w:top w:val="none" w:sz="0" w:space="0" w:color="auto"/>
                <w:left w:val="none" w:sz="0" w:space="0" w:color="auto"/>
                <w:bottom w:val="none" w:sz="0" w:space="0" w:color="auto"/>
                <w:right w:val="none" w:sz="0" w:space="0" w:color="auto"/>
                <w:between w:val="none" w:sz="0" w:space="0" w:color="auto"/>
              </w:pBdr>
              <w:jc w:val="both"/>
              <w:rPr>
                <w:rFonts w:asciiTheme="majorHAnsi" w:hAnsiTheme="majorHAnsi" w:cstheme="majorHAnsi"/>
              </w:rPr>
            </w:pPr>
            <w:r w:rsidRPr="00DE4CD2">
              <w:rPr>
                <w:rFonts w:asciiTheme="majorHAnsi" w:hAnsiTheme="majorHAnsi" w:cstheme="majorHAnsi"/>
                <w:noProof/>
              </w:rPr>
              <w:drawing>
                <wp:inline distT="0" distB="0" distL="0" distR="0" wp14:anchorId="7E8ED091" wp14:editId="47E434ED">
                  <wp:extent cx="2863215" cy="1948873"/>
                  <wp:effectExtent l="0" t="0" r="6985" b="6985"/>
                  <wp:docPr id="47" name="Graphique 47">
                    <a:extLst xmlns:a="http://schemas.openxmlformats.org/drawingml/2006/main">
                      <a:ext uri="{FF2B5EF4-FFF2-40B4-BE49-F238E27FC236}">
                        <a16:creationId xmlns:a16="http://schemas.microsoft.com/office/drawing/2014/main" id="{C94B1AD7-8853-4A48-958E-456AD2A7FC6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14:paraId="124A1E64" w14:textId="77777777" w:rsidR="000E4EBC" w:rsidRPr="00DE4CD2" w:rsidRDefault="000E4EBC" w:rsidP="000E4EBC">
      <w:pPr>
        <w:rPr>
          <w:rFonts w:asciiTheme="majorHAnsi" w:hAnsiTheme="majorHAnsi" w:cstheme="majorHAnsi"/>
          <w:sz w:val="20"/>
          <w:szCs w:val="20"/>
        </w:rPr>
      </w:pPr>
      <w:r w:rsidRPr="00DE4CD2">
        <w:rPr>
          <w:rFonts w:asciiTheme="majorHAnsi" w:hAnsiTheme="majorHAnsi" w:cstheme="majorHAnsi"/>
          <w:sz w:val="20"/>
          <w:szCs w:val="20"/>
        </w:rPr>
        <w:t>Source: LISIS internal data</w:t>
      </w:r>
    </w:p>
    <w:p w14:paraId="407C9C06" w14:textId="77777777" w:rsidR="000E4EBC" w:rsidRPr="00DE4CD2" w:rsidRDefault="000E4EBC" w:rsidP="000E4EBC">
      <w:pPr>
        <w:rPr>
          <w:rFonts w:asciiTheme="majorHAnsi" w:hAnsiTheme="majorHAnsi" w:cstheme="majorHAnsi"/>
        </w:rPr>
      </w:pPr>
    </w:p>
    <w:p w14:paraId="7DC5968A" w14:textId="3BEA0CC4" w:rsidR="000E4EBC" w:rsidRPr="00DE4CD2" w:rsidRDefault="000E4EBC" w:rsidP="000E4EBC">
      <w:pPr>
        <w:jc w:val="both"/>
        <w:rPr>
          <w:rFonts w:asciiTheme="majorHAnsi" w:hAnsiTheme="majorHAnsi" w:cstheme="majorHAnsi"/>
        </w:rPr>
      </w:pPr>
      <w:r w:rsidRPr="00DE4CD2">
        <w:rPr>
          <w:rFonts w:asciiTheme="majorHAnsi" w:hAnsiTheme="majorHAnsi" w:cstheme="majorHAnsi"/>
          <w:lang w:val="en-US"/>
        </w:rPr>
        <w:t>Overall, 20,656,894</w:t>
      </w:r>
      <w:r w:rsidRPr="00DE4CD2">
        <w:rPr>
          <w:rFonts w:asciiTheme="majorHAnsi" w:hAnsiTheme="majorHAnsi" w:cstheme="majorHAnsi"/>
          <w:sz w:val="21"/>
          <w:szCs w:val="21"/>
          <w:lang w:val="en-US"/>
        </w:rPr>
        <w:t xml:space="preserve"> </w:t>
      </w:r>
      <w:r w:rsidRPr="00DE4CD2">
        <w:rPr>
          <w:rFonts w:asciiTheme="majorHAnsi" w:hAnsiTheme="majorHAnsi" w:cstheme="majorHAnsi"/>
          <w:lang w:val="en-US"/>
        </w:rPr>
        <w:t>priority patents of inventions were applied for by legal entities from 2000 to 2020. They include 59,150,156 inventors and 22.5 million applicants. The evolution of the number of patent applications over time in shown in Figure 6.</w:t>
      </w:r>
    </w:p>
    <w:p w14:paraId="202D1975" w14:textId="77777777" w:rsidR="000E4EBC" w:rsidRPr="00DE4CD2" w:rsidRDefault="000E4EBC" w:rsidP="000E4EBC">
      <w:pPr>
        <w:rPr>
          <w:rFonts w:asciiTheme="majorHAnsi" w:eastAsiaTheme="minorHAnsi" w:hAnsiTheme="majorHAnsi" w:cstheme="majorHAnsi"/>
          <w:i/>
          <w:iCs/>
          <w:lang w:eastAsia="en-US"/>
        </w:rPr>
      </w:pPr>
    </w:p>
    <w:p w14:paraId="27E47DD3" w14:textId="77777777" w:rsidR="000E4EBC" w:rsidRPr="00DE4CD2" w:rsidRDefault="000E4EBC" w:rsidP="000E4EBC">
      <w:pPr>
        <w:jc w:val="both"/>
        <w:rPr>
          <w:rFonts w:asciiTheme="majorHAnsi" w:hAnsiTheme="majorHAnsi" w:cstheme="majorHAnsi"/>
        </w:rPr>
      </w:pPr>
      <w:r w:rsidRPr="00DE4CD2">
        <w:rPr>
          <w:rFonts w:asciiTheme="majorHAnsi" w:hAnsiTheme="majorHAnsi" w:cstheme="majorHAnsi"/>
        </w:rPr>
        <w:t xml:space="preserve">Besides the dates of the filing and publication and the office where the patent was first filed, we specifically consider in RISIS Patent 5 core attributes on patents: </w:t>
      </w:r>
    </w:p>
    <w:p w14:paraId="03BBC03A" w14:textId="77777777" w:rsidR="000E4EBC" w:rsidRPr="00DE4CD2" w:rsidRDefault="000E4EBC" w:rsidP="000E4EBC">
      <w:pPr>
        <w:jc w:val="both"/>
        <w:rPr>
          <w:rFonts w:asciiTheme="majorHAnsi" w:hAnsiTheme="majorHAnsi" w:cstheme="majorHAnsi"/>
        </w:rPr>
      </w:pPr>
    </w:p>
    <w:p w14:paraId="6AB4F759" w14:textId="27D951AD" w:rsidR="000E4EBC" w:rsidRPr="00DE4CD2" w:rsidRDefault="000E4EBC" w:rsidP="002C3BB1">
      <w:pPr>
        <w:pStyle w:val="Listenabsatz"/>
        <w:numPr>
          <w:ilvl w:val="0"/>
          <w:numId w:val="4"/>
        </w:numPr>
        <w:spacing w:after="120"/>
        <w:ind w:left="284" w:hanging="284"/>
        <w:contextualSpacing w:val="0"/>
        <w:jc w:val="both"/>
        <w:rPr>
          <w:rFonts w:asciiTheme="majorHAnsi" w:hAnsiTheme="majorHAnsi" w:cstheme="majorHAnsi"/>
        </w:rPr>
      </w:pPr>
      <w:r w:rsidRPr="00DE4CD2">
        <w:rPr>
          <w:rFonts w:asciiTheme="majorHAnsi" w:hAnsiTheme="majorHAnsi" w:cstheme="majorHAnsi"/>
          <w:b/>
        </w:rPr>
        <w:t>Their content, using textual pieces of information</w:t>
      </w:r>
      <w:r w:rsidRPr="00DE4CD2">
        <w:rPr>
          <w:rFonts w:asciiTheme="majorHAnsi" w:hAnsiTheme="majorHAnsi" w:cstheme="majorHAnsi"/>
        </w:rPr>
        <w:t xml:space="preserve"> such as the patent titles, the patent abstracts and a text aggregating the definition of the patent IPC (International Patent Classification) codes. Based on the definition of some </w:t>
      </w:r>
      <w:r w:rsidRPr="00DE4CD2">
        <w:rPr>
          <w:rFonts w:asciiTheme="majorHAnsi" w:hAnsiTheme="majorHAnsi" w:cstheme="majorHAnsi"/>
          <w:b/>
        </w:rPr>
        <w:t xml:space="preserve">75000 IPC classes </w:t>
      </w:r>
      <w:r w:rsidRPr="00DE4CD2">
        <w:rPr>
          <w:rFonts w:asciiTheme="majorHAnsi" w:hAnsiTheme="majorHAnsi" w:cstheme="majorHAnsi"/>
        </w:rPr>
        <w:t>provided for by PATSTAT, the latter builds a rich vocabulary enriching widely the content available for semantic analyses.</w:t>
      </w:r>
    </w:p>
    <w:p w14:paraId="3B81F909" w14:textId="377D0375" w:rsidR="000E4EBC" w:rsidRPr="00DE4CD2" w:rsidRDefault="000E4EBC" w:rsidP="002C3BB1">
      <w:pPr>
        <w:pStyle w:val="Listenabsatz"/>
        <w:numPr>
          <w:ilvl w:val="0"/>
          <w:numId w:val="4"/>
        </w:numPr>
        <w:spacing w:after="120"/>
        <w:ind w:left="284" w:hanging="284"/>
        <w:contextualSpacing w:val="0"/>
        <w:jc w:val="both"/>
        <w:rPr>
          <w:rFonts w:asciiTheme="majorHAnsi" w:hAnsiTheme="majorHAnsi" w:cstheme="majorHAnsi"/>
        </w:rPr>
      </w:pPr>
      <w:r w:rsidRPr="00DE4CD2">
        <w:rPr>
          <w:rFonts w:asciiTheme="majorHAnsi" w:hAnsiTheme="majorHAnsi" w:cstheme="majorHAnsi"/>
          <w:b/>
        </w:rPr>
        <w:lastRenderedPageBreak/>
        <w:t xml:space="preserve">Their technological content using the standard technology classification: </w:t>
      </w:r>
      <w:r w:rsidRPr="00DE4CD2">
        <w:rPr>
          <w:rFonts w:asciiTheme="majorHAnsi" w:hAnsiTheme="majorHAnsi" w:cstheme="majorHAnsi"/>
        </w:rPr>
        <w:t>(IPC subclasses</w:t>
      </w:r>
      <w:r w:rsidRPr="00DE4CD2">
        <w:rPr>
          <w:rFonts w:asciiTheme="majorHAnsi" w:hAnsiTheme="majorHAnsi" w:cstheme="majorHAnsi"/>
          <w:b/>
        </w:rPr>
        <w:t xml:space="preserve">, </w:t>
      </w:r>
      <w:r w:rsidRPr="00DE4CD2">
        <w:rPr>
          <w:rFonts w:asciiTheme="majorHAnsi" w:hAnsiTheme="majorHAnsi" w:cstheme="majorHAnsi"/>
        </w:rPr>
        <w:t>aggregation of IPC codes) by technological domains, fields or subfields. Patent allocation in the different classifications is realised on a fractional count basis according to their IPC. Allocation of patents according to KNOWMAK classes and subclasses is also available.</w:t>
      </w:r>
    </w:p>
    <w:p w14:paraId="7C2C3431" w14:textId="35EC59CD" w:rsidR="000E4EBC" w:rsidRPr="00DE4CD2" w:rsidRDefault="000E4EBC" w:rsidP="002C3BB1">
      <w:pPr>
        <w:pStyle w:val="Listenabsatz"/>
        <w:numPr>
          <w:ilvl w:val="0"/>
          <w:numId w:val="4"/>
        </w:numPr>
        <w:spacing w:after="120"/>
        <w:ind w:left="284" w:hanging="284"/>
        <w:contextualSpacing w:val="0"/>
        <w:jc w:val="both"/>
        <w:rPr>
          <w:rFonts w:asciiTheme="majorHAnsi" w:hAnsiTheme="majorHAnsi" w:cstheme="majorHAnsi"/>
        </w:rPr>
      </w:pPr>
      <w:r w:rsidRPr="00DE4CD2">
        <w:rPr>
          <w:rFonts w:asciiTheme="majorHAnsi" w:hAnsiTheme="majorHAnsi" w:cstheme="majorHAnsi"/>
          <w:b/>
        </w:rPr>
        <w:t>The geographical location of inventive activities</w:t>
      </w:r>
      <w:r w:rsidRPr="00DE4CD2">
        <w:rPr>
          <w:rFonts w:asciiTheme="majorHAnsi" w:hAnsiTheme="majorHAnsi" w:cstheme="majorHAnsi"/>
        </w:rPr>
        <w:t xml:space="preserve">. As we are interested in the geography of knowledge creation, we focus on inventors’ addresses (instead of using applicants’ addresses which would more capture commercialisation). These addresses are geocoded and associated to ‘functional areas’ (urban and rural) worldwide, NUTS3 regions and Adapted NUTS2 regions in Europe mobilizing the RISIS CORTEXT geocoding service. </w:t>
      </w:r>
    </w:p>
    <w:p w14:paraId="60BFA4F5" w14:textId="7642F115" w:rsidR="000E4EBC" w:rsidRPr="00DE4CD2" w:rsidRDefault="000E4EBC" w:rsidP="002C3BB1">
      <w:pPr>
        <w:pStyle w:val="Listenabsatz"/>
        <w:numPr>
          <w:ilvl w:val="0"/>
          <w:numId w:val="4"/>
        </w:numPr>
        <w:spacing w:after="120"/>
        <w:ind w:left="284" w:hanging="284"/>
        <w:contextualSpacing w:val="0"/>
        <w:jc w:val="both"/>
        <w:rPr>
          <w:rFonts w:asciiTheme="majorHAnsi" w:hAnsiTheme="majorHAnsi" w:cstheme="majorHAnsi"/>
          <w:lang w:val="en-US"/>
        </w:rPr>
      </w:pPr>
      <w:r w:rsidRPr="00DE4CD2">
        <w:rPr>
          <w:rFonts w:asciiTheme="majorHAnsi" w:hAnsiTheme="majorHAnsi" w:cstheme="majorHAnsi"/>
          <w:b/>
        </w:rPr>
        <w:t>The legal organisations that apply for patents (the applicants)</w:t>
      </w:r>
      <w:r w:rsidRPr="00DE4CD2">
        <w:rPr>
          <w:rFonts w:asciiTheme="majorHAnsi" w:hAnsiTheme="majorHAnsi" w:cstheme="majorHAnsi"/>
        </w:rPr>
        <w:t xml:space="preserve">. We discard non legal organisation included in the applicant list. A central effort has been made to identify among the applicants those that are included in the two RISIS registers: i) FIRMREG dedicated to groups of private actors such as the worldwide large firms (CIB database), European fast growing mid-sized firms (Cheetah database), European venture capital backed start-up firms (VICO database) and ii) ORGREG that focuses on European public research organisations including universities, PROs and research hospitals. </w:t>
      </w:r>
      <w:r w:rsidRPr="00DE4CD2">
        <w:rPr>
          <w:rFonts w:asciiTheme="majorHAnsi" w:hAnsiTheme="majorHAnsi" w:cstheme="majorHAnsi"/>
          <w:lang w:val="en-US"/>
        </w:rPr>
        <w:t xml:space="preserve">ORGREG and FIRMREG entities as patent applicants are identified with their corresponding </w:t>
      </w:r>
      <w:proofErr w:type="spellStart"/>
      <w:r w:rsidRPr="00DE4CD2">
        <w:rPr>
          <w:rFonts w:asciiTheme="majorHAnsi" w:hAnsiTheme="majorHAnsi" w:cstheme="majorHAnsi"/>
          <w:lang w:val="en-US"/>
        </w:rPr>
        <w:t>Orgreg_id</w:t>
      </w:r>
      <w:proofErr w:type="spellEnd"/>
      <w:r w:rsidRPr="00DE4CD2">
        <w:rPr>
          <w:rFonts w:asciiTheme="majorHAnsi" w:hAnsiTheme="majorHAnsi" w:cstheme="majorHAnsi"/>
          <w:lang w:val="en-US"/>
        </w:rPr>
        <w:t xml:space="preserve"> or </w:t>
      </w:r>
      <w:proofErr w:type="spellStart"/>
      <w:r w:rsidRPr="00DE4CD2">
        <w:rPr>
          <w:rFonts w:asciiTheme="majorHAnsi" w:hAnsiTheme="majorHAnsi" w:cstheme="majorHAnsi"/>
          <w:lang w:val="en-US"/>
        </w:rPr>
        <w:t>Firmreg_id</w:t>
      </w:r>
      <w:proofErr w:type="spellEnd"/>
      <w:r w:rsidRPr="00DE4CD2">
        <w:rPr>
          <w:rFonts w:asciiTheme="majorHAnsi" w:hAnsiTheme="majorHAnsi" w:cstheme="majorHAnsi"/>
          <w:lang w:val="en-US"/>
        </w:rPr>
        <w:t>. The treatment of applicants’ addresses (as done for the inventors’ addresses) gives access to the geographical location of the applicants.</w:t>
      </w:r>
    </w:p>
    <w:p w14:paraId="28B80602" w14:textId="7C8FD102" w:rsidR="000E4EBC" w:rsidRPr="00DE4CD2" w:rsidRDefault="000E4EBC" w:rsidP="002C3BB1">
      <w:pPr>
        <w:pStyle w:val="Listenabsatz"/>
        <w:numPr>
          <w:ilvl w:val="0"/>
          <w:numId w:val="4"/>
        </w:numPr>
        <w:spacing w:after="120"/>
        <w:ind w:left="284" w:hanging="284"/>
        <w:contextualSpacing w:val="0"/>
        <w:jc w:val="both"/>
        <w:rPr>
          <w:rFonts w:asciiTheme="majorHAnsi" w:hAnsiTheme="majorHAnsi" w:cstheme="majorHAnsi"/>
        </w:rPr>
      </w:pPr>
      <w:r w:rsidRPr="00DE4CD2">
        <w:rPr>
          <w:rFonts w:asciiTheme="majorHAnsi" w:hAnsiTheme="majorHAnsi" w:cstheme="majorHAnsi"/>
          <w:b/>
        </w:rPr>
        <w:t>Characteristics linked to the ‘value’ of the patent</w:t>
      </w:r>
      <w:r w:rsidRPr="00DE4CD2">
        <w:rPr>
          <w:rFonts w:asciiTheme="majorHAnsi" w:hAnsiTheme="majorHAnsi" w:cstheme="majorHAnsi"/>
        </w:rPr>
        <w:t xml:space="preserve">: In this context, the database provides information on whether the patent was granted or not, as well as the size of patent families, i.e. the number of different applications for a given invention (or group of linked inventions), which tells something about the interest of applicants for developing and protecting the knowledge; moreover, the presence in 5 world-level patent offices (EPO, USPTO, Japan Patent Office, Korean Patent Office, China Patent Office) tells something about the potential for future markets; and citations they have received indicate knowledge flows to other inventions and therefore its value for further technological development.  </w:t>
      </w:r>
    </w:p>
    <w:p w14:paraId="36CB52FE" w14:textId="77777777" w:rsidR="000E4EBC" w:rsidRPr="00DE4CD2" w:rsidRDefault="000E4EBC" w:rsidP="000E4EBC">
      <w:pPr>
        <w:jc w:val="both"/>
        <w:rPr>
          <w:rFonts w:asciiTheme="majorHAnsi" w:hAnsiTheme="majorHAnsi" w:cstheme="majorHAnsi"/>
        </w:rPr>
      </w:pPr>
    </w:p>
    <w:p w14:paraId="313BB311" w14:textId="1ABBF7E5" w:rsidR="000E4EBC" w:rsidRPr="00DE4CD2" w:rsidRDefault="000E4EBC" w:rsidP="000E4EBC">
      <w:pPr>
        <w:jc w:val="both"/>
        <w:rPr>
          <w:rFonts w:asciiTheme="majorHAnsi" w:hAnsiTheme="majorHAnsi" w:cstheme="majorHAnsi"/>
        </w:rPr>
      </w:pPr>
      <w:r w:rsidRPr="00DE4CD2">
        <w:rPr>
          <w:rFonts w:asciiTheme="majorHAnsi" w:hAnsiTheme="majorHAnsi" w:cstheme="majorHAnsi"/>
        </w:rPr>
        <w:t>The overall simplified model of RPD21 is shown in Figure 7.</w:t>
      </w:r>
    </w:p>
    <w:p w14:paraId="5A515004" w14:textId="77777777" w:rsidR="000E4EBC" w:rsidRPr="00DE4CD2" w:rsidRDefault="000E4EBC" w:rsidP="000E4EBC">
      <w:pPr>
        <w:jc w:val="both"/>
        <w:rPr>
          <w:rFonts w:asciiTheme="majorHAnsi" w:hAnsiTheme="majorHAnsi" w:cstheme="majorHAnsi"/>
        </w:rPr>
      </w:pPr>
    </w:p>
    <w:p w14:paraId="12C90555" w14:textId="048C5A6D" w:rsidR="000E4EBC" w:rsidRPr="00DE4CD2" w:rsidRDefault="000E4EBC" w:rsidP="000E4EBC">
      <w:pPr>
        <w:spacing w:after="120"/>
        <w:jc w:val="both"/>
        <w:rPr>
          <w:rFonts w:asciiTheme="majorHAnsi" w:eastAsiaTheme="minorHAnsi" w:hAnsiTheme="majorHAnsi" w:cstheme="majorHAnsi"/>
          <w:i/>
          <w:iCs/>
          <w:lang w:val="en-US" w:eastAsia="en-US"/>
        </w:rPr>
      </w:pPr>
      <w:r w:rsidRPr="00DE4CD2">
        <w:rPr>
          <w:rFonts w:asciiTheme="majorHAnsi" w:eastAsiaTheme="minorHAnsi" w:hAnsiTheme="majorHAnsi" w:cstheme="majorHAnsi"/>
          <w:i/>
          <w:iCs/>
          <w:lang w:val="en-US" w:eastAsia="en-US"/>
        </w:rPr>
        <w:t xml:space="preserve">Figure 7: Schematic view of the RISIS Patent Database </w:t>
      </w:r>
    </w:p>
    <w:p w14:paraId="44DE3E5C" w14:textId="77777777" w:rsidR="000E4EBC" w:rsidRPr="00DE4CD2" w:rsidRDefault="000E4EBC" w:rsidP="000E4EBC">
      <w:pPr>
        <w:rPr>
          <w:rFonts w:asciiTheme="majorHAnsi" w:hAnsiTheme="majorHAnsi" w:cstheme="majorHAnsi"/>
        </w:rPr>
      </w:pPr>
      <w:r w:rsidRPr="00DE4CD2">
        <w:rPr>
          <w:rFonts w:asciiTheme="majorHAnsi" w:hAnsiTheme="majorHAnsi" w:cstheme="majorHAnsi"/>
          <w:noProof/>
        </w:rPr>
        <w:drawing>
          <wp:inline distT="0" distB="0" distL="0" distR="0" wp14:anchorId="18CF3175" wp14:editId="4674C8DB">
            <wp:extent cx="4846954" cy="2686050"/>
            <wp:effectExtent l="0" t="0" r="0" b="0"/>
            <wp:docPr id="1296601546" name="Grafik 129660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rotWithShape="1">
                    <a:blip r:embed="rId20" cstate="print">
                      <a:extLst>
                        <a:ext uri="{28A0092B-C50C-407E-A947-70E740481C1C}">
                          <a14:useLocalDpi xmlns:a14="http://schemas.microsoft.com/office/drawing/2010/main" val="0"/>
                        </a:ext>
                      </a:extLst>
                    </a:blip>
                    <a:srcRect l="7062" b="8438"/>
                    <a:stretch/>
                  </pic:blipFill>
                  <pic:spPr bwMode="auto">
                    <a:xfrm>
                      <a:off x="0" y="0"/>
                      <a:ext cx="4849213" cy="2687302"/>
                    </a:xfrm>
                    <a:prstGeom prst="rect">
                      <a:avLst/>
                    </a:prstGeom>
                    <a:ln>
                      <a:noFill/>
                    </a:ln>
                    <a:extLst>
                      <a:ext uri="{53640926-AAD7-44D8-BBD7-CCE9431645EC}">
                        <a14:shadowObscured xmlns:a14="http://schemas.microsoft.com/office/drawing/2010/main"/>
                      </a:ext>
                    </a:extLst>
                  </pic:spPr>
                </pic:pic>
              </a:graphicData>
            </a:graphic>
          </wp:inline>
        </w:drawing>
      </w:r>
    </w:p>
    <w:p w14:paraId="6FA81244" w14:textId="77777777" w:rsidR="000E4EBC" w:rsidRPr="00DE4CD2" w:rsidRDefault="000E4EBC" w:rsidP="000E4EBC">
      <w:pPr>
        <w:rPr>
          <w:rFonts w:asciiTheme="majorHAnsi" w:hAnsiTheme="majorHAnsi" w:cstheme="majorHAnsi"/>
          <w:b/>
          <w:bCs/>
          <w:i/>
          <w:iCs/>
        </w:rPr>
      </w:pPr>
      <w:r w:rsidRPr="00DE4CD2">
        <w:rPr>
          <w:rFonts w:asciiTheme="majorHAnsi" w:hAnsiTheme="majorHAnsi" w:cstheme="majorHAnsi"/>
          <w:b/>
          <w:bCs/>
          <w:i/>
          <w:iCs/>
        </w:rPr>
        <w:lastRenderedPageBreak/>
        <w:t>Main achievements</w:t>
      </w:r>
    </w:p>
    <w:p w14:paraId="1DD1A03C" w14:textId="77777777" w:rsidR="000E4EBC" w:rsidRPr="00DE4CD2" w:rsidRDefault="000E4EBC" w:rsidP="000E4EBC">
      <w:pPr>
        <w:rPr>
          <w:rFonts w:asciiTheme="majorHAnsi" w:hAnsiTheme="majorHAnsi" w:cstheme="majorHAnsi"/>
          <w:b/>
          <w:bCs/>
          <w:i/>
          <w:iCs/>
        </w:rPr>
      </w:pPr>
    </w:p>
    <w:p w14:paraId="0DFCD612" w14:textId="77777777" w:rsidR="000E4EBC" w:rsidRPr="00DE4CD2" w:rsidRDefault="000E4EBC" w:rsidP="000E4EBC">
      <w:pPr>
        <w:jc w:val="both"/>
        <w:rPr>
          <w:rFonts w:asciiTheme="majorHAnsi" w:hAnsiTheme="majorHAnsi" w:cstheme="majorHAnsi"/>
        </w:rPr>
      </w:pPr>
      <w:r w:rsidRPr="00DE4CD2">
        <w:rPr>
          <w:rFonts w:asciiTheme="majorHAnsi" w:hAnsiTheme="majorHAnsi" w:cstheme="majorHAnsi"/>
        </w:rPr>
        <w:t xml:space="preserve">During the RISIS2 project, a full and completed new version of RPD has been processed based on a new </w:t>
      </w:r>
      <w:proofErr w:type="spellStart"/>
      <w:r w:rsidRPr="00DE4CD2">
        <w:rPr>
          <w:rFonts w:asciiTheme="majorHAnsi" w:hAnsiTheme="majorHAnsi" w:cstheme="majorHAnsi"/>
        </w:rPr>
        <w:t>Patstat</w:t>
      </w:r>
      <w:proofErr w:type="spellEnd"/>
      <w:r w:rsidRPr="00DE4CD2">
        <w:rPr>
          <w:rFonts w:asciiTheme="majorHAnsi" w:hAnsiTheme="majorHAnsi" w:cstheme="majorHAnsi"/>
        </w:rPr>
        <w:t xml:space="preserve"> database version (provided by EPO in spring 2021). During this update, all the scripts have been revised, optimised, harmonised and documented (see </w:t>
      </w:r>
      <w:hyperlink r:id="rId21" w:history="1">
        <w:r w:rsidRPr="00DE4CD2">
          <w:rPr>
            <w:rStyle w:val="Hyperlink"/>
            <w:rFonts w:asciiTheme="majorHAnsi" w:hAnsiTheme="majorHAnsi" w:cstheme="majorHAnsi"/>
            <w:color w:val="auto"/>
          </w:rPr>
          <w:t>https://gitlab.com/cortext/patents/risis-patents-database</w:t>
        </w:r>
      </w:hyperlink>
      <w:r w:rsidRPr="00DE4CD2">
        <w:rPr>
          <w:rFonts w:asciiTheme="majorHAnsi" w:hAnsiTheme="majorHAnsi" w:cstheme="majorHAnsi"/>
        </w:rPr>
        <w:t xml:space="preserve">). </w:t>
      </w:r>
    </w:p>
    <w:p w14:paraId="37AD33D3" w14:textId="77777777" w:rsidR="000E4EBC" w:rsidRPr="00DE4CD2" w:rsidRDefault="000E4EBC" w:rsidP="000E4EBC">
      <w:pPr>
        <w:jc w:val="both"/>
        <w:rPr>
          <w:rFonts w:asciiTheme="majorHAnsi" w:hAnsiTheme="majorHAnsi" w:cstheme="majorHAnsi"/>
        </w:rPr>
      </w:pPr>
    </w:p>
    <w:p w14:paraId="0AAA03D7" w14:textId="77777777" w:rsidR="000E4EBC" w:rsidRPr="00DE4CD2" w:rsidRDefault="000E4EBC" w:rsidP="000E4EBC">
      <w:pPr>
        <w:jc w:val="both"/>
        <w:rPr>
          <w:rFonts w:asciiTheme="majorHAnsi" w:hAnsiTheme="majorHAnsi" w:cstheme="majorHAnsi"/>
        </w:rPr>
      </w:pPr>
      <w:r w:rsidRPr="00DE4CD2">
        <w:rPr>
          <w:rFonts w:asciiTheme="majorHAnsi" w:hAnsiTheme="majorHAnsi" w:cstheme="majorHAnsi"/>
        </w:rPr>
        <w:t>Compared to the previous RPD version, several additional elements were added to the patent data. The principal elements are:</w:t>
      </w:r>
    </w:p>
    <w:p w14:paraId="37620EF2" w14:textId="77777777" w:rsidR="000E4EBC" w:rsidRPr="00DE4CD2" w:rsidRDefault="000E4EBC" w:rsidP="002C3BB1">
      <w:pPr>
        <w:pStyle w:val="Listenabsatz"/>
        <w:numPr>
          <w:ilvl w:val="0"/>
          <w:numId w:val="5"/>
        </w:numPr>
        <w:ind w:left="284" w:hanging="284"/>
        <w:jc w:val="both"/>
        <w:rPr>
          <w:rFonts w:asciiTheme="majorHAnsi" w:hAnsiTheme="majorHAnsi" w:cstheme="majorHAnsi"/>
        </w:rPr>
      </w:pPr>
      <w:r w:rsidRPr="00DE4CD2">
        <w:rPr>
          <w:rFonts w:asciiTheme="majorHAnsi" w:hAnsiTheme="majorHAnsi" w:cstheme="majorHAnsi"/>
        </w:rPr>
        <w:t>The geocoding of inventors’ addresses and applicants’ addresses as well as the allocation of these addresses to territories outside administrative boundaries (urban and rural areas delineation that can be applied worldwide and Adapted Nuts regions in Europe),</w:t>
      </w:r>
    </w:p>
    <w:p w14:paraId="47E42A76" w14:textId="77777777" w:rsidR="000E4EBC" w:rsidRPr="00DE4CD2" w:rsidRDefault="000E4EBC" w:rsidP="002C3BB1">
      <w:pPr>
        <w:pStyle w:val="Listenabsatz"/>
        <w:numPr>
          <w:ilvl w:val="0"/>
          <w:numId w:val="5"/>
        </w:numPr>
        <w:ind w:left="284" w:hanging="284"/>
        <w:jc w:val="both"/>
        <w:rPr>
          <w:rFonts w:asciiTheme="majorHAnsi" w:hAnsiTheme="majorHAnsi" w:cstheme="majorHAnsi"/>
        </w:rPr>
      </w:pPr>
      <w:r w:rsidRPr="00DE4CD2">
        <w:rPr>
          <w:rFonts w:asciiTheme="majorHAnsi" w:hAnsiTheme="majorHAnsi" w:cstheme="majorHAnsi"/>
        </w:rPr>
        <w:t xml:space="preserve">The identification of patent applicants that are listed in the </w:t>
      </w:r>
      <w:proofErr w:type="spellStart"/>
      <w:r w:rsidRPr="00DE4CD2">
        <w:rPr>
          <w:rFonts w:asciiTheme="majorHAnsi" w:hAnsiTheme="majorHAnsi" w:cstheme="majorHAnsi"/>
        </w:rPr>
        <w:t>Firmreg</w:t>
      </w:r>
      <w:proofErr w:type="spellEnd"/>
      <w:r w:rsidRPr="00DE4CD2">
        <w:rPr>
          <w:rFonts w:asciiTheme="majorHAnsi" w:hAnsiTheme="majorHAnsi" w:cstheme="majorHAnsi"/>
        </w:rPr>
        <w:t xml:space="preserve"> (large firms from the CIB database, start-ups from the VICO database and Fast Growing Mid-Sized Firms) from the CHEETAH database) and </w:t>
      </w:r>
      <w:proofErr w:type="spellStart"/>
      <w:r w:rsidRPr="00DE4CD2">
        <w:rPr>
          <w:rFonts w:asciiTheme="majorHAnsi" w:hAnsiTheme="majorHAnsi" w:cstheme="majorHAnsi"/>
        </w:rPr>
        <w:t>Orgreg</w:t>
      </w:r>
      <w:proofErr w:type="spellEnd"/>
      <w:r w:rsidRPr="00DE4CD2">
        <w:rPr>
          <w:rFonts w:asciiTheme="majorHAnsi" w:hAnsiTheme="majorHAnsi" w:cstheme="majorHAnsi"/>
        </w:rPr>
        <w:t xml:space="preserve"> registers. This has been done (for VICO and CHEETAH firms) testing an innovative LEXICORE matching algorithm that combines harmonisation, clustering, lexical analyses and machine learning techniques. </w:t>
      </w:r>
    </w:p>
    <w:p w14:paraId="173DD4D3" w14:textId="77777777" w:rsidR="000E4EBC" w:rsidRPr="00DE4CD2" w:rsidRDefault="000E4EBC" w:rsidP="000E4EBC">
      <w:pPr>
        <w:jc w:val="both"/>
        <w:rPr>
          <w:rFonts w:asciiTheme="majorHAnsi" w:hAnsiTheme="majorHAnsi" w:cstheme="majorHAnsi"/>
          <w:lang w:val="en-US"/>
        </w:rPr>
      </w:pPr>
    </w:p>
    <w:p w14:paraId="3A1A61F8" w14:textId="77777777" w:rsidR="000E4EBC" w:rsidRPr="00DE4CD2" w:rsidRDefault="000E4EBC" w:rsidP="000E4EBC">
      <w:pPr>
        <w:pStyle w:val="Default"/>
        <w:spacing w:before="120"/>
        <w:jc w:val="both"/>
        <w:rPr>
          <w:rFonts w:asciiTheme="majorHAnsi" w:hAnsiTheme="majorHAnsi" w:cstheme="majorHAnsi"/>
          <w:color w:val="auto"/>
          <w:sz w:val="32"/>
          <w:szCs w:val="32"/>
          <w:lang w:val="en-US"/>
        </w:rPr>
      </w:pPr>
      <w:r w:rsidRPr="00DE4CD2">
        <w:rPr>
          <w:rFonts w:asciiTheme="majorHAnsi" w:hAnsiTheme="majorHAnsi" w:cstheme="majorHAnsi"/>
          <w:color w:val="auto"/>
          <w:lang w:val="en-US"/>
        </w:rPr>
        <w:t xml:space="preserve">Two 2 days on-line methodological RISIS courses relying on RPD patent data were </w:t>
      </w:r>
      <w:proofErr w:type="spellStart"/>
      <w:r w:rsidRPr="00DE4CD2">
        <w:rPr>
          <w:rFonts w:asciiTheme="majorHAnsi" w:hAnsiTheme="majorHAnsi" w:cstheme="majorHAnsi"/>
          <w:color w:val="auto"/>
          <w:lang w:val="en-US"/>
        </w:rPr>
        <w:t>organised</w:t>
      </w:r>
      <w:proofErr w:type="spellEnd"/>
      <w:r w:rsidRPr="00DE4CD2">
        <w:rPr>
          <w:rFonts w:asciiTheme="majorHAnsi" w:hAnsiTheme="majorHAnsi" w:cstheme="majorHAnsi"/>
          <w:color w:val="auto"/>
          <w:lang w:val="en-US"/>
        </w:rPr>
        <w:t xml:space="preserve"> during the RISIS2. Both of them aim at training researchers to the possibilities offered by </w:t>
      </w:r>
      <w:proofErr w:type="spellStart"/>
      <w:r w:rsidRPr="00DE4CD2">
        <w:rPr>
          <w:rFonts w:asciiTheme="majorHAnsi" w:hAnsiTheme="majorHAnsi" w:cstheme="majorHAnsi"/>
          <w:color w:val="auto"/>
          <w:lang w:val="en-GB"/>
        </w:rPr>
        <w:t>Cortext</w:t>
      </w:r>
      <w:proofErr w:type="spellEnd"/>
      <w:r w:rsidRPr="00DE4CD2">
        <w:rPr>
          <w:rFonts w:asciiTheme="majorHAnsi" w:hAnsiTheme="majorHAnsi" w:cstheme="majorHAnsi"/>
          <w:color w:val="auto"/>
          <w:lang w:val="en-GB"/>
        </w:rPr>
        <w:t xml:space="preserve"> and RISIS patent database to study thematic and spatial analysis of technologies </w:t>
      </w:r>
    </w:p>
    <w:p w14:paraId="212D2D3B" w14:textId="77777777" w:rsidR="000E4EBC" w:rsidRPr="00DE4CD2" w:rsidRDefault="000E4EBC" w:rsidP="000E4EBC">
      <w:pPr>
        <w:jc w:val="both"/>
        <w:rPr>
          <w:rFonts w:asciiTheme="majorHAnsi" w:hAnsiTheme="majorHAnsi" w:cstheme="majorHAnsi"/>
        </w:rPr>
      </w:pPr>
    </w:p>
    <w:p w14:paraId="5D2CE482" w14:textId="77777777" w:rsidR="000E4EBC" w:rsidRPr="00DE4CD2" w:rsidRDefault="000E4EBC" w:rsidP="000E4EBC">
      <w:pPr>
        <w:jc w:val="both"/>
        <w:rPr>
          <w:rFonts w:asciiTheme="majorHAnsi" w:hAnsiTheme="majorHAnsi" w:cstheme="majorHAnsi"/>
        </w:rPr>
      </w:pPr>
      <w:r w:rsidRPr="00DE4CD2">
        <w:rPr>
          <w:rFonts w:asciiTheme="majorHAnsi" w:hAnsiTheme="majorHAnsi" w:cstheme="majorHAnsi"/>
        </w:rPr>
        <w:t>Several internal explorations of the data were also carried out in order to investigate the inventive activity of worldwide Urban and Rural areas as well as the attractivity of such territories for large companies. A ranking was produced and shown during a Policy Brief (December 2020: “International patents: the role of large multinationals in building competitive metropolitan areas) and in a RISIS seminar in march 2021. A similar analysis was carried out based on an Adapted NUTS2 delineation of Europe. The results were presented during the RISIS final conference in November 2023.</w:t>
      </w:r>
    </w:p>
    <w:p w14:paraId="1E473249" w14:textId="77777777" w:rsidR="000E4EBC" w:rsidRPr="00DE4CD2" w:rsidRDefault="000E4EBC" w:rsidP="000E4EBC">
      <w:pPr>
        <w:jc w:val="both"/>
        <w:rPr>
          <w:rFonts w:asciiTheme="majorHAnsi" w:eastAsiaTheme="minorHAnsi" w:hAnsiTheme="majorHAnsi" w:cstheme="majorHAnsi"/>
          <w:i/>
          <w:iCs/>
          <w:lang w:val="en-US" w:eastAsia="en-US"/>
        </w:rPr>
      </w:pPr>
    </w:p>
    <w:p w14:paraId="2C60D2F1" w14:textId="77777777" w:rsidR="000E4EBC" w:rsidRPr="00DE4CD2" w:rsidRDefault="000E4EBC" w:rsidP="000E4EBC">
      <w:pPr>
        <w:jc w:val="both"/>
        <w:rPr>
          <w:rFonts w:asciiTheme="majorHAnsi" w:hAnsiTheme="majorHAnsi" w:cstheme="majorHAnsi"/>
          <w:b/>
          <w:bCs/>
          <w:i/>
          <w:iCs/>
        </w:rPr>
      </w:pPr>
      <w:r w:rsidRPr="00DE4CD2">
        <w:rPr>
          <w:rFonts w:asciiTheme="majorHAnsi" w:hAnsiTheme="majorHAnsi" w:cstheme="majorHAnsi"/>
          <w:b/>
          <w:bCs/>
          <w:i/>
          <w:iCs/>
        </w:rPr>
        <w:t>Description of use</w:t>
      </w:r>
    </w:p>
    <w:p w14:paraId="198938C7" w14:textId="77777777" w:rsidR="000E4EBC" w:rsidRPr="00DE4CD2" w:rsidRDefault="000E4EBC" w:rsidP="000E4EBC">
      <w:pPr>
        <w:rPr>
          <w:rFonts w:asciiTheme="majorHAnsi" w:hAnsiTheme="majorHAnsi" w:cstheme="majorHAnsi"/>
        </w:rPr>
      </w:pPr>
    </w:p>
    <w:p w14:paraId="2B159B3D" w14:textId="2C46C56C" w:rsidR="000E4EBC" w:rsidRPr="00DE4CD2" w:rsidRDefault="000E4EBC" w:rsidP="000921C9">
      <w:pPr>
        <w:jc w:val="both"/>
        <w:rPr>
          <w:rFonts w:asciiTheme="majorHAnsi" w:hAnsiTheme="majorHAnsi" w:cstheme="majorHAnsi"/>
        </w:rPr>
      </w:pPr>
      <w:r w:rsidRPr="00DE4CD2">
        <w:rPr>
          <w:rFonts w:asciiTheme="majorHAnsi" w:hAnsiTheme="majorHAnsi" w:cstheme="majorHAnsi"/>
        </w:rPr>
        <w:t xml:space="preserve">Overall, almost 70 external data requests for RPD were received since 2019. Fifty-two  </w:t>
      </w:r>
      <w:proofErr w:type="spellStart"/>
      <w:r w:rsidRPr="00DE4CD2">
        <w:rPr>
          <w:rFonts w:asciiTheme="majorHAnsi" w:hAnsiTheme="majorHAnsi" w:cstheme="majorHAnsi"/>
        </w:rPr>
        <w:t>rof</w:t>
      </w:r>
      <w:proofErr w:type="spellEnd"/>
      <w:r w:rsidRPr="00DE4CD2">
        <w:rPr>
          <w:rFonts w:asciiTheme="majorHAnsi" w:hAnsiTheme="majorHAnsi" w:cstheme="majorHAnsi"/>
        </w:rPr>
        <w:t xml:space="preserve"> them have received a positive evaluation and were sent patent datasets designed according to the requested specifications. A few requests originate from a research team included in the RISIS consortium but most of them involve external laboratories. More than 50% of the patent data requests also include another type of data (most often publication data from CWTS or EUPRO FP projects data from AIT). From two data requests have emerged a research collaboration between LISIS at UGE providing the patent data and foreign laboratories in the frame of PhD research work. Among various uses of the RPD patent data, here is a selection of 3 research topics:</w:t>
      </w:r>
    </w:p>
    <w:p w14:paraId="76F12DFA" w14:textId="77777777" w:rsidR="000E4EBC" w:rsidRPr="00DE4CD2" w:rsidRDefault="000E4EBC" w:rsidP="000E4EBC">
      <w:pPr>
        <w:rPr>
          <w:rFonts w:asciiTheme="majorHAnsi" w:hAnsiTheme="majorHAnsi" w:cstheme="majorHAnsi"/>
        </w:rPr>
      </w:pPr>
    </w:p>
    <w:p w14:paraId="1D7DC037" w14:textId="77777777" w:rsidR="000E4EBC" w:rsidRPr="00DE4CD2" w:rsidRDefault="000E4EBC" w:rsidP="002C3BB1">
      <w:pPr>
        <w:pStyle w:val="Listenabsatz"/>
        <w:numPr>
          <w:ilvl w:val="0"/>
          <w:numId w:val="3"/>
        </w:numPr>
        <w:pBdr>
          <w:top w:val="none" w:sz="0" w:space="0" w:color="auto"/>
          <w:left w:val="none" w:sz="0" w:space="0" w:color="auto"/>
          <w:bottom w:val="none" w:sz="0" w:space="0" w:color="auto"/>
          <w:right w:val="none" w:sz="0" w:space="0" w:color="auto"/>
          <w:between w:val="none" w:sz="0" w:space="0" w:color="auto"/>
        </w:pBdr>
        <w:rPr>
          <w:rFonts w:asciiTheme="majorHAnsi" w:hAnsiTheme="majorHAnsi" w:cstheme="majorHAnsi"/>
          <w:b/>
          <w:bCs/>
          <w:i/>
          <w:iCs/>
        </w:rPr>
      </w:pPr>
      <w:r w:rsidRPr="00DE4CD2">
        <w:rPr>
          <w:rFonts w:asciiTheme="majorHAnsi" w:hAnsiTheme="majorHAnsi" w:cstheme="majorHAnsi"/>
          <w:b/>
          <w:bCs/>
          <w:i/>
          <w:iCs/>
        </w:rPr>
        <w:t>Technological specialisation of the worldwide top Metropolitan Areas (LISIS-UGE)</w:t>
      </w:r>
    </w:p>
    <w:p w14:paraId="7C43C323" w14:textId="77777777" w:rsidR="000E4EBC" w:rsidRPr="00DE4CD2" w:rsidRDefault="000E4EBC" w:rsidP="000E4EBC">
      <w:pPr>
        <w:jc w:val="both"/>
        <w:rPr>
          <w:rFonts w:asciiTheme="majorHAnsi" w:hAnsiTheme="majorHAnsi" w:cstheme="majorHAnsi"/>
          <w:b/>
          <w:bCs/>
          <w:i/>
          <w:iCs/>
        </w:rPr>
      </w:pPr>
    </w:p>
    <w:p w14:paraId="4EA208A7" w14:textId="77777777" w:rsidR="000E4EBC" w:rsidRPr="00DE4CD2" w:rsidRDefault="000E4EBC" w:rsidP="000E4EBC">
      <w:pPr>
        <w:jc w:val="both"/>
        <w:rPr>
          <w:rFonts w:asciiTheme="majorHAnsi" w:hAnsiTheme="majorHAnsi" w:cstheme="majorHAnsi"/>
        </w:rPr>
      </w:pPr>
      <w:r w:rsidRPr="00DE4CD2">
        <w:rPr>
          <w:rFonts w:asciiTheme="majorHAnsi" w:hAnsiTheme="majorHAnsi" w:cstheme="majorHAnsi"/>
        </w:rPr>
        <w:t xml:space="preserve">The geographical distribution of international patents across urban areas is very skew: 948 Metropoles (out of more than 3000 Metropoles worldwide) produce together more than 99.5% of the total applications of international patents. These top metropoles are first in Europe (50% of them), in North America (35%) and then in Asia (15% of them but producing half of the patents). </w:t>
      </w:r>
    </w:p>
    <w:p w14:paraId="3932E116" w14:textId="77777777" w:rsidR="000E4EBC" w:rsidRPr="00DE4CD2" w:rsidRDefault="000E4EBC" w:rsidP="000E4EBC">
      <w:pPr>
        <w:jc w:val="both"/>
        <w:rPr>
          <w:rFonts w:asciiTheme="majorHAnsi" w:hAnsiTheme="majorHAnsi" w:cstheme="majorHAnsi"/>
        </w:rPr>
      </w:pPr>
      <w:r w:rsidRPr="00DE4CD2">
        <w:rPr>
          <w:rFonts w:asciiTheme="majorHAnsi" w:hAnsiTheme="majorHAnsi" w:cstheme="majorHAnsi"/>
        </w:rPr>
        <w:lastRenderedPageBreak/>
        <w:t xml:space="preserve">The technological specialisations of these top Metropolitan Areas and their evolutions over time have been studied.  ICT is by far the top specialisation among these top Metropolitan Areas (33% of the them are specialised in ICT and 68% of the overall patents production) and this dominating trend has been reinforced over time. Then come specialisation in Mechanics (31% of the Metropoles, 17% of the patents) and Chemicals and Pharmaceuticals ((27% of the Metropoles, 13% of the patents) and Instrumentation (9% of the Metropoles, 3% of the patents). Most of the metropole’s specialisation patterns remain rather stable over time, in particular in the largest metropoles attracting and retaining MNE inventive capacities. </w:t>
      </w:r>
    </w:p>
    <w:p w14:paraId="6FF1CA7A" w14:textId="77777777" w:rsidR="000E4EBC" w:rsidRPr="00DE4CD2" w:rsidRDefault="000E4EBC" w:rsidP="000E4EBC">
      <w:pPr>
        <w:jc w:val="both"/>
        <w:rPr>
          <w:rFonts w:asciiTheme="majorHAnsi" w:hAnsiTheme="majorHAnsi" w:cstheme="majorHAnsi"/>
        </w:rPr>
      </w:pPr>
    </w:p>
    <w:p w14:paraId="29F1A115" w14:textId="77777777" w:rsidR="000E4EBC" w:rsidRPr="00DE4CD2" w:rsidRDefault="000E4EBC" w:rsidP="002C3BB1">
      <w:pPr>
        <w:pStyle w:val="Listenabsatz"/>
        <w:numPr>
          <w:ilvl w:val="0"/>
          <w:numId w:val="3"/>
        </w:numPr>
        <w:rPr>
          <w:rFonts w:asciiTheme="majorHAnsi" w:hAnsiTheme="majorHAnsi" w:cstheme="majorHAnsi"/>
        </w:rPr>
      </w:pPr>
      <w:r w:rsidRPr="00DE4CD2">
        <w:rPr>
          <w:rFonts w:asciiTheme="majorHAnsi" w:hAnsiTheme="majorHAnsi" w:cstheme="majorHAnsi"/>
          <w:b/>
          <w:bCs/>
          <w:i/>
          <w:iCs/>
        </w:rPr>
        <w:t>Regional mapping of the inventive activities of firms in Europe (LISIS-UGE)</w:t>
      </w:r>
    </w:p>
    <w:p w14:paraId="35BD78B9" w14:textId="77777777" w:rsidR="000E4EBC" w:rsidRPr="00DE4CD2" w:rsidRDefault="000E4EBC" w:rsidP="000E4EBC">
      <w:pPr>
        <w:rPr>
          <w:rFonts w:asciiTheme="majorHAnsi" w:hAnsiTheme="majorHAnsi" w:cstheme="majorHAnsi"/>
        </w:rPr>
      </w:pPr>
    </w:p>
    <w:p w14:paraId="40CD1FBB" w14:textId="77777777" w:rsidR="000E4EBC" w:rsidRPr="00DE4CD2" w:rsidRDefault="000E4EBC" w:rsidP="000E4EBC">
      <w:pPr>
        <w:jc w:val="both"/>
        <w:rPr>
          <w:rFonts w:asciiTheme="majorHAnsi" w:hAnsiTheme="majorHAnsi" w:cstheme="majorHAnsi"/>
        </w:rPr>
      </w:pPr>
      <w:r w:rsidRPr="00DE4CD2">
        <w:rPr>
          <w:rFonts w:asciiTheme="majorHAnsi" w:hAnsiTheme="majorHAnsi" w:cstheme="majorHAnsi"/>
        </w:rPr>
        <w:t>The identification of patents involving firms belonging to four groups of firms included in the RISIS firm register (US large firms, EU large firms, EU Fast Growing Mid-Size firms (FGMSF) and EU startups) allows us to study the attractivity of European territories for corporate R&amp;D activities. EU large firms, EU FGMSFs and EU startups highly rely on European based knowledge with shares of inventions produced in Europe exceeding 75%. However, Europe has lost ground to Asian regions for US large firms for which European metropoles have become secondary foreign zones for the knowledge production.</w:t>
      </w:r>
    </w:p>
    <w:p w14:paraId="18473090" w14:textId="77777777" w:rsidR="000E4EBC" w:rsidRPr="00DE4CD2" w:rsidRDefault="000E4EBC" w:rsidP="000E4EBC">
      <w:pPr>
        <w:jc w:val="both"/>
        <w:rPr>
          <w:rFonts w:asciiTheme="majorHAnsi" w:hAnsiTheme="majorHAnsi" w:cstheme="majorHAnsi"/>
        </w:rPr>
      </w:pPr>
    </w:p>
    <w:p w14:paraId="7E1EBFCD" w14:textId="7E1C4024" w:rsidR="000E4EBC" w:rsidRPr="00DE4CD2" w:rsidRDefault="000E4EBC" w:rsidP="000E4EBC">
      <w:pPr>
        <w:jc w:val="both"/>
        <w:rPr>
          <w:rFonts w:asciiTheme="majorHAnsi" w:hAnsiTheme="majorHAnsi" w:cstheme="majorHAnsi"/>
        </w:rPr>
      </w:pPr>
      <w:r w:rsidRPr="00DE4CD2">
        <w:rPr>
          <w:rFonts w:asciiTheme="majorHAnsi" w:hAnsiTheme="majorHAnsi" w:cstheme="majorHAnsi"/>
        </w:rPr>
        <w:t xml:space="preserve">In Europe, the attractivity of regions (measured with an Affinity index defined as </w:t>
      </w:r>
      <w:r w:rsidRPr="00DE4CD2">
        <w:rPr>
          <w:rFonts w:asciiTheme="majorHAnsi" w:hAnsiTheme="majorHAnsi" w:cstheme="majorHAnsi"/>
          <w:lang w:val="en-US"/>
        </w:rPr>
        <w:t xml:space="preserve">the share of firm R&amp;D carried out in EU region X/Share of total EU R&amp;D carried out in EU region X) shows that according to the type of firms </w:t>
      </w:r>
      <w:r w:rsidRPr="00DE4CD2">
        <w:rPr>
          <w:rFonts w:asciiTheme="majorHAnsi" w:hAnsiTheme="majorHAnsi" w:cstheme="majorHAnsi"/>
        </w:rPr>
        <w:t>only 15% to 45% of the EU regions are highly attractive for firms (IA&gt;1.2) while 45% to 70% of them are non-attractive (IA&lt;0.8). Interestingly, the share of highly attractive regions is much lower for EU large firms (16.5%) compared to US large firms (31%), FGMSFs (35%) or startups (25%).</w:t>
      </w:r>
    </w:p>
    <w:p w14:paraId="1CD590D4" w14:textId="4821D049" w:rsidR="000E4EBC" w:rsidRPr="00DE4CD2" w:rsidRDefault="000E4EBC" w:rsidP="000E4EBC">
      <w:pPr>
        <w:jc w:val="both"/>
        <w:rPr>
          <w:rFonts w:asciiTheme="majorHAnsi" w:hAnsiTheme="majorHAnsi" w:cstheme="majorHAnsi"/>
        </w:rPr>
      </w:pPr>
    </w:p>
    <w:p w14:paraId="41FD026F" w14:textId="21267760" w:rsidR="000E4EBC" w:rsidRPr="00DE4CD2" w:rsidRDefault="000E4EBC" w:rsidP="000E4EBC">
      <w:pPr>
        <w:spacing w:after="120"/>
        <w:jc w:val="both"/>
        <w:rPr>
          <w:rFonts w:asciiTheme="majorHAnsi" w:eastAsiaTheme="minorHAnsi" w:hAnsiTheme="majorHAnsi" w:cstheme="majorHAnsi"/>
          <w:i/>
          <w:iCs/>
          <w:lang w:val="en-US" w:eastAsia="en-US"/>
        </w:rPr>
      </w:pPr>
      <w:r w:rsidRPr="00DE4CD2">
        <w:rPr>
          <w:rFonts w:asciiTheme="majorHAnsi" w:eastAsiaTheme="minorHAnsi" w:hAnsiTheme="majorHAnsi" w:cstheme="majorHAnsi"/>
          <w:i/>
          <w:iCs/>
          <w:lang w:val="en-US" w:eastAsia="en-US"/>
        </w:rPr>
        <w:t>Figure 8: Attractivity of European regions (Source: LISIS patent data)</w:t>
      </w:r>
    </w:p>
    <w:p w14:paraId="32C73EDA" w14:textId="77777777" w:rsidR="000E4EBC" w:rsidRPr="00DE4CD2" w:rsidRDefault="000E4EBC" w:rsidP="000E4EBC">
      <w:pPr>
        <w:rPr>
          <w:rFonts w:asciiTheme="majorHAnsi" w:hAnsiTheme="majorHAnsi" w:cstheme="majorHAnsi"/>
          <w:lang w:val="en-US"/>
        </w:rPr>
      </w:pPr>
      <w:r w:rsidRPr="00DE4CD2">
        <w:rPr>
          <w:rFonts w:asciiTheme="majorHAnsi" w:hAnsiTheme="majorHAnsi" w:cstheme="majorHAnsi"/>
          <w:noProof/>
        </w:rPr>
        <w:drawing>
          <wp:inline distT="0" distB="0" distL="0" distR="0" wp14:anchorId="71CA825D" wp14:editId="00F818AF">
            <wp:extent cx="2751016" cy="1864705"/>
            <wp:effectExtent l="0" t="0" r="5080" b="2540"/>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757301" cy="1868965"/>
                    </a:xfrm>
                    <a:prstGeom prst="rect">
                      <a:avLst/>
                    </a:prstGeom>
                  </pic:spPr>
                </pic:pic>
              </a:graphicData>
            </a:graphic>
          </wp:inline>
        </w:drawing>
      </w:r>
    </w:p>
    <w:p w14:paraId="751DEEDA" w14:textId="77777777" w:rsidR="000E4EBC" w:rsidRPr="00DE4CD2" w:rsidRDefault="000E4EBC" w:rsidP="000E4EBC">
      <w:pPr>
        <w:rPr>
          <w:rFonts w:asciiTheme="majorHAnsi" w:hAnsiTheme="majorHAnsi" w:cstheme="majorHAnsi"/>
          <w:lang w:val="en-US"/>
        </w:rPr>
      </w:pPr>
    </w:p>
    <w:p w14:paraId="61B29325" w14:textId="32109CFF" w:rsidR="000E4EBC" w:rsidRPr="00DE4CD2" w:rsidRDefault="000E4EBC" w:rsidP="000E4EBC">
      <w:pPr>
        <w:jc w:val="both"/>
        <w:rPr>
          <w:rFonts w:asciiTheme="majorHAnsi" w:hAnsiTheme="majorHAnsi" w:cstheme="majorHAnsi"/>
        </w:rPr>
      </w:pPr>
      <w:r w:rsidRPr="00DE4CD2">
        <w:rPr>
          <w:rFonts w:asciiTheme="majorHAnsi" w:hAnsiTheme="majorHAnsi" w:cstheme="majorHAnsi"/>
        </w:rPr>
        <w:t xml:space="preserve">Of course, the 17 top leading regions (with an overall EU inventive share above 1%) can be important regions for firms to locate a high share of their R&amp;D activities; however, these regions are not always highly attractive for corporate inventive activities: Paris or München are among the top 10 regions in Europe where both US large firms, EU large firms, start-ups and FGMSFs invent but the affinity of these two regions is low for US large firms and FGMSFs; Paris and München present a high attractivity only for start-ups. Top Leading regions are often attractive regions where EU large firms concentrate R&amp;D activities. This occurs in Germany, the Netherlands or Sweden (Stuttgart, Eindhoven, Nürnberg, Stockholm, Mannheim, Tübingen). Paris, München, London, Berlin or Helsinki </w:t>
      </w:r>
      <w:r w:rsidRPr="00DE4CD2">
        <w:rPr>
          <w:rFonts w:asciiTheme="majorHAnsi" w:hAnsiTheme="majorHAnsi" w:cstheme="majorHAnsi"/>
        </w:rPr>
        <w:lastRenderedPageBreak/>
        <w:t>are Leading attractive regions for EU startups that do locate there a high share of their inventive activities. Conversely, none of the Top Leading regions are both essential and highly attractive zones for US large firms.</w:t>
      </w:r>
    </w:p>
    <w:p w14:paraId="5EA4380C" w14:textId="77777777" w:rsidR="000921C9" w:rsidRPr="00DE4CD2" w:rsidRDefault="000921C9" w:rsidP="000E4EBC">
      <w:pPr>
        <w:spacing w:after="120"/>
        <w:jc w:val="both"/>
        <w:rPr>
          <w:rFonts w:asciiTheme="majorHAnsi" w:eastAsiaTheme="minorHAnsi" w:hAnsiTheme="majorHAnsi" w:cstheme="majorHAnsi"/>
          <w:i/>
          <w:iCs/>
          <w:lang w:val="en-US" w:eastAsia="en-US"/>
        </w:rPr>
      </w:pPr>
    </w:p>
    <w:p w14:paraId="2F4C5AFB" w14:textId="183905E7" w:rsidR="000E4EBC" w:rsidRPr="00DE4CD2" w:rsidRDefault="000E4EBC" w:rsidP="000E4EBC">
      <w:pPr>
        <w:spacing w:after="120"/>
        <w:jc w:val="both"/>
        <w:rPr>
          <w:rFonts w:asciiTheme="majorHAnsi" w:eastAsiaTheme="minorHAnsi" w:hAnsiTheme="majorHAnsi" w:cstheme="majorHAnsi"/>
          <w:i/>
          <w:iCs/>
          <w:lang w:eastAsia="en-US"/>
        </w:rPr>
      </w:pPr>
      <w:r w:rsidRPr="00DE4CD2">
        <w:rPr>
          <w:rFonts w:asciiTheme="majorHAnsi" w:eastAsiaTheme="minorHAnsi" w:hAnsiTheme="majorHAnsi" w:cstheme="majorHAnsi"/>
          <w:i/>
          <w:iCs/>
          <w:lang w:val="en-US" w:eastAsia="en-US"/>
        </w:rPr>
        <w:t>Table 6: List of EU Leading regions and their role (share and attractivity) in the inventive locations of EU large firms, US large firms, startups and FGMSFs</w:t>
      </w:r>
    </w:p>
    <w:p w14:paraId="663E43C8" w14:textId="77777777" w:rsidR="000E4EBC" w:rsidRPr="00DE4CD2" w:rsidRDefault="000E4EBC" w:rsidP="000E4EBC">
      <w:pPr>
        <w:rPr>
          <w:rFonts w:asciiTheme="majorHAnsi" w:hAnsiTheme="majorHAnsi" w:cstheme="majorHAnsi"/>
        </w:rPr>
      </w:pPr>
      <w:r w:rsidRPr="00DE4CD2">
        <w:rPr>
          <w:rFonts w:asciiTheme="majorHAnsi" w:hAnsiTheme="majorHAnsi" w:cstheme="majorHAnsi"/>
          <w:noProof/>
        </w:rPr>
        <w:drawing>
          <wp:inline distT="0" distB="0" distL="0" distR="0" wp14:anchorId="48D79E75" wp14:editId="0E1D85DB">
            <wp:extent cx="2876550" cy="2013166"/>
            <wp:effectExtent l="0" t="0" r="0" b="6350"/>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876550" cy="2013166"/>
                    </a:xfrm>
                    <a:prstGeom prst="rect">
                      <a:avLst/>
                    </a:prstGeom>
                  </pic:spPr>
                </pic:pic>
              </a:graphicData>
            </a:graphic>
          </wp:inline>
        </w:drawing>
      </w:r>
      <w:r w:rsidRPr="00DE4CD2">
        <w:rPr>
          <w:rFonts w:asciiTheme="majorHAnsi" w:hAnsiTheme="majorHAnsi" w:cstheme="majorHAnsi"/>
          <w:noProof/>
        </w:rPr>
        <w:drawing>
          <wp:inline distT="0" distB="0" distL="0" distR="0" wp14:anchorId="397E622B" wp14:editId="4088D739">
            <wp:extent cx="2938585" cy="2003192"/>
            <wp:effectExtent l="0" t="0" r="0" b="3810"/>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978005" cy="2030064"/>
                    </a:xfrm>
                    <a:prstGeom prst="rect">
                      <a:avLst/>
                    </a:prstGeom>
                  </pic:spPr>
                </pic:pic>
              </a:graphicData>
            </a:graphic>
          </wp:inline>
        </w:drawing>
      </w:r>
    </w:p>
    <w:p w14:paraId="12250870" w14:textId="77777777" w:rsidR="000E4EBC" w:rsidRPr="00DE4CD2" w:rsidRDefault="000E4EBC" w:rsidP="000E4EBC">
      <w:pPr>
        <w:rPr>
          <w:rFonts w:asciiTheme="majorHAnsi" w:hAnsiTheme="majorHAnsi" w:cstheme="majorHAnsi"/>
        </w:rPr>
      </w:pPr>
    </w:p>
    <w:p w14:paraId="2BC610A0" w14:textId="77777777" w:rsidR="000E4EBC" w:rsidRPr="00DE4CD2" w:rsidRDefault="000E4EBC" w:rsidP="000E4EBC">
      <w:pPr>
        <w:rPr>
          <w:rFonts w:asciiTheme="majorHAnsi" w:hAnsiTheme="majorHAnsi" w:cstheme="majorHAnsi"/>
        </w:rPr>
      </w:pPr>
      <w:r w:rsidRPr="00DE4CD2">
        <w:rPr>
          <w:rFonts w:asciiTheme="majorHAnsi" w:hAnsiTheme="majorHAnsi" w:cstheme="majorHAnsi"/>
        </w:rPr>
        <w:t>At last, our observations show that only very few regions are attractive for several types of firms.  London, Cambridge and Oxford are exceptions: they highly attractive for US firms, startups and FGMSF. Further research will aim at identifying the characteristics of highly attractive regions taking into account regional economic factors, academic excellence, human resources as well as regional technological specificities.</w:t>
      </w:r>
    </w:p>
    <w:p w14:paraId="68789A99" w14:textId="77777777" w:rsidR="000E4EBC" w:rsidRPr="00DE4CD2" w:rsidRDefault="000E4EBC" w:rsidP="000E4EBC">
      <w:pPr>
        <w:rPr>
          <w:rFonts w:asciiTheme="majorHAnsi" w:hAnsiTheme="majorHAnsi" w:cstheme="majorHAnsi"/>
        </w:rPr>
      </w:pPr>
    </w:p>
    <w:p w14:paraId="75CFBC91" w14:textId="49E34D70" w:rsidR="000E4EBC" w:rsidRPr="00DE4CD2" w:rsidRDefault="000E4EBC" w:rsidP="002C3BB1">
      <w:pPr>
        <w:pStyle w:val="Listenabsatz"/>
        <w:numPr>
          <w:ilvl w:val="0"/>
          <w:numId w:val="3"/>
        </w:numPr>
        <w:rPr>
          <w:rFonts w:asciiTheme="majorHAnsi" w:hAnsiTheme="majorHAnsi" w:cstheme="majorHAnsi"/>
          <w:noProof/>
        </w:rPr>
      </w:pPr>
      <w:r w:rsidRPr="00DE4CD2">
        <w:rPr>
          <w:rFonts w:asciiTheme="majorHAnsi" w:hAnsiTheme="majorHAnsi" w:cstheme="majorHAnsi"/>
          <w:b/>
          <w:bCs/>
          <w:noProof/>
        </w:rPr>
        <w:t xml:space="preserve">The inventive spill-over of corporate publications </w:t>
      </w:r>
      <w:r w:rsidRPr="00DE4CD2">
        <w:rPr>
          <w:rFonts w:asciiTheme="majorHAnsi" w:hAnsiTheme="majorHAnsi" w:cstheme="majorHAnsi"/>
          <w:b/>
          <w:bCs/>
          <w:i/>
          <w:iCs/>
        </w:rPr>
        <w:t>(LISIS-UGE, AIT, CWTS)</w:t>
      </w:r>
    </w:p>
    <w:p w14:paraId="3D81F07A" w14:textId="77777777" w:rsidR="000E4EBC" w:rsidRPr="00DE4CD2" w:rsidRDefault="000E4EBC" w:rsidP="000E4EBC">
      <w:pPr>
        <w:ind w:left="360"/>
        <w:rPr>
          <w:rFonts w:asciiTheme="majorHAnsi" w:hAnsiTheme="majorHAnsi" w:cstheme="majorHAnsi"/>
          <w:noProof/>
        </w:rPr>
      </w:pPr>
    </w:p>
    <w:p w14:paraId="3CF33E14" w14:textId="77777777" w:rsidR="000E4EBC" w:rsidRPr="00DE4CD2" w:rsidRDefault="000E4EBC" w:rsidP="000E4EBC">
      <w:pPr>
        <w:jc w:val="both"/>
        <w:rPr>
          <w:rFonts w:asciiTheme="majorHAnsi" w:hAnsiTheme="majorHAnsi" w:cstheme="majorHAnsi"/>
          <w:noProof/>
        </w:rPr>
      </w:pPr>
      <w:r w:rsidRPr="00DE4CD2">
        <w:rPr>
          <w:rFonts w:asciiTheme="majorHAnsi" w:hAnsiTheme="majorHAnsi" w:cstheme="majorHAnsi"/>
          <w:noProof/>
        </w:rPr>
        <w:t>Because new knowledge is the fundamental engine of new inventions, innovative firms engage in strategic interactions to gain ompetitive advantage from continuous scientific and technical interactions. In today’s fast changing knowledge economies, firms increasingly need to find and exploit new knowledge in order to innovate and grow. Universities are often the most important repository of such knowledge. The exchange of knowledge between academia and industry is therefore an essential mechanism to bring science to the market and foster innovation and economic growth.</w:t>
      </w:r>
    </w:p>
    <w:p w14:paraId="5AA16339" w14:textId="77777777" w:rsidR="000E4EBC" w:rsidRPr="00DE4CD2" w:rsidRDefault="000E4EBC" w:rsidP="000E4EBC">
      <w:pPr>
        <w:jc w:val="both"/>
        <w:rPr>
          <w:rFonts w:asciiTheme="majorHAnsi" w:hAnsiTheme="majorHAnsi" w:cstheme="majorHAnsi"/>
          <w:noProof/>
        </w:rPr>
      </w:pPr>
    </w:p>
    <w:p w14:paraId="7C68795D" w14:textId="77777777" w:rsidR="000E4EBC" w:rsidRPr="00DE4CD2" w:rsidRDefault="000E4EBC" w:rsidP="000E4EBC">
      <w:pPr>
        <w:jc w:val="both"/>
        <w:rPr>
          <w:rFonts w:asciiTheme="majorHAnsi" w:hAnsiTheme="majorHAnsi" w:cstheme="majorHAnsi"/>
          <w:noProof/>
        </w:rPr>
      </w:pPr>
      <w:r w:rsidRPr="00DE4CD2">
        <w:rPr>
          <w:rFonts w:asciiTheme="majorHAnsi" w:hAnsiTheme="majorHAnsi" w:cstheme="majorHAnsi"/>
          <w:noProof/>
        </w:rPr>
        <w:t>For this purpose, this ongoing research looks at how scientific collaboration, most often linking universities and large international firms fosters local invention considering 631 CIB large corporations from the pharma (341), biotech (68) and chemicals sector (222). These firms have authored more than half a million scientific publications (from the WoS) over a 20 year period (2000-2019). Two thirds of the publications include co-authors affiliated to universities or PROs and most of them are being co-authored with universities located in a wide spectrum of European metropolitan areas.</w:t>
      </w:r>
    </w:p>
    <w:p w14:paraId="2EB2B0E5" w14:textId="77777777" w:rsidR="000921C9" w:rsidRPr="00DE4CD2" w:rsidRDefault="000921C9" w:rsidP="000E4EBC">
      <w:pPr>
        <w:jc w:val="both"/>
        <w:rPr>
          <w:rFonts w:asciiTheme="majorHAnsi" w:hAnsiTheme="majorHAnsi" w:cstheme="majorHAnsi"/>
          <w:noProof/>
        </w:rPr>
      </w:pPr>
    </w:p>
    <w:p w14:paraId="4F04E80F" w14:textId="425414E7" w:rsidR="000E4EBC" w:rsidRPr="00DE4CD2" w:rsidRDefault="000E4EBC" w:rsidP="000E4EBC">
      <w:pPr>
        <w:jc w:val="both"/>
        <w:rPr>
          <w:rFonts w:asciiTheme="majorHAnsi" w:hAnsiTheme="majorHAnsi" w:cstheme="majorHAnsi"/>
          <w:noProof/>
        </w:rPr>
      </w:pPr>
      <w:r w:rsidRPr="00DE4CD2">
        <w:rPr>
          <w:rFonts w:asciiTheme="majorHAnsi" w:hAnsiTheme="majorHAnsi" w:cstheme="majorHAnsi"/>
          <w:noProof/>
        </w:rPr>
        <w:t xml:space="preserve">Using a spatial econometric modelling (Spatial Auto Regressive model), we, estimate the relationships between technological knowledge production in European metropolitan regions and their science-industry collaboration intensity. </w:t>
      </w:r>
      <w:r w:rsidRPr="00DE4CD2">
        <w:rPr>
          <w:rFonts w:asciiTheme="majorHAnsi" w:hAnsiTheme="majorHAnsi" w:cstheme="majorHAnsi"/>
        </w:rPr>
        <w:t xml:space="preserve">First results have shown that the corporate publications have a clear and significant effect on inventive outcome and production and that this </w:t>
      </w:r>
      <w:r w:rsidRPr="00DE4CD2">
        <w:rPr>
          <w:rFonts w:asciiTheme="majorHAnsi" w:hAnsiTheme="majorHAnsi" w:cstheme="majorHAnsi"/>
        </w:rPr>
        <w:lastRenderedPageBreak/>
        <w:t xml:space="preserve">effect is higher considering only science-industry cooperation (corporate publications) compared to the general knowledge pool (all publications). Spatial proximity to other high inventive regions is also an important parameter: There is a positive spatial </w:t>
      </w:r>
      <w:proofErr w:type="spellStart"/>
      <w:r w:rsidRPr="00DE4CD2">
        <w:rPr>
          <w:rFonts w:asciiTheme="majorHAnsi" w:hAnsiTheme="majorHAnsi" w:cstheme="majorHAnsi"/>
        </w:rPr>
        <w:t>spillover</w:t>
      </w:r>
      <w:proofErr w:type="spellEnd"/>
      <w:r w:rsidRPr="00DE4CD2">
        <w:rPr>
          <w:rFonts w:asciiTheme="majorHAnsi" w:hAnsiTheme="majorHAnsi" w:cstheme="majorHAnsi"/>
        </w:rPr>
        <w:t xml:space="preserve"> effects (indirect effect) from neighbouring regions for corporate publications and GDP. Participation in FP networks was not significant (degree centrality).</w:t>
      </w:r>
    </w:p>
    <w:p w14:paraId="70C51608" w14:textId="77777777" w:rsidR="000E4EBC" w:rsidRPr="00DE4CD2" w:rsidRDefault="000E4EBC" w:rsidP="000E4EBC">
      <w:pPr>
        <w:rPr>
          <w:rFonts w:asciiTheme="majorHAnsi" w:hAnsiTheme="majorHAnsi" w:cstheme="majorHAnsi"/>
        </w:rPr>
      </w:pPr>
    </w:p>
    <w:p w14:paraId="53EB34DB" w14:textId="21B7366A" w:rsidR="000E4EBC" w:rsidRPr="00DE4CD2" w:rsidRDefault="000E4EBC" w:rsidP="002C3BB1">
      <w:pPr>
        <w:pStyle w:val="Listenabsatz"/>
        <w:numPr>
          <w:ilvl w:val="0"/>
          <w:numId w:val="3"/>
        </w:numPr>
        <w:pBdr>
          <w:top w:val="none" w:sz="0" w:space="0" w:color="auto"/>
          <w:left w:val="none" w:sz="0" w:space="0" w:color="auto"/>
          <w:bottom w:val="none" w:sz="0" w:space="0" w:color="auto"/>
          <w:right w:val="none" w:sz="0" w:space="0" w:color="auto"/>
          <w:between w:val="none" w:sz="0" w:space="0" w:color="auto"/>
        </w:pBdr>
        <w:rPr>
          <w:rFonts w:asciiTheme="majorHAnsi" w:hAnsiTheme="majorHAnsi" w:cstheme="majorHAnsi"/>
          <w:b/>
          <w:bCs/>
        </w:rPr>
      </w:pPr>
      <w:r w:rsidRPr="00DE4CD2">
        <w:rPr>
          <w:rFonts w:asciiTheme="majorHAnsi" w:hAnsiTheme="majorHAnsi" w:cstheme="majorHAnsi"/>
          <w:b/>
          <w:bCs/>
        </w:rPr>
        <w:t xml:space="preserve">Regional innovation in the Agri-food industry in Italy </w:t>
      </w:r>
      <w:r w:rsidRPr="00DE4CD2">
        <w:rPr>
          <w:rFonts w:asciiTheme="majorHAnsi" w:hAnsiTheme="majorHAnsi" w:cstheme="majorHAnsi"/>
          <w:b/>
          <w:bCs/>
          <w:i/>
          <w:iCs/>
        </w:rPr>
        <w:t>(LISIS-UGE and Uni Salento)</w:t>
      </w:r>
    </w:p>
    <w:p w14:paraId="01578A75" w14:textId="77777777" w:rsidR="000E4EBC" w:rsidRPr="00DE4CD2" w:rsidRDefault="000E4EBC" w:rsidP="000E4EBC">
      <w:pPr>
        <w:rPr>
          <w:rFonts w:asciiTheme="majorHAnsi" w:hAnsiTheme="majorHAnsi" w:cstheme="majorHAnsi"/>
        </w:rPr>
      </w:pPr>
    </w:p>
    <w:p w14:paraId="16675644" w14:textId="71F0A993" w:rsidR="000E4EBC" w:rsidRPr="00DE4CD2" w:rsidRDefault="000E4EBC" w:rsidP="000E4EBC">
      <w:pPr>
        <w:jc w:val="both"/>
        <w:rPr>
          <w:rFonts w:asciiTheme="majorHAnsi" w:hAnsiTheme="majorHAnsi" w:cstheme="majorHAnsi"/>
          <w:lang w:val="en-US"/>
        </w:rPr>
      </w:pPr>
      <w:r w:rsidRPr="00DE4CD2">
        <w:rPr>
          <w:rFonts w:asciiTheme="majorHAnsi" w:hAnsiTheme="majorHAnsi" w:cstheme="majorHAnsi"/>
          <w:lang w:val="en-US"/>
        </w:rPr>
        <w:t xml:space="preserve">Rural development has become increasingly important in the globalized scenario and the agri-food sector is mainly susceptible to a strong relationship with the territory. In this work we measure, using a nonparametric efficiency methodology, the impact of regional intellectual capital and know-how on the local agricultural sector development of rural and urban areas in Italy. Intellectual capital encompasses two fundamental aspects, innovation and tradition, that are proxied using on the one hand patent application data (innovation) and presence of </w:t>
      </w:r>
      <w:proofErr w:type="spellStart"/>
      <w:r w:rsidRPr="00DE4CD2">
        <w:rPr>
          <w:rFonts w:asciiTheme="majorHAnsi" w:hAnsiTheme="majorHAnsi" w:cstheme="majorHAnsi"/>
          <w:lang w:val="en-US"/>
        </w:rPr>
        <w:t>consorti</w:t>
      </w:r>
      <w:proofErr w:type="spellEnd"/>
      <w:r w:rsidRPr="00DE4CD2">
        <w:rPr>
          <w:rFonts w:asciiTheme="majorHAnsi" w:hAnsiTheme="majorHAnsi" w:cstheme="majorHAnsi"/>
          <w:lang w:val="en-US"/>
        </w:rPr>
        <w:t xml:space="preserve"> for product certification (PDO) (tradition). </w:t>
      </w:r>
    </w:p>
    <w:p w14:paraId="38A65A2C" w14:textId="60DE27DE" w:rsidR="000921C9" w:rsidRPr="00DE4CD2" w:rsidRDefault="000921C9" w:rsidP="000E4EBC">
      <w:pPr>
        <w:jc w:val="both"/>
        <w:rPr>
          <w:rFonts w:asciiTheme="majorHAnsi" w:hAnsiTheme="majorHAnsi" w:cstheme="majorHAnsi"/>
          <w:lang w:val="en-US"/>
        </w:rPr>
      </w:pPr>
    </w:p>
    <w:p w14:paraId="00F8CAA4" w14:textId="6829F7BF" w:rsidR="000921C9" w:rsidRPr="00DE4CD2" w:rsidRDefault="000921C9" w:rsidP="000921C9">
      <w:pPr>
        <w:spacing w:after="120"/>
        <w:jc w:val="both"/>
        <w:rPr>
          <w:rFonts w:asciiTheme="majorHAnsi" w:eastAsiaTheme="minorHAnsi" w:hAnsiTheme="majorHAnsi" w:cstheme="majorHAnsi"/>
          <w:i/>
          <w:iCs/>
          <w:lang w:val="en-US" w:eastAsia="en-US"/>
        </w:rPr>
      </w:pPr>
      <w:r w:rsidRPr="00DE4CD2">
        <w:rPr>
          <w:rFonts w:asciiTheme="majorHAnsi" w:eastAsiaTheme="minorHAnsi" w:hAnsiTheme="majorHAnsi" w:cstheme="majorHAnsi"/>
          <w:i/>
          <w:iCs/>
          <w:lang w:val="en-US" w:eastAsia="en-US"/>
        </w:rPr>
        <w:t>Figure 9: Schematic view of the efficiency analysis</w:t>
      </w:r>
    </w:p>
    <w:p w14:paraId="645016B6" w14:textId="77777777" w:rsidR="000E4EBC" w:rsidRPr="00DE4CD2" w:rsidRDefault="000E4EBC" w:rsidP="000921C9">
      <w:pPr>
        <w:rPr>
          <w:rFonts w:asciiTheme="majorHAnsi" w:hAnsiTheme="majorHAnsi" w:cstheme="majorHAnsi"/>
          <w:lang w:val="en-US"/>
        </w:rPr>
      </w:pPr>
      <w:r w:rsidRPr="00DE4CD2">
        <w:rPr>
          <w:rFonts w:asciiTheme="majorHAnsi" w:hAnsiTheme="majorHAnsi" w:cstheme="majorHAnsi"/>
          <w:noProof/>
        </w:rPr>
        <w:drawing>
          <wp:inline distT="0" distB="0" distL="0" distR="0" wp14:anchorId="16A4ACF8" wp14:editId="2F99DBBB">
            <wp:extent cx="2897579" cy="1188750"/>
            <wp:effectExtent l="0" t="0" r="0" b="0"/>
            <wp:docPr id="1296601547" name="Grafik 1296601547">
              <a:extLst xmlns:a="http://schemas.openxmlformats.org/drawingml/2006/main">
                <a:ext uri="{FF2B5EF4-FFF2-40B4-BE49-F238E27FC236}">
                  <a16:creationId xmlns:a16="http://schemas.microsoft.com/office/drawing/2014/main" id="{6FD07BC2-0249-9948-9FA4-A128D0FDEF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a:extLst>
                        <a:ext uri="{FF2B5EF4-FFF2-40B4-BE49-F238E27FC236}">
                          <a16:creationId xmlns:a16="http://schemas.microsoft.com/office/drawing/2014/main" id="{6FD07BC2-0249-9948-9FA4-A128D0FDEF43}"/>
                        </a:ext>
                      </a:extLst>
                    </pic:cNvPr>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924730" cy="1199889"/>
                    </a:xfrm>
                    <a:prstGeom prst="rect">
                      <a:avLst/>
                    </a:prstGeom>
                  </pic:spPr>
                </pic:pic>
              </a:graphicData>
            </a:graphic>
          </wp:inline>
        </w:drawing>
      </w:r>
    </w:p>
    <w:p w14:paraId="3AE9DCDD" w14:textId="77777777" w:rsidR="000E4EBC" w:rsidRPr="00DE4CD2" w:rsidRDefault="000E4EBC" w:rsidP="000E4EBC">
      <w:pPr>
        <w:jc w:val="both"/>
        <w:rPr>
          <w:rFonts w:asciiTheme="majorHAnsi" w:hAnsiTheme="majorHAnsi" w:cstheme="majorHAnsi"/>
          <w:lang w:val="en-US"/>
        </w:rPr>
      </w:pPr>
    </w:p>
    <w:p w14:paraId="0BE253D9" w14:textId="4980C0A8" w:rsidR="000E4EBC" w:rsidRPr="00DE4CD2" w:rsidRDefault="000E4EBC" w:rsidP="000921C9">
      <w:pPr>
        <w:rPr>
          <w:rFonts w:asciiTheme="majorHAnsi" w:hAnsiTheme="majorHAnsi" w:cstheme="majorHAnsi"/>
          <w:lang w:val="en-US"/>
        </w:rPr>
      </w:pPr>
      <w:r w:rsidRPr="00DE4CD2">
        <w:rPr>
          <w:rFonts w:asciiTheme="majorHAnsi" w:hAnsiTheme="majorHAnsi" w:cstheme="majorHAnsi"/>
          <w:lang w:val="en-US"/>
        </w:rPr>
        <w:t xml:space="preserve">After the geocoding of patent inventors’ addresses and consortium entities using </w:t>
      </w:r>
      <w:proofErr w:type="spellStart"/>
      <w:r w:rsidRPr="00DE4CD2">
        <w:rPr>
          <w:rFonts w:asciiTheme="majorHAnsi" w:hAnsiTheme="majorHAnsi" w:cstheme="majorHAnsi"/>
          <w:lang w:val="en-US"/>
        </w:rPr>
        <w:t>Cortext</w:t>
      </w:r>
      <w:proofErr w:type="spellEnd"/>
      <w:r w:rsidRPr="00DE4CD2">
        <w:rPr>
          <w:rFonts w:asciiTheme="majorHAnsi" w:hAnsiTheme="majorHAnsi" w:cstheme="majorHAnsi"/>
          <w:lang w:val="en-US"/>
        </w:rPr>
        <w:t xml:space="preserve">, both types of data were allocated to Italian Rural or Urban Areas (URAs). </w:t>
      </w:r>
      <w:r w:rsidRPr="00DE4CD2">
        <w:rPr>
          <w:rFonts w:asciiTheme="majorHAnsi" w:hAnsiTheme="majorHAnsi" w:cstheme="majorHAnsi"/>
        </w:rPr>
        <w:t>The distributions of patents and consortium densities in URAs are very skew and unevenly distributed.</w:t>
      </w:r>
      <w:r w:rsidR="000921C9" w:rsidRPr="00DE4CD2">
        <w:rPr>
          <w:rFonts w:asciiTheme="majorHAnsi" w:hAnsiTheme="majorHAnsi" w:cstheme="majorHAnsi"/>
        </w:rPr>
        <w:t xml:space="preserve"> </w:t>
      </w:r>
      <w:r w:rsidRPr="00DE4CD2">
        <w:rPr>
          <w:rFonts w:asciiTheme="majorHAnsi" w:hAnsiTheme="majorHAnsi" w:cstheme="majorHAnsi"/>
          <w:lang w:val="en-US"/>
        </w:rPr>
        <w:t xml:space="preserve">Results have shown that the local inventive capacities in agrifood technology positively impact the production function of URA: URAs with higher patent densities perform better than URAs with low inventive activity. </w:t>
      </w:r>
    </w:p>
    <w:p w14:paraId="04B76D9F" w14:textId="77777777" w:rsidR="000E4EBC" w:rsidRPr="00DE4CD2" w:rsidRDefault="000E4EBC" w:rsidP="000E4EBC">
      <w:pPr>
        <w:jc w:val="both"/>
        <w:rPr>
          <w:rFonts w:asciiTheme="majorHAnsi" w:hAnsiTheme="majorHAnsi" w:cstheme="majorHAnsi"/>
          <w:lang w:val="en-US"/>
        </w:rPr>
      </w:pPr>
    </w:p>
    <w:p w14:paraId="58A5B604" w14:textId="35C6FDC6" w:rsidR="000E4EBC" w:rsidRPr="00DE4CD2" w:rsidRDefault="000E4EBC" w:rsidP="000E4EBC">
      <w:pPr>
        <w:tabs>
          <w:tab w:val="left" w:pos="6650"/>
        </w:tabs>
        <w:jc w:val="both"/>
        <w:rPr>
          <w:rFonts w:asciiTheme="majorHAnsi" w:hAnsiTheme="majorHAnsi" w:cstheme="majorHAnsi"/>
          <w:lang w:val="en-US"/>
        </w:rPr>
      </w:pPr>
      <w:r w:rsidRPr="00DE4CD2">
        <w:rPr>
          <w:rFonts w:asciiTheme="majorHAnsi" w:hAnsiTheme="majorHAnsi" w:cstheme="majorHAnsi"/>
          <w:lang w:val="en-US"/>
        </w:rPr>
        <w:t>Consortia density also plays a role, but not a simple linear one. Local PDO certification activity positively impacts the production function up to a moderate consortium density but then negative effect at high consortium density. The size of the consortia also plays here a key role. URAs that host large consortia, i.e. consortia that include many enterprises, perform better than URAs where consortia include on average only one or two enterprises. Therefore, in order to fully benefit from the presence of local PDO certification, it seems that both the density and the size of consortia need to be taken into account. The multiplication of the presence of small consortia in a given territory is detrimental to regional efficiency, while larger and fewer consortia are a better strategy for promoting local economic development. This is an important finding of this work.</w:t>
      </w:r>
    </w:p>
    <w:p w14:paraId="6844A6DF" w14:textId="77777777" w:rsidR="000E4EBC" w:rsidRPr="00DE4CD2" w:rsidRDefault="000E4EBC" w:rsidP="000E4EBC">
      <w:pPr>
        <w:jc w:val="both"/>
        <w:rPr>
          <w:rFonts w:asciiTheme="majorHAnsi" w:hAnsiTheme="majorHAnsi" w:cstheme="majorHAnsi"/>
          <w:lang w:val="en-US"/>
        </w:rPr>
      </w:pPr>
      <w:r w:rsidRPr="00DE4CD2">
        <w:rPr>
          <w:rFonts w:asciiTheme="majorHAnsi" w:hAnsiTheme="majorHAnsi" w:cstheme="majorHAnsi"/>
          <w:lang w:val="en-US"/>
        </w:rPr>
        <w:t xml:space="preserve">The combination of both traditional and innovative activities in the agri-food sector allows to obtain the highest productive efficiency. The ability to benefit from the synergy effect of traditional and innovative activities in the agri-food sector allows some regions to perform extremely well in terms of the productivity of their agri-food system. These regions are located in northern Italy, first of all in Emilia-Romagna. They benefit from a regional environment in which both activities are promoted and mastered thanks to adapted human, relational and structural capital. </w:t>
      </w:r>
    </w:p>
    <w:p w14:paraId="2CC296AC" w14:textId="77777777" w:rsidR="000E4EBC" w:rsidRPr="00DE4CD2" w:rsidRDefault="000E4EBC" w:rsidP="000E4EBC">
      <w:pPr>
        <w:jc w:val="both"/>
        <w:rPr>
          <w:rFonts w:asciiTheme="majorHAnsi" w:hAnsiTheme="majorHAnsi" w:cstheme="majorHAnsi"/>
          <w:lang w:val="en-US"/>
        </w:rPr>
      </w:pPr>
    </w:p>
    <w:p w14:paraId="401B2046" w14:textId="77777777" w:rsidR="000E4EBC" w:rsidRPr="00DE4CD2" w:rsidRDefault="000E4EBC" w:rsidP="000E4EBC">
      <w:pPr>
        <w:rPr>
          <w:rFonts w:asciiTheme="majorHAnsi" w:hAnsiTheme="majorHAnsi" w:cstheme="majorHAnsi"/>
          <w:lang w:val="en-US"/>
        </w:rPr>
      </w:pPr>
    </w:p>
    <w:p w14:paraId="4D27779E" w14:textId="645C1460" w:rsidR="004A00EB" w:rsidRPr="00DE4CD2" w:rsidRDefault="004A00EB" w:rsidP="004A00EB">
      <w:pPr>
        <w:pStyle w:val="berschrift3"/>
        <w:rPr>
          <w:rFonts w:asciiTheme="majorHAnsi" w:hAnsiTheme="majorHAnsi" w:cstheme="majorHAnsi"/>
          <w:color w:val="auto"/>
        </w:rPr>
      </w:pPr>
      <w:bookmarkStart w:id="7" w:name="_Toc153536124"/>
      <w:r w:rsidRPr="00DE4CD2">
        <w:rPr>
          <w:rFonts w:asciiTheme="majorHAnsi" w:hAnsiTheme="majorHAnsi" w:cstheme="majorHAnsi"/>
          <w:color w:val="auto"/>
        </w:rPr>
        <w:t>Trademarks</w:t>
      </w:r>
      <w:bookmarkEnd w:id="7"/>
    </w:p>
    <w:p w14:paraId="71A7CB19" w14:textId="77777777" w:rsidR="004A00EB" w:rsidRPr="00DE4CD2" w:rsidRDefault="004A00EB" w:rsidP="004A00EB">
      <w:pPr>
        <w:rPr>
          <w:rFonts w:asciiTheme="majorHAnsi" w:hAnsiTheme="majorHAnsi" w:cstheme="majorHAnsi"/>
        </w:rPr>
      </w:pPr>
    </w:p>
    <w:p w14:paraId="2C6A32DB" w14:textId="77777777" w:rsidR="006A1757" w:rsidRPr="00DE4CD2" w:rsidRDefault="006A1757" w:rsidP="006A1757">
      <w:pPr>
        <w:rPr>
          <w:rFonts w:asciiTheme="majorHAnsi" w:hAnsiTheme="majorHAnsi" w:cstheme="majorHAnsi"/>
          <w:b/>
          <w:bCs/>
          <w:i/>
          <w:iCs/>
        </w:rPr>
      </w:pPr>
      <w:r w:rsidRPr="00DE4CD2">
        <w:rPr>
          <w:rFonts w:asciiTheme="majorHAnsi" w:hAnsiTheme="majorHAnsi" w:cstheme="majorHAnsi"/>
          <w:b/>
          <w:bCs/>
          <w:i/>
          <w:iCs/>
        </w:rPr>
        <w:t>Present State and value added</w:t>
      </w:r>
    </w:p>
    <w:p w14:paraId="012DB34F" w14:textId="77777777" w:rsidR="006A1757" w:rsidRPr="00DE4CD2" w:rsidRDefault="006A1757" w:rsidP="006A1757">
      <w:pPr>
        <w:rPr>
          <w:rFonts w:asciiTheme="majorHAnsi" w:hAnsiTheme="majorHAnsi" w:cstheme="majorHAnsi"/>
          <w:b/>
          <w:bCs/>
          <w:i/>
          <w:iCs/>
        </w:rPr>
      </w:pPr>
    </w:p>
    <w:p w14:paraId="619E4CD3" w14:textId="7AF82A96" w:rsidR="006A1757" w:rsidRPr="00DE4CD2" w:rsidRDefault="006A1757" w:rsidP="006A1757">
      <w:pPr>
        <w:jc w:val="both"/>
        <w:rPr>
          <w:rFonts w:asciiTheme="majorHAnsi" w:hAnsiTheme="majorHAnsi" w:cstheme="majorHAnsi"/>
        </w:rPr>
      </w:pPr>
      <w:r w:rsidRPr="00DE4CD2">
        <w:rPr>
          <w:rFonts w:asciiTheme="majorHAnsi" w:hAnsiTheme="majorHAnsi" w:cstheme="majorHAnsi"/>
        </w:rPr>
        <w:t>Trademarks are means to signal distinctions of goods, services, persons or organisations active in similar businesses or markets. They cover words, designs, letters, numerals and the shape of goods or of their packaging (Regulation 2017/1001 - EU trade mark) and can be seen as brands and tools for the individual identification of goods and services that any person or company, including authorities established under public law, may obtain.</w:t>
      </w:r>
    </w:p>
    <w:p w14:paraId="1D86BE32" w14:textId="77777777" w:rsidR="006A1757" w:rsidRPr="00DE4CD2" w:rsidRDefault="006A1757" w:rsidP="006A1757">
      <w:pPr>
        <w:jc w:val="both"/>
        <w:rPr>
          <w:rFonts w:asciiTheme="majorHAnsi" w:hAnsiTheme="majorHAnsi" w:cstheme="majorHAnsi"/>
        </w:rPr>
      </w:pPr>
    </w:p>
    <w:p w14:paraId="4CADA9BC" w14:textId="3C2CA906" w:rsidR="006A1757" w:rsidRPr="00DE4CD2" w:rsidRDefault="006A1757" w:rsidP="006A1757">
      <w:pPr>
        <w:jc w:val="both"/>
        <w:rPr>
          <w:rFonts w:asciiTheme="majorHAnsi" w:hAnsiTheme="majorHAnsi" w:cstheme="majorHAnsi"/>
        </w:rPr>
      </w:pPr>
      <w:r w:rsidRPr="00DE4CD2">
        <w:rPr>
          <w:rFonts w:asciiTheme="majorHAnsi" w:hAnsiTheme="majorHAnsi" w:cstheme="majorHAnsi"/>
        </w:rPr>
        <w:t xml:space="preserve">This distinction of goods and services mainly targets consumers/customers, who shall be enabled to differentiate between the subject of the trademark and other goods/services/persons/organisation. In this respect, trademarks are able to provide information and reduce transaction costs. In innovation research, trademarks have been more and more extensively used for the measurement of innovation activities </w:t>
      </w:r>
      <w:sdt>
        <w:sdtPr>
          <w:rPr>
            <w:rFonts w:asciiTheme="majorHAnsi" w:hAnsiTheme="majorHAnsi" w:cstheme="majorHAnsi"/>
          </w:rPr>
          <w:alias w:val="Don't edit this field"/>
          <w:tag w:val="CitaviPlaceholder#f7b6a4b2-e4cb-48cf-b4c2-fab8c3f1a530"/>
          <w:id w:val="143476300"/>
          <w:placeholder>
            <w:docPart w:val="62773662606E43A4B9870BD233352EF7"/>
          </w:placeholder>
        </w:sdtPr>
        <w:sdtEndPr/>
        <w:sdtContent>
          <w:r w:rsidRPr="00DE4CD2">
            <w:rPr>
              <w:rFonts w:asciiTheme="majorHAnsi" w:hAnsiTheme="majorHAnsi" w:cstheme="majorHAnsi"/>
            </w:rPr>
            <w:fldChar w:fldCharType="begin"/>
          </w:r>
          <w:r w:rsidRPr="00DE4CD2">
            <w:rPr>
              <w:rFonts w:asciiTheme="majorHAnsi" w:hAnsiTheme="majorHAnsi" w:cstheme="majorHAnsi"/>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}</w:instrText>
          </w:r>
          <w:r w:rsidRPr="00DE4CD2">
            <w:rPr>
              <w:rFonts w:asciiTheme="majorHAnsi" w:hAnsiTheme="majorHAnsi" w:cstheme="majorHAnsi"/>
            </w:rPr>
            <w:fldChar w:fldCharType="separate"/>
          </w:r>
          <w:r w:rsidRPr="00DE4CD2">
            <w:rPr>
              <w:rFonts w:asciiTheme="majorHAnsi" w:hAnsiTheme="majorHAnsi" w:cstheme="majorHAnsi"/>
            </w:rPr>
            <w:t>(e.g. Castaldi, 2020; deGrazia et al., 2020; Flikkema et al., 2014; Flikkema et al., 2019; Greenhalgh and Rogers, 2006; Sandner and Block, 2011)</w:t>
          </w:r>
          <w:r w:rsidRPr="00DE4CD2">
            <w:rPr>
              <w:rFonts w:asciiTheme="majorHAnsi" w:hAnsiTheme="majorHAnsi" w:cstheme="majorHAnsi"/>
            </w:rPr>
            <w:fldChar w:fldCharType="end"/>
          </w:r>
          <w:r w:rsidRPr="00DE4CD2">
            <w:rPr>
              <w:rFonts w:asciiTheme="majorHAnsi" w:hAnsiTheme="majorHAnsi" w:cstheme="majorHAnsi"/>
            </w:rPr>
            <w:t>.</w:t>
          </w:r>
        </w:sdtContent>
      </w:sdt>
      <w:r w:rsidRPr="00DE4CD2">
        <w:rPr>
          <w:rFonts w:asciiTheme="majorHAnsi" w:hAnsiTheme="majorHAnsi" w:cstheme="majorHAnsi"/>
        </w:rPr>
        <w:t xml:space="preserve"> This is partly due to the fact that trademarks provide insights on service sector innovation, i.e. they serve as a complementary indicator to patents, which are focused on technical inventions </w:t>
      </w:r>
      <w:sdt>
        <w:sdtPr>
          <w:rPr>
            <w:rFonts w:asciiTheme="majorHAnsi" w:hAnsiTheme="majorHAnsi" w:cstheme="majorHAnsi"/>
          </w:rPr>
          <w:alias w:val="Don't edit this field"/>
          <w:tag w:val="CitaviPlaceholder#a8dfd41c-7a17-4bbd-b7b9-e35383831473"/>
          <w:id w:val="-527561032"/>
          <w:placeholder>
            <w:docPart w:val="444BF6E0F03D436D9F7645A38A24D834"/>
          </w:placeholder>
        </w:sdtPr>
        <w:sdtEndPr/>
        <w:sdtContent>
          <w:r w:rsidRPr="00DE4CD2">
            <w:rPr>
              <w:rFonts w:asciiTheme="majorHAnsi" w:hAnsiTheme="majorHAnsi" w:cstheme="majorHAnsi"/>
            </w:rPr>
            <w:fldChar w:fldCharType="begin"/>
          </w:r>
          <w:r w:rsidRPr="00DE4CD2">
            <w:rPr>
              <w:rFonts w:asciiTheme="majorHAnsi" w:hAnsiTheme="majorHAnsi" w:cstheme="majorHAnsi"/>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}</w:instrText>
          </w:r>
          <w:r w:rsidRPr="00DE4CD2">
            <w:rPr>
              <w:rFonts w:asciiTheme="majorHAnsi" w:hAnsiTheme="majorHAnsi" w:cstheme="majorHAnsi"/>
            </w:rPr>
            <w:fldChar w:fldCharType="separate"/>
          </w:r>
          <w:r w:rsidRPr="00DE4CD2">
            <w:rPr>
              <w:rFonts w:asciiTheme="majorHAnsi" w:hAnsiTheme="majorHAnsi" w:cstheme="majorHAnsi"/>
            </w:rPr>
            <w:t>(Gauch, 2007; Sandner and Block, 2011; Schmoch, 2014)</w:t>
          </w:r>
          <w:r w:rsidRPr="00DE4CD2">
            <w:rPr>
              <w:rFonts w:asciiTheme="majorHAnsi" w:hAnsiTheme="majorHAnsi" w:cstheme="majorHAnsi"/>
            </w:rPr>
            <w:fldChar w:fldCharType="end"/>
          </w:r>
        </w:sdtContent>
      </w:sdt>
      <w:r w:rsidRPr="00DE4CD2">
        <w:rPr>
          <w:rFonts w:asciiTheme="majorHAnsi" w:hAnsiTheme="majorHAnsi" w:cstheme="majorHAnsi"/>
        </w:rPr>
        <w:t>.</w:t>
      </w:r>
    </w:p>
    <w:p w14:paraId="185D1D9B" w14:textId="77777777" w:rsidR="006A1757" w:rsidRPr="00DE4CD2" w:rsidRDefault="006A1757" w:rsidP="006A1757">
      <w:pPr>
        <w:jc w:val="both"/>
        <w:rPr>
          <w:rFonts w:asciiTheme="majorHAnsi" w:hAnsiTheme="majorHAnsi" w:cstheme="majorHAnsi"/>
        </w:rPr>
      </w:pPr>
    </w:p>
    <w:p w14:paraId="3D558237" w14:textId="77777777" w:rsidR="006A1757" w:rsidRPr="00DE4CD2" w:rsidRDefault="006A1757" w:rsidP="006A1757">
      <w:pPr>
        <w:jc w:val="both"/>
        <w:rPr>
          <w:rFonts w:asciiTheme="majorHAnsi" w:hAnsiTheme="majorHAnsi" w:cstheme="majorHAnsi"/>
        </w:rPr>
      </w:pPr>
      <w:r w:rsidRPr="00DE4CD2">
        <w:rPr>
          <w:rFonts w:asciiTheme="majorHAnsi" w:hAnsiTheme="majorHAnsi" w:cstheme="majorHAnsi"/>
        </w:rPr>
        <w:t>In addition, trademarks are applied and registered for certain goods/services (or persons/organisations). However, they hardly provide a description of the technology underlying it. While this missing description is a disadvantage in terms of understanding what exactly the trademark is about, the focus on goods/services allows the interpretation of trademarks as an application or commercialization activity. In other words, different to patents, which describe the technology itself, trademarks are able to describe the diffusion of products/services using these technologies.</w:t>
      </w:r>
    </w:p>
    <w:p w14:paraId="652BEFE0" w14:textId="77777777" w:rsidR="006A1757" w:rsidRPr="00DE4CD2" w:rsidRDefault="006A1757" w:rsidP="006A1757">
      <w:pPr>
        <w:jc w:val="both"/>
        <w:rPr>
          <w:rFonts w:asciiTheme="majorHAnsi" w:hAnsiTheme="majorHAnsi" w:cstheme="majorHAnsi"/>
        </w:rPr>
      </w:pPr>
    </w:p>
    <w:p w14:paraId="51449692" w14:textId="507CF766" w:rsidR="006A1757" w:rsidRPr="00DE4CD2" w:rsidRDefault="006A1757" w:rsidP="006A1757">
      <w:pPr>
        <w:jc w:val="both"/>
        <w:rPr>
          <w:rFonts w:asciiTheme="majorHAnsi" w:hAnsiTheme="majorHAnsi" w:cstheme="majorHAnsi"/>
        </w:rPr>
      </w:pPr>
      <w:r w:rsidRPr="00DE4CD2">
        <w:rPr>
          <w:rFonts w:asciiTheme="majorHAnsi" w:hAnsiTheme="majorHAnsi" w:cstheme="majorHAnsi"/>
        </w:rPr>
        <w:t>The ISI-Trademark Data Collection (ISI-TM) provides detailed information about trademarks filed at the European Union Intellectual Property Office (EUIPO) and at the U.S. Patent and Trademark Office (USPTO). As a starting point, the trademark data were downloaded from the EUIPO and the USPTO in the form of .xml files. Based on this raw data, two SQL databases, including several tables and their connections were set-up within the RISIS2 project. The ISI-TM-database consequently enables more research on the trademark topic by providing a structured data collection of two SQL based datasets:</w:t>
      </w:r>
    </w:p>
    <w:p w14:paraId="4F5133B5" w14:textId="77777777" w:rsidR="006A1757" w:rsidRPr="00DE4CD2" w:rsidRDefault="006A1757" w:rsidP="006A1757">
      <w:pPr>
        <w:rPr>
          <w:rFonts w:asciiTheme="majorHAnsi" w:hAnsiTheme="majorHAnsi" w:cstheme="majorHAnsi"/>
        </w:rPr>
      </w:pPr>
    </w:p>
    <w:p w14:paraId="793995CB" w14:textId="77777777" w:rsidR="006A1757" w:rsidRPr="00DE4CD2" w:rsidRDefault="006A1757" w:rsidP="006A1757">
      <w:pPr>
        <w:pStyle w:val="Listenabsatz"/>
        <w:numPr>
          <w:ilvl w:val="0"/>
          <w:numId w:val="15"/>
        </w:numPr>
        <w:rPr>
          <w:rFonts w:asciiTheme="majorHAnsi" w:hAnsiTheme="majorHAnsi" w:cstheme="majorHAnsi"/>
        </w:rPr>
      </w:pPr>
      <w:r w:rsidRPr="00DE4CD2">
        <w:rPr>
          <w:rFonts w:asciiTheme="majorHAnsi" w:hAnsiTheme="majorHAnsi" w:cstheme="majorHAnsi"/>
        </w:rPr>
        <w:t>The open trademark database by the EUIPO (formerly known as OHIM), including more than 100,000 applications p.a. in recent years with data available from 1996 to 2021</w:t>
      </w:r>
    </w:p>
    <w:p w14:paraId="3134944B" w14:textId="77777777" w:rsidR="006A1757" w:rsidRPr="00DE4CD2" w:rsidRDefault="006A1757" w:rsidP="006A1757">
      <w:pPr>
        <w:pStyle w:val="Listenabsatz"/>
        <w:numPr>
          <w:ilvl w:val="0"/>
          <w:numId w:val="15"/>
        </w:numPr>
        <w:rPr>
          <w:rFonts w:asciiTheme="majorHAnsi" w:hAnsiTheme="majorHAnsi" w:cstheme="majorHAnsi"/>
        </w:rPr>
      </w:pPr>
      <w:r w:rsidRPr="00DE4CD2">
        <w:rPr>
          <w:rFonts w:asciiTheme="majorHAnsi" w:hAnsiTheme="majorHAnsi" w:cstheme="majorHAnsi"/>
        </w:rPr>
        <w:t>The USPTO trademark database including all USPTO trademark filings since the late 19th century</w:t>
      </w:r>
    </w:p>
    <w:p w14:paraId="4929CB5A" w14:textId="77777777" w:rsidR="006A1757" w:rsidRPr="00DE4CD2" w:rsidRDefault="006A1757" w:rsidP="006A1757">
      <w:pPr>
        <w:rPr>
          <w:rFonts w:asciiTheme="majorHAnsi" w:hAnsiTheme="majorHAnsi" w:cstheme="majorHAnsi"/>
        </w:rPr>
      </w:pPr>
    </w:p>
    <w:p w14:paraId="636B07D2" w14:textId="77777777" w:rsidR="006A1757" w:rsidRPr="00DE4CD2" w:rsidRDefault="006A1757" w:rsidP="006A1757">
      <w:pPr>
        <w:rPr>
          <w:rFonts w:asciiTheme="majorHAnsi" w:hAnsiTheme="majorHAnsi" w:cstheme="majorHAnsi"/>
        </w:rPr>
      </w:pPr>
    </w:p>
    <w:p w14:paraId="1C17F21C" w14:textId="77777777" w:rsidR="006A1757" w:rsidRPr="00DE4CD2" w:rsidRDefault="006A1757" w:rsidP="006A1757">
      <w:pPr>
        <w:rPr>
          <w:rFonts w:asciiTheme="majorHAnsi" w:hAnsiTheme="majorHAnsi" w:cstheme="majorHAnsi"/>
        </w:rPr>
      </w:pPr>
    </w:p>
    <w:p w14:paraId="5DAFE873" w14:textId="77777777" w:rsidR="006A1757" w:rsidRPr="00DE4CD2" w:rsidRDefault="006A1757" w:rsidP="006A1757">
      <w:pPr>
        <w:rPr>
          <w:rFonts w:asciiTheme="majorHAnsi" w:hAnsiTheme="majorHAnsi" w:cstheme="majorHAnsi"/>
        </w:rPr>
      </w:pPr>
    </w:p>
    <w:p w14:paraId="40755A2C" w14:textId="77777777" w:rsidR="006A1757" w:rsidRPr="00DE4CD2" w:rsidRDefault="006A1757" w:rsidP="006A1757">
      <w:pPr>
        <w:rPr>
          <w:rFonts w:asciiTheme="majorHAnsi" w:hAnsiTheme="majorHAnsi" w:cstheme="majorHAnsi"/>
        </w:rPr>
      </w:pPr>
    </w:p>
    <w:p w14:paraId="71110E04" w14:textId="77777777" w:rsidR="006A1757" w:rsidRPr="00DE4CD2" w:rsidRDefault="006A1757" w:rsidP="006A1757">
      <w:pPr>
        <w:rPr>
          <w:rFonts w:asciiTheme="majorHAnsi" w:hAnsiTheme="majorHAnsi" w:cstheme="majorHAnsi"/>
        </w:rPr>
      </w:pPr>
    </w:p>
    <w:p w14:paraId="431F166F" w14:textId="6211FE61" w:rsidR="006A1757" w:rsidRPr="00DE4CD2" w:rsidRDefault="006A1757" w:rsidP="006A1757">
      <w:pPr>
        <w:jc w:val="both"/>
        <w:rPr>
          <w:rFonts w:asciiTheme="majorHAnsi" w:hAnsiTheme="majorHAnsi" w:cstheme="majorHAnsi"/>
        </w:rPr>
      </w:pPr>
      <w:r w:rsidRPr="00DE4CD2">
        <w:rPr>
          <w:rFonts w:asciiTheme="majorHAnsi" w:eastAsiaTheme="minorHAnsi" w:hAnsiTheme="majorHAnsi" w:cstheme="majorHAnsi"/>
          <w:i/>
          <w:iCs/>
          <w:lang w:val="en-US" w:eastAsia="en-US"/>
        </w:rPr>
        <w:t>Figure 10: Number of trademark filings at the EUIPO and at the USPTO</w:t>
      </w:r>
    </w:p>
    <w:p w14:paraId="1AAC7B97" w14:textId="77777777" w:rsidR="006A1757" w:rsidRPr="00DE4CD2" w:rsidRDefault="006A1757" w:rsidP="006A1757">
      <w:pPr>
        <w:jc w:val="both"/>
        <w:rPr>
          <w:rFonts w:asciiTheme="majorHAnsi" w:hAnsiTheme="majorHAnsi" w:cstheme="majorHAnsi"/>
          <w:b/>
          <w:bCs/>
          <w:i/>
          <w:iCs/>
        </w:rPr>
      </w:pPr>
      <w:r w:rsidRPr="00DE4CD2">
        <w:rPr>
          <w:rFonts w:asciiTheme="majorHAnsi" w:hAnsiTheme="majorHAnsi" w:cstheme="majorHAnsi"/>
          <w:noProof/>
          <w:lang w:val="de-DE" w:eastAsia="de-DE"/>
        </w:rPr>
        <w:drawing>
          <wp:inline distT="0" distB="0" distL="0" distR="0" wp14:anchorId="08F4DC10" wp14:editId="34AB025E">
            <wp:extent cx="3024000" cy="2916000"/>
            <wp:effectExtent l="0" t="0" r="5080" b="0"/>
            <wp:docPr id="1" name="Diagramm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r w:rsidRPr="00DE4CD2">
        <w:rPr>
          <w:rFonts w:asciiTheme="majorHAnsi" w:hAnsiTheme="majorHAnsi" w:cstheme="majorHAnsi"/>
          <w:noProof/>
          <w:lang w:val="de-DE" w:eastAsia="de-DE"/>
        </w:rPr>
        <w:drawing>
          <wp:inline distT="0" distB="0" distL="0" distR="0" wp14:anchorId="1F869E9A" wp14:editId="0A7F343E">
            <wp:extent cx="3024000" cy="2916000"/>
            <wp:effectExtent l="0" t="0" r="5080" b="0"/>
            <wp:docPr id="35" name="Diagramm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660E0C78" w14:textId="77777777" w:rsidR="006A1757" w:rsidRPr="00DE4CD2" w:rsidRDefault="006A1757" w:rsidP="006A1757">
      <w:pPr>
        <w:jc w:val="both"/>
        <w:rPr>
          <w:rFonts w:asciiTheme="majorHAnsi" w:hAnsiTheme="majorHAnsi" w:cstheme="majorHAnsi"/>
          <w:b/>
          <w:bCs/>
          <w:i/>
          <w:iCs/>
        </w:rPr>
      </w:pPr>
      <w:r w:rsidRPr="00DE4CD2">
        <w:rPr>
          <w:rFonts w:asciiTheme="majorHAnsi" w:hAnsiTheme="majorHAnsi" w:cstheme="majorHAnsi"/>
          <w:sz w:val="18"/>
        </w:rPr>
        <w:t>Source: EUIPO; USPTO, calculations by Fraunhofer ISI.</w:t>
      </w:r>
    </w:p>
    <w:p w14:paraId="440155C6" w14:textId="77777777" w:rsidR="006A1757" w:rsidRPr="00DE4CD2" w:rsidRDefault="006A1757" w:rsidP="006A1757">
      <w:pPr>
        <w:jc w:val="both"/>
        <w:rPr>
          <w:rFonts w:asciiTheme="majorHAnsi" w:hAnsiTheme="majorHAnsi" w:cstheme="majorHAnsi"/>
          <w:b/>
          <w:bCs/>
          <w:i/>
          <w:iCs/>
        </w:rPr>
      </w:pPr>
    </w:p>
    <w:p w14:paraId="02446247" w14:textId="1938D4E7" w:rsidR="006A1757" w:rsidRPr="00DE4CD2" w:rsidRDefault="006A1757" w:rsidP="006A1757">
      <w:pPr>
        <w:jc w:val="both"/>
        <w:rPr>
          <w:rFonts w:asciiTheme="majorHAnsi" w:hAnsiTheme="majorHAnsi" w:cstheme="majorHAnsi"/>
        </w:rPr>
      </w:pPr>
      <w:r w:rsidRPr="00DE4CD2">
        <w:rPr>
          <w:rFonts w:asciiTheme="majorHAnsi" w:hAnsiTheme="majorHAnsi" w:cstheme="majorHAnsi"/>
        </w:rPr>
        <w:t>Both databases are fully implemented and usable as Oracle SQL versions at Fraunhofer ISI. Together, they form the ISI-Trademark Data Collection (ISI-TM), which has been opened in RISIS2 for access in the datasets portal (</w:t>
      </w:r>
      <w:hyperlink r:id="rId28" w:history="1">
        <w:r w:rsidRPr="00DE4CD2">
          <w:rPr>
            <w:rFonts w:asciiTheme="majorHAnsi" w:hAnsiTheme="majorHAnsi" w:cstheme="majorHAnsi"/>
          </w:rPr>
          <w:t>https://rcf.risis2.eu/datasets</w:t>
        </w:r>
      </w:hyperlink>
      <w:r w:rsidRPr="00DE4CD2">
        <w:rPr>
          <w:rFonts w:asciiTheme="majorHAnsi" w:hAnsiTheme="majorHAnsi" w:cstheme="majorHAnsi"/>
        </w:rPr>
        <w:t>). The metadata is also available online (</w:t>
      </w:r>
      <w:hyperlink r:id="rId29" w:history="1">
        <w:r w:rsidRPr="00DE4CD2">
          <w:rPr>
            <w:rFonts w:asciiTheme="majorHAnsi" w:hAnsiTheme="majorHAnsi" w:cstheme="majorHAnsi"/>
          </w:rPr>
          <w:t>https://rcf.risis2.eu/dataset/14/metadata</w:t>
        </w:r>
      </w:hyperlink>
      <w:r w:rsidRPr="00DE4CD2">
        <w:rPr>
          <w:rFonts w:asciiTheme="majorHAnsi" w:hAnsiTheme="majorHAnsi" w:cstheme="majorHAnsi"/>
        </w:rPr>
        <w:t>). The database is updated periodically (annually) and new information from the EUIPO as well as the USPTO is added. The data provided are the trademark number, as a unique identifier, applicant and representative information, several relevant dates (application, registration,...), trademark type (word, figurative, sound,…), the language of the trademark, information on opposition and information on relevant classifications. The trademark information is processed and set-up into an Oracle relational database system (RDBMS).</w:t>
      </w:r>
    </w:p>
    <w:p w14:paraId="4DCB5BA0" w14:textId="77777777" w:rsidR="006A1757" w:rsidRPr="00DE4CD2" w:rsidRDefault="006A1757" w:rsidP="006A1757">
      <w:pPr>
        <w:jc w:val="both"/>
        <w:rPr>
          <w:rFonts w:asciiTheme="majorHAnsi" w:hAnsiTheme="majorHAnsi" w:cstheme="majorHAnsi"/>
        </w:rPr>
      </w:pPr>
    </w:p>
    <w:p w14:paraId="147AED00" w14:textId="77777777" w:rsidR="006A1757" w:rsidRPr="00DE4CD2" w:rsidRDefault="006A1757" w:rsidP="006A1757">
      <w:pPr>
        <w:jc w:val="both"/>
        <w:rPr>
          <w:rFonts w:asciiTheme="majorHAnsi" w:hAnsiTheme="majorHAnsi" w:cstheme="majorHAnsi"/>
        </w:rPr>
      </w:pPr>
      <w:r w:rsidRPr="00DE4CD2">
        <w:rPr>
          <w:rFonts w:asciiTheme="majorHAnsi" w:hAnsiTheme="majorHAnsi" w:cstheme="majorHAnsi"/>
        </w:rPr>
        <w:t>The ISI-Trademark Data Collection (ISI-TM) offers using trademarks as a complementary and relatively "close to the market" indicator for new products and innovation activities, especially in the service sector. It offers the possibility to be linked to other datasets at the organizational level.</w:t>
      </w:r>
    </w:p>
    <w:p w14:paraId="4AE2DD1D" w14:textId="0D86D8A1" w:rsidR="006A1757" w:rsidRPr="00DE4CD2" w:rsidRDefault="006A1757" w:rsidP="006A1757">
      <w:pPr>
        <w:jc w:val="both"/>
        <w:rPr>
          <w:rFonts w:asciiTheme="majorHAnsi" w:hAnsiTheme="majorHAnsi" w:cstheme="majorHAnsi"/>
        </w:rPr>
      </w:pPr>
      <w:r w:rsidRPr="00DE4CD2">
        <w:rPr>
          <w:rFonts w:asciiTheme="majorHAnsi" w:hAnsiTheme="majorHAnsi" w:cstheme="majorHAnsi"/>
        </w:rPr>
        <w:t>The EUIPO as well as the USPTO datasets are open to be used by the science community. On top of this core version of the, several database extensions were created within the RISIS2 project, that enhance the usage of the database for further research purposes.</w:t>
      </w:r>
    </w:p>
    <w:p w14:paraId="09314141" w14:textId="77777777" w:rsidR="006A1757" w:rsidRPr="00DE4CD2" w:rsidRDefault="006A1757" w:rsidP="006A1757">
      <w:pPr>
        <w:jc w:val="both"/>
        <w:rPr>
          <w:rFonts w:asciiTheme="majorHAnsi" w:hAnsiTheme="majorHAnsi" w:cstheme="majorHAnsi"/>
        </w:rPr>
      </w:pPr>
    </w:p>
    <w:p w14:paraId="7C497048" w14:textId="41A106E5" w:rsidR="006A1757" w:rsidRPr="00DE4CD2" w:rsidRDefault="006A1757" w:rsidP="006A1757">
      <w:pPr>
        <w:jc w:val="both"/>
        <w:rPr>
          <w:rFonts w:asciiTheme="majorHAnsi" w:hAnsiTheme="majorHAnsi" w:cstheme="majorHAnsi"/>
        </w:rPr>
      </w:pPr>
      <w:r w:rsidRPr="00DE4CD2">
        <w:rPr>
          <w:rFonts w:asciiTheme="majorHAnsi" w:hAnsiTheme="majorHAnsi" w:cstheme="majorHAnsi"/>
        </w:rPr>
        <w:t xml:space="preserve">One major development was the creation of a more fine-grained classification of trademarks as a "sub-section" of the rather rough NICE classes. Trademarks are in widespread use as a formal instrument to protect intellectual property. Upon receipt of an application of a trademark at the respective trademark office, the trademark will be processed, which includes a classification of the trademark according to the NICE classification. The NICE classification has been established by the Nice Agreement in 1957 and is comprised of 45 classes. Unlike other classifications like the International Patent Classification, however, there are no sub-sections to these 45 classes and they thus stay at a rather coarse-grained level. This means that in-depth technology analyses for science as well as policy is not possible with the basic trademark data. This newly generated in-depth </w:t>
      </w:r>
      <w:r w:rsidRPr="00DE4CD2">
        <w:rPr>
          <w:rFonts w:asciiTheme="majorHAnsi" w:hAnsiTheme="majorHAnsi" w:cstheme="majorHAnsi"/>
        </w:rPr>
        <w:lastRenderedPageBreak/>
        <w:t xml:space="preserve">classification system created within the RISIS2 project fills this gap and enables analyses for example for Key Enabling Technologies or the Sustainable Development Goals (SDGs). Furthermore, the classification system provides a first step in differentiating innovative from less innovative trademarks. </w:t>
      </w:r>
    </w:p>
    <w:p w14:paraId="59926671" w14:textId="77777777" w:rsidR="006A1757" w:rsidRPr="00DE4CD2" w:rsidRDefault="006A1757" w:rsidP="006A1757">
      <w:pPr>
        <w:jc w:val="both"/>
        <w:rPr>
          <w:rFonts w:asciiTheme="majorHAnsi" w:hAnsiTheme="majorHAnsi" w:cstheme="majorHAnsi"/>
        </w:rPr>
      </w:pPr>
    </w:p>
    <w:p w14:paraId="286576B0" w14:textId="6070E26D" w:rsidR="006A1757" w:rsidRPr="00DE4CD2" w:rsidRDefault="006A1757" w:rsidP="006A1757">
      <w:pPr>
        <w:jc w:val="both"/>
        <w:rPr>
          <w:rFonts w:asciiTheme="majorHAnsi" w:hAnsiTheme="majorHAnsi" w:cstheme="majorHAnsi"/>
        </w:rPr>
      </w:pPr>
      <w:r w:rsidRPr="00DE4CD2">
        <w:rPr>
          <w:rFonts w:asciiTheme="majorHAnsi" w:hAnsiTheme="majorHAnsi" w:cstheme="majorHAnsi"/>
        </w:rPr>
        <w:t xml:space="preserve">Another development fostered by RISIS2 was the creation of regionalized trademark data at the NUTS-3 level. This was done on the basis of an open source geocoder based on Pelias. This feature of the data enables regionalized analyses of trademark data within the EU, which has been used extensively, for example in the policy brief "Key Enabling Technologies in Europe: insights from patents and trademarks" that has been produced within RISIS2 and makes use of the regionalized data as well as the trademark classification to </w:t>
      </w:r>
      <w:proofErr w:type="spellStart"/>
      <w:r w:rsidRPr="00DE4CD2">
        <w:rPr>
          <w:rFonts w:asciiTheme="majorHAnsi" w:hAnsiTheme="majorHAnsi" w:cstheme="majorHAnsi"/>
        </w:rPr>
        <w:t>analyze</w:t>
      </w:r>
      <w:proofErr w:type="spellEnd"/>
      <w:r w:rsidRPr="00DE4CD2">
        <w:rPr>
          <w:rFonts w:asciiTheme="majorHAnsi" w:hAnsiTheme="majorHAnsi" w:cstheme="majorHAnsi"/>
        </w:rPr>
        <w:t xml:space="preserve"> trends in KETs patenting and trademarking across Europe and by other researchers using the data (see case studies below).</w:t>
      </w:r>
    </w:p>
    <w:p w14:paraId="65AB6695" w14:textId="77777777" w:rsidR="006A1757" w:rsidRPr="00DE4CD2" w:rsidRDefault="006A1757" w:rsidP="006A1757">
      <w:pPr>
        <w:jc w:val="both"/>
        <w:rPr>
          <w:rFonts w:asciiTheme="majorHAnsi" w:hAnsiTheme="majorHAnsi" w:cstheme="majorHAnsi"/>
        </w:rPr>
      </w:pPr>
    </w:p>
    <w:p w14:paraId="57871394" w14:textId="77777777" w:rsidR="006A1757" w:rsidRPr="00DE4CD2" w:rsidRDefault="006A1757" w:rsidP="006A1757">
      <w:pPr>
        <w:jc w:val="both"/>
        <w:rPr>
          <w:rFonts w:asciiTheme="majorHAnsi" w:hAnsiTheme="majorHAnsi" w:cstheme="majorHAnsi"/>
          <w:lang w:val="en-US"/>
        </w:rPr>
      </w:pPr>
      <w:r w:rsidRPr="00DE4CD2">
        <w:rPr>
          <w:rFonts w:asciiTheme="majorHAnsi" w:hAnsiTheme="majorHAnsi" w:cstheme="majorHAnsi"/>
        </w:rPr>
        <w:t xml:space="preserve">Last but not least, the trademark data were linked to other datasets to make use of two or more datasets in combination. One major example is the matching of the EUIPO trademark data to </w:t>
      </w:r>
      <w:proofErr w:type="spellStart"/>
      <w:r w:rsidRPr="00DE4CD2">
        <w:rPr>
          <w:rFonts w:asciiTheme="majorHAnsi" w:hAnsiTheme="majorHAnsi" w:cstheme="majorHAnsi"/>
        </w:rPr>
        <w:t>BvD's</w:t>
      </w:r>
      <w:proofErr w:type="spellEnd"/>
      <w:r w:rsidRPr="00DE4CD2">
        <w:rPr>
          <w:rFonts w:asciiTheme="majorHAnsi" w:hAnsiTheme="majorHAnsi" w:cstheme="majorHAnsi"/>
        </w:rPr>
        <w:t xml:space="preserve"> ORBIS, that allows more in-depth company analyses as well as the matching to </w:t>
      </w:r>
      <w:proofErr w:type="spellStart"/>
      <w:r w:rsidRPr="00DE4CD2">
        <w:rPr>
          <w:rFonts w:asciiTheme="majorHAnsi" w:hAnsiTheme="majorHAnsi" w:cstheme="majorHAnsi"/>
        </w:rPr>
        <w:t>FirmReg</w:t>
      </w:r>
      <w:proofErr w:type="spellEnd"/>
      <w:r w:rsidRPr="00DE4CD2">
        <w:rPr>
          <w:rFonts w:asciiTheme="majorHAnsi" w:hAnsiTheme="majorHAnsi" w:cstheme="majorHAnsi"/>
        </w:rPr>
        <w:t>, which broadens the usage of the datasets within RISIS2 as more and more information can be accessed and used for further research purposes. The matching to ORBIS also enabled us to differentiate applicant types, i.e. research, single persons, large firms and SMEs within the EUIPO trademark dataset. Finally, the EUIPO trademark data were matched to the PATSTAT patent database by the EUIPO in order to analyse IPR portfolios of firms.</w:t>
      </w:r>
    </w:p>
    <w:p w14:paraId="74070634" w14:textId="77777777" w:rsidR="006A1757" w:rsidRPr="00DE4CD2" w:rsidRDefault="006A1757" w:rsidP="006A1757">
      <w:pPr>
        <w:jc w:val="both"/>
        <w:rPr>
          <w:rFonts w:asciiTheme="majorHAnsi" w:hAnsiTheme="majorHAnsi" w:cstheme="majorHAnsi"/>
          <w:b/>
          <w:bCs/>
          <w:i/>
          <w:iCs/>
          <w:lang w:val="en-US"/>
        </w:rPr>
      </w:pPr>
    </w:p>
    <w:p w14:paraId="4C85F93E" w14:textId="77777777" w:rsidR="006A1757" w:rsidRPr="00DE4CD2" w:rsidRDefault="006A1757" w:rsidP="006A1757">
      <w:pPr>
        <w:jc w:val="both"/>
        <w:rPr>
          <w:rFonts w:asciiTheme="majorHAnsi" w:hAnsiTheme="majorHAnsi" w:cstheme="majorHAnsi"/>
          <w:b/>
          <w:bCs/>
          <w:i/>
          <w:iCs/>
        </w:rPr>
      </w:pPr>
      <w:r w:rsidRPr="00DE4CD2">
        <w:rPr>
          <w:rFonts w:asciiTheme="majorHAnsi" w:hAnsiTheme="majorHAnsi" w:cstheme="majorHAnsi"/>
          <w:b/>
          <w:bCs/>
          <w:i/>
          <w:iCs/>
        </w:rPr>
        <w:t>Description of dataset extensions and usage cases within RISIS</w:t>
      </w:r>
    </w:p>
    <w:p w14:paraId="4AB79F35" w14:textId="77777777" w:rsidR="006A1757" w:rsidRPr="00DE4CD2" w:rsidRDefault="006A1757" w:rsidP="006A1757">
      <w:pPr>
        <w:jc w:val="both"/>
        <w:rPr>
          <w:rFonts w:asciiTheme="majorHAnsi" w:hAnsiTheme="majorHAnsi" w:cstheme="majorHAnsi"/>
        </w:rPr>
      </w:pPr>
      <w:r w:rsidRPr="00DE4CD2">
        <w:rPr>
          <w:rFonts w:asciiTheme="majorHAnsi" w:hAnsiTheme="majorHAnsi" w:cstheme="majorHAnsi"/>
        </w:rPr>
        <w:t xml:space="preserve">Within the course of the RISIS project, we have developed several extensions to the basic database versions that serve different purpose and can be used for further research. We hereby focused on the EUIPO data. One major development is the creation of a differentiated classification scheme for trademarks that goes beyond the NICE classification provided by the trademark offices (Neuhäusler et al. 2021). In addition, we have regionalized the EUIPO trademark data so trademarks can be assigned to regions in Europe at the NUTS-3 level. Furthermore, we have matched the trademark data with </w:t>
      </w:r>
      <w:proofErr w:type="spellStart"/>
      <w:r w:rsidRPr="00DE4CD2">
        <w:rPr>
          <w:rFonts w:asciiTheme="majorHAnsi" w:hAnsiTheme="majorHAnsi" w:cstheme="majorHAnsi"/>
        </w:rPr>
        <w:t>BvD's</w:t>
      </w:r>
      <w:proofErr w:type="spellEnd"/>
      <w:r w:rsidRPr="00DE4CD2">
        <w:rPr>
          <w:rFonts w:asciiTheme="majorHAnsi" w:hAnsiTheme="majorHAnsi" w:cstheme="majorHAnsi"/>
        </w:rPr>
        <w:t xml:space="preserve"> ORBIS database, which enriches the trademark data with further information on firms, as well as the </w:t>
      </w:r>
      <w:proofErr w:type="spellStart"/>
      <w:r w:rsidRPr="00DE4CD2">
        <w:rPr>
          <w:rFonts w:asciiTheme="majorHAnsi" w:hAnsiTheme="majorHAnsi" w:cstheme="majorHAnsi"/>
        </w:rPr>
        <w:t>FirmReg</w:t>
      </w:r>
      <w:proofErr w:type="spellEnd"/>
      <w:r w:rsidRPr="00DE4CD2">
        <w:rPr>
          <w:rFonts w:asciiTheme="majorHAnsi" w:hAnsiTheme="majorHAnsi" w:cstheme="majorHAnsi"/>
        </w:rPr>
        <w:t xml:space="preserve"> database that has also been developed within the RISIS project. For innovative research usages, following extensions have been implemented: </w:t>
      </w:r>
    </w:p>
    <w:p w14:paraId="01638C60" w14:textId="77777777" w:rsidR="006A1757" w:rsidRPr="00DE4CD2" w:rsidRDefault="006A1757" w:rsidP="006A1757">
      <w:pPr>
        <w:jc w:val="both"/>
        <w:rPr>
          <w:rFonts w:asciiTheme="majorHAnsi" w:hAnsiTheme="majorHAnsi" w:cstheme="majorHAnsi"/>
          <w:b/>
          <w:bCs/>
          <w:i/>
          <w:iCs/>
        </w:rPr>
      </w:pPr>
    </w:p>
    <w:p w14:paraId="630CE35D" w14:textId="77777777" w:rsidR="006A1757" w:rsidRPr="00DE4CD2" w:rsidRDefault="006A1757" w:rsidP="006A1757">
      <w:pPr>
        <w:jc w:val="both"/>
        <w:rPr>
          <w:rFonts w:asciiTheme="majorHAnsi" w:hAnsiTheme="majorHAnsi" w:cstheme="majorHAnsi"/>
          <w:b/>
          <w:bCs/>
          <w:i/>
          <w:iCs/>
        </w:rPr>
      </w:pPr>
      <w:bookmarkStart w:id="8" w:name="_Toc90371652"/>
      <w:r w:rsidRPr="00DE4CD2">
        <w:rPr>
          <w:rFonts w:asciiTheme="majorHAnsi" w:hAnsiTheme="majorHAnsi" w:cstheme="majorHAnsi"/>
          <w:b/>
          <w:bCs/>
          <w:i/>
          <w:iCs/>
        </w:rPr>
        <w:t>i) Trademark classification (EUIPO)</w:t>
      </w:r>
      <w:bookmarkEnd w:id="8"/>
    </w:p>
    <w:p w14:paraId="007B523D" w14:textId="3BC4C2E1" w:rsidR="006A1757" w:rsidRPr="00DE4CD2" w:rsidRDefault="006A1757" w:rsidP="006A1757">
      <w:pPr>
        <w:jc w:val="both"/>
        <w:rPr>
          <w:rFonts w:asciiTheme="majorHAnsi" w:hAnsiTheme="majorHAnsi" w:cstheme="majorHAnsi"/>
        </w:rPr>
      </w:pPr>
      <w:r w:rsidRPr="00DE4CD2">
        <w:rPr>
          <w:rFonts w:asciiTheme="majorHAnsi" w:hAnsiTheme="majorHAnsi" w:cstheme="majorHAnsi"/>
        </w:rPr>
        <w:t>We have developed a differentiated classification scheme (as subsections to the NICE classification) for EUIPO trademarks by applying a string-matching algorithm to the (partly standardized) text by which the applicant can describe his trademark (the goods/services description) and the explanatory note to the NICE classification that contains keywords. An overview of the classification is provided in Figure 1</w:t>
      </w:r>
      <w:r w:rsidR="00ED398E" w:rsidRPr="00DE4CD2">
        <w:rPr>
          <w:rFonts w:asciiTheme="majorHAnsi" w:hAnsiTheme="majorHAnsi" w:cstheme="majorHAnsi"/>
        </w:rPr>
        <w:t>1</w:t>
      </w:r>
      <w:r w:rsidRPr="00DE4CD2">
        <w:rPr>
          <w:rFonts w:asciiTheme="majorHAnsi" w:hAnsiTheme="majorHAnsi" w:cstheme="majorHAnsi"/>
        </w:rPr>
        <w:t>. The overall matching rate equals ~81%, i.e. 81% of all trademarks are assigned to at least one class. This means that we were able to match ~1.4 million trademarks and assign a classification code to them. The trademark classification is an asset in itself, as it allows analyses of trademarks tailor-made to given technology fields, which is important for further research as well as policy related projects. It also enables a differentiation between more and less technology-oriented trademarks. Furthermore, based on this classification, trademarks can be matched to patents at the technology field level based on a manual concordance, which allows a comparison of patent and trademark profiles at the country-level (Figure 1</w:t>
      </w:r>
      <w:r w:rsidR="00ED398E" w:rsidRPr="00DE4CD2">
        <w:rPr>
          <w:rFonts w:asciiTheme="majorHAnsi" w:hAnsiTheme="majorHAnsi" w:cstheme="majorHAnsi"/>
        </w:rPr>
        <w:t>2</w:t>
      </w:r>
      <w:r w:rsidRPr="00DE4CD2">
        <w:rPr>
          <w:rFonts w:asciiTheme="majorHAnsi" w:hAnsiTheme="majorHAnsi" w:cstheme="majorHAnsi"/>
        </w:rPr>
        <w:t xml:space="preserve">). The classes can also be used to demarcate different technology fields within the EUIPO trademarks, which has been used </w:t>
      </w:r>
      <w:r w:rsidRPr="00DE4CD2">
        <w:rPr>
          <w:rFonts w:asciiTheme="majorHAnsi" w:hAnsiTheme="majorHAnsi" w:cstheme="majorHAnsi"/>
        </w:rPr>
        <w:lastRenderedPageBreak/>
        <w:t xml:space="preserve">for an analysis of Key Enabling Technologies (KETs) (Frietsch et al. 2022) as well as an analysis of trademarks for the Sustainable Development Goals (SDGs) (Neuhäusler/Frietsch 2022). In addition, the data has been used in a project for the European Commission analysing the environmental context variables that influence food-agricultural production, with effects on innovations (patents and trademarks) in </w:t>
      </w:r>
      <w:proofErr w:type="spellStart"/>
      <w:r w:rsidRPr="00DE4CD2">
        <w:rPr>
          <w:rFonts w:asciiTheme="majorHAnsi" w:hAnsiTheme="majorHAnsi" w:cstheme="majorHAnsi"/>
        </w:rPr>
        <w:t>agro</w:t>
      </w:r>
      <w:proofErr w:type="spellEnd"/>
      <w:r w:rsidRPr="00DE4CD2">
        <w:rPr>
          <w:rFonts w:asciiTheme="majorHAnsi" w:hAnsiTheme="majorHAnsi" w:cstheme="majorHAnsi"/>
        </w:rPr>
        <w:t>-efficiency being in the focus.</w:t>
      </w:r>
    </w:p>
    <w:p w14:paraId="160E98DF" w14:textId="77777777" w:rsidR="006A1757" w:rsidRPr="00DE4CD2" w:rsidRDefault="006A1757" w:rsidP="006A1757">
      <w:pPr>
        <w:jc w:val="both"/>
        <w:rPr>
          <w:rFonts w:asciiTheme="majorHAnsi" w:hAnsiTheme="majorHAnsi" w:cstheme="majorHAnsi"/>
          <w:lang w:val="en-US"/>
        </w:rPr>
      </w:pPr>
    </w:p>
    <w:p w14:paraId="490B6B05" w14:textId="520D16E6" w:rsidR="006A1757" w:rsidRPr="00DE4CD2" w:rsidRDefault="006A1757" w:rsidP="006A1757">
      <w:pPr>
        <w:jc w:val="both"/>
        <w:rPr>
          <w:rFonts w:asciiTheme="majorHAnsi" w:eastAsiaTheme="minorHAnsi" w:hAnsiTheme="majorHAnsi" w:cstheme="majorHAnsi"/>
          <w:i/>
          <w:iCs/>
          <w:lang w:val="en-US" w:eastAsia="en-US"/>
        </w:rPr>
      </w:pPr>
      <w:bookmarkStart w:id="9" w:name="_Ref27571303"/>
      <w:bookmarkStart w:id="10" w:name="_Ref90371416"/>
      <w:r w:rsidRPr="00DE4CD2">
        <w:rPr>
          <w:rFonts w:asciiTheme="majorHAnsi" w:eastAsiaTheme="minorHAnsi" w:hAnsiTheme="majorHAnsi" w:cstheme="majorHAnsi"/>
          <w:i/>
          <w:iCs/>
          <w:lang w:val="en-US" w:eastAsia="en-US"/>
        </w:rPr>
        <w:t xml:space="preserve">Figure </w:t>
      </w:r>
      <w:bookmarkEnd w:id="9"/>
      <w:bookmarkEnd w:id="10"/>
      <w:r w:rsidRPr="00DE4CD2">
        <w:rPr>
          <w:rFonts w:asciiTheme="majorHAnsi" w:eastAsiaTheme="minorHAnsi" w:hAnsiTheme="majorHAnsi" w:cstheme="majorHAnsi"/>
          <w:i/>
          <w:iCs/>
          <w:lang w:val="en-US" w:eastAsia="en-US"/>
        </w:rPr>
        <w:t>11 Sub-level classification setup</w:t>
      </w:r>
    </w:p>
    <w:p w14:paraId="56157326" w14:textId="77777777" w:rsidR="006A1757" w:rsidRPr="00DE4CD2" w:rsidRDefault="006A1757" w:rsidP="006A1757">
      <w:pPr>
        <w:jc w:val="both"/>
        <w:rPr>
          <w:rFonts w:asciiTheme="majorHAnsi" w:hAnsiTheme="majorHAnsi" w:cstheme="majorHAnsi"/>
        </w:rPr>
      </w:pPr>
    </w:p>
    <w:p w14:paraId="0FEF502D" w14:textId="77777777" w:rsidR="006A1757" w:rsidRPr="00DE4CD2" w:rsidRDefault="006A1757" w:rsidP="006A1757">
      <w:pPr>
        <w:jc w:val="center"/>
        <w:rPr>
          <w:rFonts w:asciiTheme="majorHAnsi" w:hAnsiTheme="majorHAnsi" w:cstheme="majorHAnsi"/>
        </w:rPr>
      </w:pPr>
      <w:r w:rsidRPr="00DE4CD2">
        <w:rPr>
          <w:rFonts w:asciiTheme="majorHAnsi" w:hAnsiTheme="majorHAnsi" w:cstheme="majorHAnsi"/>
          <w:noProof/>
          <w:lang w:val="de-DE" w:eastAsia="de-DE"/>
        </w:rPr>
        <w:drawing>
          <wp:inline distT="0" distB="0" distL="0" distR="0" wp14:anchorId="4D03EE23" wp14:editId="2B1D5A93">
            <wp:extent cx="5585460" cy="2806647"/>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590321" cy="2809090"/>
                    </a:xfrm>
                    <a:prstGeom prst="rect">
                      <a:avLst/>
                    </a:prstGeom>
                  </pic:spPr>
                </pic:pic>
              </a:graphicData>
            </a:graphic>
          </wp:inline>
        </w:drawing>
      </w:r>
    </w:p>
    <w:p w14:paraId="6AE379E1" w14:textId="77777777" w:rsidR="006A1757" w:rsidRPr="00DE4CD2" w:rsidRDefault="006A1757" w:rsidP="006A1757">
      <w:pPr>
        <w:jc w:val="center"/>
        <w:rPr>
          <w:rFonts w:asciiTheme="majorHAnsi" w:hAnsiTheme="majorHAnsi" w:cstheme="majorHAnsi"/>
        </w:rPr>
      </w:pPr>
    </w:p>
    <w:p w14:paraId="33C79B09" w14:textId="16B58178" w:rsidR="006A1757" w:rsidRPr="00DE4CD2" w:rsidRDefault="006A1757" w:rsidP="006A1757">
      <w:pPr>
        <w:jc w:val="both"/>
        <w:rPr>
          <w:rFonts w:asciiTheme="majorHAnsi" w:hAnsiTheme="majorHAnsi" w:cstheme="majorHAnsi"/>
        </w:rPr>
      </w:pPr>
      <w:bookmarkStart w:id="11" w:name="_Toc90371653"/>
      <w:r w:rsidRPr="00DE4CD2">
        <w:rPr>
          <w:rFonts w:asciiTheme="majorHAnsi" w:eastAsiaTheme="minorHAnsi" w:hAnsiTheme="majorHAnsi" w:cstheme="majorHAnsi"/>
          <w:i/>
          <w:iCs/>
          <w:lang w:val="en-US" w:eastAsia="en-US"/>
        </w:rPr>
        <w:t>Figure 12</w:t>
      </w:r>
      <w:r w:rsidR="00666865" w:rsidRPr="00DE4CD2">
        <w:rPr>
          <w:rFonts w:asciiTheme="majorHAnsi" w:eastAsiaTheme="minorHAnsi" w:hAnsiTheme="majorHAnsi" w:cstheme="majorHAnsi"/>
          <w:i/>
          <w:iCs/>
          <w:lang w:val="en-US" w:eastAsia="en-US"/>
        </w:rPr>
        <w:t xml:space="preserve"> </w:t>
      </w:r>
      <w:r w:rsidRPr="00DE4CD2">
        <w:rPr>
          <w:rFonts w:asciiTheme="majorHAnsi" w:eastAsiaTheme="minorHAnsi" w:hAnsiTheme="majorHAnsi" w:cstheme="majorHAnsi"/>
          <w:i/>
          <w:iCs/>
          <w:lang w:val="en-US" w:eastAsia="en-US"/>
        </w:rPr>
        <w:t>Patent and trademark profiles, worldwide, 2016-2018</w:t>
      </w:r>
    </w:p>
    <w:p w14:paraId="0B936A23" w14:textId="77777777" w:rsidR="006A1757" w:rsidRPr="00DE4CD2" w:rsidRDefault="006A1757" w:rsidP="006A1757">
      <w:pPr>
        <w:jc w:val="center"/>
        <w:rPr>
          <w:rFonts w:asciiTheme="majorHAnsi" w:hAnsiTheme="majorHAnsi" w:cstheme="majorHAnsi"/>
          <w:b/>
          <w:bCs/>
          <w:i/>
          <w:iCs/>
        </w:rPr>
      </w:pPr>
      <w:r w:rsidRPr="00DE4CD2">
        <w:rPr>
          <w:rFonts w:asciiTheme="majorHAnsi" w:hAnsiTheme="majorHAnsi" w:cstheme="majorHAnsi"/>
          <w:b/>
          <w:bCs/>
          <w:i/>
          <w:iCs/>
          <w:noProof/>
          <w:lang w:val="de-DE" w:eastAsia="de-DE"/>
        </w:rPr>
        <w:drawing>
          <wp:inline distT="0" distB="0" distL="0" distR="0" wp14:anchorId="124A012A" wp14:editId="33BA0A00">
            <wp:extent cx="3992880" cy="3977640"/>
            <wp:effectExtent l="0" t="0" r="7620" b="3810"/>
            <wp:docPr id="4" name="Diagramm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315B673B" w14:textId="77777777" w:rsidR="006A1757" w:rsidRPr="00DE4CD2" w:rsidRDefault="006A1757" w:rsidP="006A1757">
      <w:pPr>
        <w:jc w:val="both"/>
        <w:rPr>
          <w:rFonts w:asciiTheme="majorHAnsi" w:hAnsiTheme="majorHAnsi" w:cstheme="majorHAnsi"/>
        </w:rPr>
      </w:pPr>
      <w:r w:rsidRPr="00DE4CD2">
        <w:rPr>
          <w:rFonts w:asciiTheme="majorHAnsi" w:hAnsiTheme="majorHAnsi" w:cstheme="majorHAnsi"/>
          <w:b/>
          <w:bCs/>
          <w:i/>
          <w:iCs/>
        </w:rPr>
        <w:lastRenderedPageBreak/>
        <w:t>ii) Regionalization</w:t>
      </w:r>
      <w:bookmarkEnd w:id="11"/>
    </w:p>
    <w:p w14:paraId="1A9403D9" w14:textId="2BF4FA50" w:rsidR="006A1757" w:rsidRPr="00DE4CD2" w:rsidRDefault="006A1757" w:rsidP="006A1757">
      <w:pPr>
        <w:jc w:val="both"/>
        <w:rPr>
          <w:rFonts w:asciiTheme="majorHAnsi" w:hAnsiTheme="majorHAnsi" w:cstheme="majorHAnsi"/>
        </w:rPr>
      </w:pPr>
      <w:r w:rsidRPr="00DE4CD2">
        <w:rPr>
          <w:rFonts w:asciiTheme="majorHAnsi" w:hAnsiTheme="majorHAnsi" w:cstheme="majorHAnsi"/>
        </w:rPr>
        <w:t xml:space="preserve">In order to be able to do regionalized analyses of EUIPO trademark data, i.e. the regionalization of the applicant detail data, we adopted a geocoding based on Pelias. The geocoding was done with Pelias (http://pelias.io), which is a free, open-source geocoder based on open data (Who's on First, </w:t>
      </w:r>
      <w:proofErr w:type="spellStart"/>
      <w:r w:rsidRPr="00DE4CD2">
        <w:rPr>
          <w:rFonts w:asciiTheme="majorHAnsi" w:hAnsiTheme="majorHAnsi" w:cstheme="majorHAnsi"/>
        </w:rPr>
        <w:t>OpenAddresses</w:t>
      </w:r>
      <w:proofErr w:type="spellEnd"/>
      <w:r w:rsidRPr="00DE4CD2">
        <w:rPr>
          <w:rFonts w:asciiTheme="majorHAnsi" w:hAnsiTheme="majorHAnsi" w:cstheme="majorHAnsi"/>
        </w:rPr>
        <w:t xml:space="preserve">, OpenStreetMap, Polylines, </w:t>
      </w:r>
      <w:proofErr w:type="spellStart"/>
      <w:r w:rsidRPr="00DE4CD2">
        <w:rPr>
          <w:rFonts w:asciiTheme="majorHAnsi" w:hAnsiTheme="majorHAnsi" w:cstheme="majorHAnsi"/>
        </w:rPr>
        <w:t>Geonames</w:t>
      </w:r>
      <w:proofErr w:type="spellEnd"/>
      <w:r w:rsidRPr="00DE4CD2">
        <w:rPr>
          <w:rFonts w:asciiTheme="majorHAnsi" w:hAnsiTheme="majorHAnsi" w:cstheme="majorHAnsi"/>
        </w:rPr>
        <w:t xml:space="preserve">) that has been developed within the RISIS context. Pelias essentially is a search engine for locations worldwide, powered by open data. It turns addresses and place names into geographic coordinates, and vice versa. At its very core, it takes a text input, such as an address or the name of a place, and returns a latitude/longitude location for that location (see </w:t>
      </w:r>
      <w:hyperlink r:id="rId32" w:history="1">
        <w:r w:rsidRPr="00DE4CD2">
          <w:rPr>
            <w:rFonts w:asciiTheme="majorHAnsi" w:hAnsiTheme="majorHAnsi" w:cstheme="majorHAnsi"/>
          </w:rPr>
          <w:t>https://github.com/pelias/pelias</w:t>
        </w:r>
      </w:hyperlink>
      <w:r w:rsidRPr="00DE4CD2">
        <w:rPr>
          <w:rFonts w:asciiTheme="majorHAnsi" w:hAnsiTheme="majorHAnsi" w:cstheme="majorHAnsi"/>
        </w:rPr>
        <w:t>). Based on the coordinates, we assigned the NUTS-3 2013 layer to the trademark data for all European countries. An overview of the matching coverage in terms of geo-information (latitude/longitude) and the coverage in terms of NUTS-3 codes can be found in Table 7.</w:t>
      </w:r>
    </w:p>
    <w:p w14:paraId="3B646543" w14:textId="77777777" w:rsidR="006A1757" w:rsidRPr="00DE4CD2" w:rsidRDefault="006A1757" w:rsidP="006A1757">
      <w:pPr>
        <w:jc w:val="both"/>
        <w:rPr>
          <w:rFonts w:asciiTheme="majorHAnsi" w:hAnsiTheme="majorHAnsi" w:cstheme="majorHAnsi"/>
        </w:rPr>
      </w:pPr>
    </w:p>
    <w:p w14:paraId="158D957B" w14:textId="76EB2AAE" w:rsidR="006A1757" w:rsidRPr="00DE4CD2" w:rsidRDefault="006A1757" w:rsidP="006A1757">
      <w:pPr>
        <w:jc w:val="both"/>
        <w:rPr>
          <w:rFonts w:asciiTheme="majorHAnsi" w:hAnsiTheme="majorHAnsi" w:cstheme="majorHAnsi"/>
        </w:rPr>
      </w:pPr>
      <w:r w:rsidRPr="00DE4CD2">
        <w:rPr>
          <w:rFonts w:asciiTheme="majorHAnsi" w:eastAsiaTheme="minorHAnsi" w:hAnsiTheme="majorHAnsi" w:cstheme="majorHAnsi"/>
          <w:i/>
          <w:iCs/>
          <w:lang w:val="en-US" w:eastAsia="en-US"/>
        </w:rPr>
        <w:t>Table 7</w:t>
      </w:r>
      <w:r w:rsidR="00666865" w:rsidRPr="00DE4CD2">
        <w:rPr>
          <w:rFonts w:asciiTheme="majorHAnsi" w:eastAsiaTheme="minorHAnsi" w:hAnsiTheme="majorHAnsi" w:cstheme="majorHAnsi"/>
          <w:i/>
          <w:iCs/>
          <w:lang w:val="en-US" w:eastAsia="en-US"/>
        </w:rPr>
        <w:t xml:space="preserve"> </w:t>
      </w:r>
      <w:r w:rsidRPr="00DE4CD2">
        <w:rPr>
          <w:rFonts w:asciiTheme="majorHAnsi" w:eastAsiaTheme="minorHAnsi" w:hAnsiTheme="majorHAnsi" w:cstheme="majorHAnsi"/>
          <w:i/>
          <w:iCs/>
          <w:lang w:val="en-US" w:eastAsia="en-US"/>
        </w:rPr>
        <w:t>Country coverage of the regionalization</w:t>
      </w:r>
    </w:p>
    <w:p w14:paraId="73AC56DD" w14:textId="77777777" w:rsidR="006A1757" w:rsidRPr="00DE4CD2" w:rsidRDefault="006A1757" w:rsidP="006A1757">
      <w:pPr>
        <w:rPr>
          <w:rFonts w:asciiTheme="majorHAnsi" w:hAnsiTheme="majorHAnsi" w:cstheme="majorHAnsi"/>
        </w:rPr>
      </w:pPr>
    </w:p>
    <w:tbl>
      <w:tblPr>
        <w:tblW w:w="0" w:type="auto"/>
        <w:jc w:val="center"/>
        <w:tblCellMar>
          <w:left w:w="0" w:type="dxa"/>
          <w:right w:w="0" w:type="dxa"/>
        </w:tblCellMar>
        <w:tblLook w:val="04A0" w:firstRow="1" w:lastRow="0" w:firstColumn="1" w:lastColumn="0" w:noHBand="0" w:noVBand="1"/>
      </w:tblPr>
      <w:tblGrid>
        <w:gridCol w:w="1836"/>
        <w:gridCol w:w="733"/>
        <w:gridCol w:w="760"/>
        <w:gridCol w:w="915"/>
        <w:gridCol w:w="906"/>
        <w:gridCol w:w="1061"/>
      </w:tblGrid>
      <w:tr w:rsidR="00FC3526" w:rsidRPr="00DE4CD2" w14:paraId="0AD20032" w14:textId="77777777" w:rsidTr="002B1C23">
        <w:trPr>
          <w:trHeight w:val="288"/>
          <w:jc w:val="center"/>
        </w:trPr>
        <w:tc>
          <w:tcPr>
            <w:tcW w:w="0" w:type="auto"/>
            <w:shd w:val="clear" w:color="auto" w:fill="BFBFBF"/>
            <w:noWrap/>
            <w:tcMar>
              <w:top w:w="0" w:type="dxa"/>
              <w:left w:w="70" w:type="dxa"/>
              <w:bottom w:w="0" w:type="dxa"/>
              <w:right w:w="70" w:type="dxa"/>
            </w:tcMar>
            <w:vAlign w:val="bottom"/>
            <w:hideMark/>
          </w:tcPr>
          <w:p w14:paraId="358D4B8E" w14:textId="77777777" w:rsidR="006A1757" w:rsidRPr="00DE4CD2" w:rsidRDefault="006A1757" w:rsidP="002B1C23">
            <w:pPr>
              <w:rPr>
                <w:rFonts w:asciiTheme="majorHAnsi" w:hAnsiTheme="majorHAnsi" w:cstheme="majorHAnsi"/>
                <w:b/>
                <w:bCs/>
                <w:sz w:val="18"/>
                <w:szCs w:val="18"/>
                <w:lang w:val="de-DE" w:eastAsia="de-DE"/>
              </w:rPr>
            </w:pPr>
            <w:proofErr w:type="spellStart"/>
            <w:r w:rsidRPr="00DE4CD2">
              <w:rPr>
                <w:rFonts w:asciiTheme="majorHAnsi" w:hAnsiTheme="majorHAnsi" w:cstheme="majorHAnsi"/>
                <w:b/>
                <w:bCs/>
                <w:sz w:val="18"/>
                <w:szCs w:val="18"/>
                <w:lang w:eastAsia="de-DE"/>
              </w:rPr>
              <w:t>address_country_code</w:t>
            </w:r>
            <w:proofErr w:type="spellEnd"/>
          </w:p>
        </w:tc>
        <w:tc>
          <w:tcPr>
            <w:tcW w:w="0" w:type="auto"/>
            <w:shd w:val="clear" w:color="auto" w:fill="BFBFBF"/>
            <w:noWrap/>
            <w:tcMar>
              <w:top w:w="0" w:type="dxa"/>
              <w:left w:w="70" w:type="dxa"/>
              <w:bottom w:w="0" w:type="dxa"/>
              <w:right w:w="70" w:type="dxa"/>
            </w:tcMar>
            <w:vAlign w:val="bottom"/>
            <w:hideMark/>
          </w:tcPr>
          <w:p w14:paraId="08985663" w14:textId="77777777" w:rsidR="006A1757" w:rsidRPr="00DE4CD2" w:rsidRDefault="006A1757" w:rsidP="002B1C23">
            <w:pPr>
              <w:rPr>
                <w:rFonts w:asciiTheme="majorHAnsi" w:hAnsiTheme="majorHAnsi" w:cstheme="majorHAnsi"/>
                <w:b/>
                <w:bCs/>
                <w:sz w:val="18"/>
                <w:szCs w:val="18"/>
                <w:lang w:eastAsia="de-DE"/>
              </w:rPr>
            </w:pPr>
            <w:r w:rsidRPr="00DE4CD2">
              <w:rPr>
                <w:rFonts w:asciiTheme="majorHAnsi" w:hAnsiTheme="majorHAnsi" w:cstheme="majorHAnsi"/>
                <w:b/>
                <w:bCs/>
                <w:sz w:val="18"/>
                <w:szCs w:val="18"/>
                <w:lang w:eastAsia="de-DE"/>
              </w:rPr>
              <w:t>count</w:t>
            </w:r>
          </w:p>
        </w:tc>
        <w:tc>
          <w:tcPr>
            <w:tcW w:w="0" w:type="auto"/>
            <w:shd w:val="clear" w:color="auto" w:fill="BFBFBF"/>
            <w:noWrap/>
            <w:tcMar>
              <w:top w:w="0" w:type="dxa"/>
              <w:left w:w="70" w:type="dxa"/>
              <w:bottom w:w="0" w:type="dxa"/>
              <w:right w:w="70" w:type="dxa"/>
            </w:tcMar>
            <w:vAlign w:val="bottom"/>
            <w:hideMark/>
          </w:tcPr>
          <w:p w14:paraId="5736D899" w14:textId="77777777" w:rsidR="006A1757" w:rsidRPr="00DE4CD2" w:rsidRDefault="006A1757" w:rsidP="002B1C23">
            <w:pPr>
              <w:rPr>
                <w:rFonts w:asciiTheme="majorHAnsi" w:hAnsiTheme="majorHAnsi" w:cstheme="majorHAnsi"/>
                <w:b/>
                <w:bCs/>
                <w:sz w:val="18"/>
                <w:szCs w:val="18"/>
                <w:lang w:eastAsia="de-DE"/>
              </w:rPr>
            </w:pPr>
            <w:proofErr w:type="spellStart"/>
            <w:r w:rsidRPr="00DE4CD2">
              <w:rPr>
                <w:rFonts w:asciiTheme="majorHAnsi" w:hAnsiTheme="majorHAnsi" w:cstheme="majorHAnsi"/>
                <w:b/>
                <w:bCs/>
                <w:sz w:val="18"/>
                <w:szCs w:val="18"/>
                <w:lang w:eastAsia="de-DE"/>
              </w:rPr>
              <w:t>has_geo</w:t>
            </w:r>
            <w:proofErr w:type="spellEnd"/>
          </w:p>
        </w:tc>
        <w:tc>
          <w:tcPr>
            <w:tcW w:w="0" w:type="auto"/>
            <w:shd w:val="clear" w:color="auto" w:fill="BFBFBF"/>
            <w:noWrap/>
            <w:tcMar>
              <w:top w:w="0" w:type="dxa"/>
              <w:left w:w="70" w:type="dxa"/>
              <w:bottom w:w="0" w:type="dxa"/>
              <w:right w:w="70" w:type="dxa"/>
            </w:tcMar>
            <w:vAlign w:val="bottom"/>
            <w:hideMark/>
          </w:tcPr>
          <w:p w14:paraId="6E204E1B" w14:textId="77777777" w:rsidR="006A1757" w:rsidRPr="00DE4CD2" w:rsidRDefault="006A1757" w:rsidP="002B1C23">
            <w:pPr>
              <w:rPr>
                <w:rFonts w:asciiTheme="majorHAnsi" w:hAnsiTheme="majorHAnsi" w:cstheme="majorHAnsi"/>
                <w:b/>
                <w:bCs/>
                <w:sz w:val="18"/>
                <w:szCs w:val="18"/>
                <w:lang w:eastAsia="de-DE"/>
              </w:rPr>
            </w:pPr>
            <w:proofErr w:type="spellStart"/>
            <w:r w:rsidRPr="00DE4CD2">
              <w:rPr>
                <w:rFonts w:asciiTheme="majorHAnsi" w:hAnsiTheme="majorHAnsi" w:cstheme="majorHAnsi"/>
                <w:b/>
                <w:bCs/>
                <w:sz w:val="18"/>
                <w:szCs w:val="18"/>
                <w:lang w:eastAsia="de-DE"/>
              </w:rPr>
              <w:t>geo_share</w:t>
            </w:r>
            <w:proofErr w:type="spellEnd"/>
          </w:p>
        </w:tc>
        <w:tc>
          <w:tcPr>
            <w:tcW w:w="0" w:type="auto"/>
            <w:shd w:val="clear" w:color="auto" w:fill="BFBFBF"/>
            <w:noWrap/>
            <w:tcMar>
              <w:top w:w="0" w:type="dxa"/>
              <w:left w:w="70" w:type="dxa"/>
              <w:bottom w:w="0" w:type="dxa"/>
              <w:right w:w="70" w:type="dxa"/>
            </w:tcMar>
            <w:vAlign w:val="bottom"/>
            <w:hideMark/>
          </w:tcPr>
          <w:p w14:paraId="68614A8E" w14:textId="77777777" w:rsidR="006A1757" w:rsidRPr="00DE4CD2" w:rsidRDefault="006A1757" w:rsidP="002B1C23">
            <w:pPr>
              <w:rPr>
                <w:rFonts w:asciiTheme="majorHAnsi" w:hAnsiTheme="majorHAnsi" w:cstheme="majorHAnsi"/>
                <w:b/>
                <w:bCs/>
                <w:sz w:val="18"/>
                <w:szCs w:val="18"/>
                <w:lang w:eastAsia="de-DE"/>
              </w:rPr>
            </w:pPr>
            <w:r w:rsidRPr="00DE4CD2">
              <w:rPr>
                <w:rFonts w:asciiTheme="majorHAnsi" w:hAnsiTheme="majorHAnsi" w:cstheme="majorHAnsi"/>
                <w:b/>
                <w:bCs/>
                <w:sz w:val="18"/>
                <w:szCs w:val="18"/>
                <w:lang w:eastAsia="de-DE"/>
              </w:rPr>
              <w:t>has_nuts3</w:t>
            </w:r>
          </w:p>
        </w:tc>
        <w:tc>
          <w:tcPr>
            <w:tcW w:w="0" w:type="auto"/>
            <w:shd w:val="clear" w:color="auto" w:fill="BFBFBF"/>
            <w:noWrap/>
            <w:tcMar>
              <w:top w:w="0" w:type="dxa"/>
              <w:left w:w="70" w:type="dxa"/>
              <w:bottom w:w="0" w:type="dxa"/>
              <w:right w:w="70" w:type="dxa"/>
            </w:tcMar>
            <w:vAlign w:val="bottom"/>
            <w:hideMark/>
          </w:tcPr>
          <w:p w14:paraId="77762763" w14:textId="77777777" w:rsidR="006A1757" w:rsidRPr="00DE4CD2" w:rsidRDefault="006A1757" w:rsidP="002B1C23">
            <w:pPr>
              <w:rPr>
                <w:rFonts w:asciiTheme="majorHAnsi" w:hAnsiTheme="majorHAnsi" w:cstheme="majorHAnsi"/>
                <w:b/>
                <w:bCs/>
                <w:sz w:val="18"/>
                <w:szCs w:val="18"/>
                <w:lang w:eastAsia="de-DE"/>
              </w:rPr>
            </w:pPr>
            <w:r w:rsidRPr="00DE4CD2">
              <w:rPr>
                <w:rFonts w:asciiTheme="majorHAnsi" w:hAnsiTheme="majorHAnsi" w:cstheme="majorHAnsi"/>
                <w:b/>
                <w:bCs/>
                <w:sz w:val="18"/>
                <w:szCs w:val="18"/>
                <w:lang w:eastAsia="de-DE"/>
              </w:rPr>
              <w:t>nuts3_share</w:t>
            </w:r>
          </w:p>
        </w:tc>
      </w:tr>
      <w:tr w:rsidR="00FC3526" w:rsidRPr="00DE4CD2" w14:paraId="2DB09372" w14:textId="77777777" w:rsidTr="002B1C23">
        <w:trPr>
          <w:trHeight w:val="163"/>
          <w:jc w:val="center"/>
        </w:trPr>
        <w:tc>
          <w:tcPr>
            <w:tcW w:w="0" w:type="auto"/>
            <w:noWrap/>
            <w:tcMar>
              <w:top w:w="0" w:type="dxa"/>
              <w:left w:w="70" w:type="dxa"/>
              <w:bottom w:w="0" w:type="dxa"/>
              <w:right w:w="70" w:type="dxa"/>
            </w:tcMar>
            <w:vAlign w:val="bottom"/>
            <w:hideMark/>
          </w:tcPr>
          <w:p w14:paraId="355E4220" w14:textId="77777777" w:rsidR="006A1757" w:rsidRPr="00DE4CD2" w:rsidRDefault="006A1757" w:rsidP="002B1C23">
            <w:pPr>
              <w:rPr>
                <w:rFonts w:asciiTheme="majorHAnsi" w:hAnsiTheme="majorHAnsi" w:cstheme="majorHAnsi"/>
                <w:sz w:val="18"/>
                <w:szCs w:val="18"/>
                <w:lang w:eastAsia="de-DE"/>
              </w:rPr>
            </w:pPr>
            <w:r w:rsidRPr="00DE4CD2">
              <w:rPr>
                <w:rFonts w:asciiTheme="majorHAnsi" w:hAnsiTheme="majorHAnsi" w:cstheme="majorHAnsi"/>
                <w:sz w:val="18"/>
                <w:szCs w:val="18"/>
                <w:lang w:eastAsia="de-DE"/>
              </w:rPr>
              <w:t>AD</w:t>
            </w:r>
          </w:p>
        </w:tc>
        <w:tc>
          <w:tcPr>
            <w:tcW w:w="0" w:type="auto"/>
            <w:noWrap/>
            <w:tcMar>
              <w:top w:w="0" w:type="dxa"/>
              <w:left w:w="70" w:type="dxa"/>
              <w:bottom w:w="0" w:type="dxa"/>
              <w:right w:w="70" w:type="dxa"/>
            </w:tcMar>
            <w:vAlign w:val="bottom"/>
            <w:hideMark/>
          </w:tcPr>
          <w:p w14:paraId="7C1B95CC"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239</w:t>
            </w:r>
          </w:p>
        </w:tc>
        <w:tc>
          <w:tcPr>
            <w:tcW w:w="0" w:type="auto"/>
            <w:noWrap/>
            <w:tcMar>
              <w:top w:w="0" w:type="dxa"/>
              <w:left w:w="70" w:type="dxa"/>
              <w:bottom w:w="0" w:type="dxa"/>
              <w:right w:w="70" w:type="dxa"/>
            </w:tcMar>
            <w:vAlign w:val="bottom"/>
            <w:hideMark/>
          </w:tcPr>
          <w:p w14:paraId="494E9A96"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225</w:t>
            </w:r>
          </w:p>
        </w:tc>
        <w:tc>
          <w:tcPr>
            <w:tcW w:w="0" w:type="auto"/>
            <w:noWrap/>
            <w:tcMar>
              <w:top w:w="0" w:type="dxa"/>
              <w:left w:w="70" w:type="dxa"/>
              <w:bottom w:w="0" w:type="dxa"/>
              <w:right w:w="70" w:type="dxa"/>
            </w:tcMar>
            <w:vAlign w:val="bottom"/>
            <w:hideMark/>
          </w:tcPr>
          <w:p w14:paraId="678D407C"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94,1%</w:t>
            </w:r>
          </w:p>
        </w:tc>
        <w:tc>
          <w:tcPr>
            <w:tcW w:w="0" w:type="auto"/>
            <w:noWrap/>
            <w:tcMar>
              <w:top w:w="0" w:type="dxa"/>
              <w:left w:w="70" w:type="dxa"/>
              <w:bottom w:w="0" w:type="dxa"/>
              <w:right w:w="70" w:type="dxa"/>
            </w:tcMar>
            <w:vAlign w:val="bottom"/>
            <w:hideMark/>
          </w:tcPr>
          <w:p w14:paraId="30EFC6A4"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19</w:t>
            </w:r>
          </w:p>
        </w:tc>
        <w:tc>
          <w:tcPr>
            <w:tcW w:w="0" w:type="auto"/>
            <w:noWrap/>
            <w:tcMar>
              <w:top w:w="0" w:type="dxa"/>
              <w:left w:w="70" w:type="dxa"/>
              <w:bottom w:w="0" w:type="dxa"/>
              <w:right w:w="70" w:type="dxa"/>
            </w:tcMar>
            <w:vAlign w:val="bottom"/>
            <w:hideMark/>
          </w:tcPr>
          <w:p w14:paraId="79A44323"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7,9%</w:t>
            </w:r>
          </w:p>
        </w:tc>
      </w:tr>
      <w:tr w:rsidR="00FC3526" w:rsidRPr="00DE4CD2" w14:paraId="79543487" w14:textId="77777777" w:rsidTr="002B1C23">
        <w:trPr>
          <w:trHeight w:val="60"/>
          <w:jc w:val="center"/>
        </w:trPr>
        <w:tc>
          <w:tcPr>
            <w:tcW w:w="0" w:type="auto"/>
            <w:noWrap/>
            <w:tcMar>
              <w:top w:w="0" w:type="dxa"/>
              <w:left w:w="70" w:type="dxa"/>
              <w:bottom w:w="0" w:type="dxa"/>
              <w:right w:w="70" w:type="dxa"/>
            </w:tcMar>
            <w:vAlign w:val="bottom"/>
            <w:hideMark/>
          </w:tcPr>
          <w:p w14:paraId="6A154E75" w14:textId="77777777" w:rsidR="006A1757" w:rsidRPr="00DE4CD2" w:rsidRDefault="006A1757" w:rsidP="002B1C23">
            <w:pPr>
              <w:rPr>
                <w:rFonts w:asciiTheme="majorHAnsi" w:hAnsiTheme="majorHAnsi" w:cstheme="majorHAnsi"/>
                <w:sz w:val="18"/>
                <w:szCs w:val="18"/>
                <w:lang w:eastAsia="de-DE"/>
              </w:rPr>
            </w:pPr>
            <w:r w:rsidRPr="00DE4CD2">
              <w:rPr>
                <w:rFonts w:asciiTheme="majorHAnsi" w:hAnsiTheme="majorHAnsi" w:cstheme="majorHAnsi"/>
                <w:sz w:val="18"/>
                <w:szCs w:val="18"/>
                <w:lang w:eastAsia="de-DE"/>
              </w:rPr>
              <w:t>AT</w:t>
            </w:r>
          </w:p>
        </w:tc>
        <w:tc>
          <w:tcPr>
            <w:tcW w:w="0" w:type="auto"/>
            <w:noWrap/>
            <w:tcMar>
              <w:top w:w="0" w:type="dxa"/>
              <w:left w:w="70" w:type="dxa"/>
              <w:bottom w:w="0" w:type="dxa"/>
              <w:right w:w="70" w:type="dxa"/>
            </w:tcMar>
            <w:vAlign w:val="bottom"/>
            <w:hideMark/>
          </w:tcPr>
          <w:p w14:paraId="4E6FDABC"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14.482</w:t>
            </w:r>
          </w:p>
        </w:tc>
        <w:tc>
          <w:tcPr>
            <w:tcW w:w="0" w:type="auto"/>
            <w:noWrap/>
            <w:tcMar>
              <w:top w:w="0" w:type="dxa"/>
              <w:left w:w="70" w:type="dxa"/>
              <w:bottom w:w="0" w:type="dxa"/>
              <w:right w:w="70" w:type="dxa"/>
            </w:tcMar>
            <w:vAlign w:val="bottom"/>
            <w:hideMark/>
          </w:tcPr>
          <w:p w14:paraId="34273E48"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14.415</w:t>
            </w:r>
          </w:p>
        </w:tc>
        <w:tc>
          <w:tcPr>
            <w:tcW w:w="0" w:type="auto"/>
            <w:noWrap/>
            <w:tcMar>
              <w:top w:w="0" w:type="dxa"/>
              <w:left w:w="70" w:type="dxa"/>
              <w:bottom w:w="0" w:type="dxa"/>
              <w:right w:w="70" w:type="dxa"/>
            </w:tcMar>
            <w:vAlign w:val="bottom"/>
            <w:hideMark/>
          </w:tcPr>
          <w:p w14:paraId="608D1DC8"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99,5%</w:t>
            </w:r>
          </w:p>
        </w:tc>
        <w:tc>
          <w:tcPr>
            <w:tcW w:w="0" w:type="auto"/>
            <w:noWrap/>
            <w:tcMar>
              <w:top w:w="0" w:type="dxa"/>
              <w:left w:w="70" w:type="dxa"/>
              <w:bottom w:w="0" w:type="dxa"/>
              <w:right w:w="70" w:type="dxa"/>
            </w:tcMar>
            <w:vAlign w:val="bottom"/>
            <w:hideMark/>
          </w:tcPr>
          <w:p w14:paraId="20BC6264"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14.399</w:t>
            </w:r>
          </w:p>
        </w:tc>
        <w:tc>
          <w:tcPr>
            <w:tcW w:w="0" w:type="auto"/>
            <w:noWrap/>
            <w:tcMar>
              <w:top w:w="0" w:type="dxa"/>
              <w:left w:w="70" w:type="dxa"/>
              <w:bottom w:w="0" w:type="dxa"/>
              <w:right w:w="70" w:type="dxa"/>
            </w:tcMar>
            <w:vAlign w:val="bottom"/>
            <w:hideMark/>
          </w:tcPr>
          <w:p w14:paraId="76175CE8"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99,4%</w:t>
            </w:r>
          </w:p>
        </w:tc>
      </w:tr>
      <w:tr w:rsidR="00FC3526" w:rsidRPr="00DE4CD2" w14:paraId="7B97E87C" w14:textId="77777777" w:rsidTr="002B1C23">
        <w:trPr>
          <w:trHeight w:val="60"/>
          <w:jc w:val="center"/>
        </w:trPr>
        <w:tc>
          <w:tcPr>
            <w:tcW w:w="0" w:type="auto"/>
            <w:noWrap/>
            <w:tcMar>
              <w:top w:w="0" w:type="dxa"/>
              <w:left w:w="70" w:type="dxa"/>
              <w:bottom w:w="0" w:type="dxa"/>
              <w:right w:w="70" w:type="dxa"/>
            </w:tcMar>
            <w:vAlign w:val="bottom"/>
            <w:hideMark/>
          </w:tcPr>
          <w:p w14:paraId="2E700FD0" w14:textId="77777777" w:rsidR="006A1757" w:rsidRPr="00DE4CD2" w:rsidRDefault="006A1757" w:rsidP="002B1C23">
            <w:pPr>
              <w:rPr>
                <w:rFonts w:asciiTheme="majorHAnsi" w:hAnsiTheme="majorHAnsi" w:cstheme="majorHAnsi"/>
                <w:sz w:val="18"/>
                <w:szCs w:val="18"/>
                <w:lang w:eastAsia="de-DE"/>
              </w:rPr>
            </w:pPr>
            <w:r w:rsidRPr="00DE4CD2">
              <w:rPr>
                <w:rFonts w:asciiTheme="majorHAnsi" w:hAnsiTheme="majorHAnsi" w:cstheme="majorHAnsi"/>
                <w:sz w:val="18"/>
                <w:szCs w:val="18"/>
                <w:lang w:eastAsia="de-DE"/>
              </w:rPr>
              <w:t>BE</w:t>
            </w:r>
          </w:p>
        </w:tc>
        <w:tc>
          <w:tcPr>
            <w:tcW w:w="0" w:type="auto"/>
            <w:noWrap/>
            <w:tcMar>
              <w:top w:w="0" w:type="dxa"/>
              <w:left w:w="70" w:type="dxa"/>
              <w:bottom w:w="0" w:type="dxa"/>
              <w:right w:w="70" w:type="dxa"/>
            </w:tcMar>
            <w:vAlign w:val="bottom"/>
            <w:hideMark/>
          </w:tcPr>
          <w:p w14:paraId="1C1B6047"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14.385</w:t>
            </w:r>
          </w:p>
        </w:tc>
        <w:tc>
          <w:tcPr>
            <w:tcW w:w="0" w:type="auto"/>
            <w:noWrap/>
            <w:tcMar>
              <w:top w:w="0" w:type="dxa"/>
              <w:left w:w="70" w:type="dxa"/>
              <w:bottom w:w="0" w:type="dxa"/>
              <w:right w:w="70" w:type="dxa"/>
            </w:tcMar>
            <w:vAlign w:val="bottom"/>
            <w:hideMark/>
          </w:tcPr>
          <w:p w14:paraId="614942BB"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14.349</w:t>
            </w:r>
          </w:p>
        </w:tc>
        <w:tc>
          <w:tcPr>
            <w:tcW w:w="0" w:type="auto"/>
            <w:noWrap/>
            <w:tcMar>
              <w:top w:w="0" w:type="dxa"/>
              <w:left w:w="70" w:type="dxa"/>
              <w:bottom w:w="0" w:type="dxa"/>
              <w:right w:w="70" w:type="dxa"/>
            </w:tcMar>
            <w:vAlign w:val="bottom"/>
            <w:hideMark/>
          </w:tcPr>
          <w:p w14:paraId="5291EFF3"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99,7%</w:t>
            </w:r>
          </w:p>
        </w:tc>
        <w:tc>
          <w:tcPr>
            <w:tcW w:w="0" w:type="auto"/>
            <w:noWrap/>
            <w:tcMar>
              <w:top w:w="0" w:type="dxa"/>
              <w:left w:w="70" w:type="dxa"/>
              <w:bottom w:w="0" w:type="dxa"/>
              <w:right w:w="70" w:type="dxa"/>
            </w:tcMar>
            <w:vAlign w:val="bottom"/>
            <w:hideMark/>
          </w:tcPr>
          <w:p w14:paraId="43AF2C52"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14.318</w:t>
            </w:r>
          </w:p>
        </w:tc>
        <w:tc>
          <w:tcPr>
            <w:tcW w:w="0" w:type="auto"/>
            <w:noWrap/>
            <w:tcMar>
              <w:top w:w="0" w:type="dxa"/>
              <w:left w:w="70" w:type="dxa"/>
              <w:bottom w:w="0" w:type="dxa"/>
              <w:right w:w="70" w:type="dxa"/>
            </w:tcMar>
            <w:vAlign w:val="bottom"/>
            <w:hideMark/>
          </w:tcPr>
          <w:p w14:paraId="324426F9"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99,5%</w:t>
            </w:r>
          </w:p>
        </w:tc>
      </w:tr>
      <w:tr w:rsidR="00FC3526" w:rsidRPr="00DE4CD2" w14:paraId="1463A5F1" w14:textId="77777777" w:rsidTr="002B1C23">
        <w:trPr>
          <w:trHeight w:val="60"/>
          <w:jc w:val="center"/>
        </w:trPr>
        <w:tc>
          <w:tcPr>
            <w:tcW w:w="0" w:type="auto"/>
            <w:noWrap/>
            <w:tcMar>
              <w:top w:w="0" w:type="dxa"/>
              <w:left w:w="70" w:type="dxa"/>
              <w:bottom w:w="0" w:type="dxa"/>
              <w:right w:w="70" w:type="dxa"/>
            </w:tcMar>
            <w:vAlign w:val="bottom"/>
            <w:hideMark/>
          </w:tcPr>
          <w:p w14:paraId="0DBEC893" w14:textId="77777777" w:rsidR="006A1757" w:rsidRPr="00DE4CD2" w:rsidRDefault="006A1757" w:rsidP="002B1C23">
            <w:pPr>
              <w:rPr>
                <w:rFonts w:asciiTheme="majorHAnsi" w:hAnsiTheme="majorHAnsi" w:cstheme="majorHAnsi"/>
                <w:sz w:val="18"/>
                <w:szCs w:val="18"/>
                <w:lang w:eastAsia="de-DE"/>
              </w:rPr>
            </w:pPr>
            <w:r w:rsidRPr="00DE4CD2">
              <w:rPr>
                <w:rFonts w:asciiTheme="majorHAnsi" w:hAnsiTheme="majorHAnsi" w:cstheme="majorHAnsi"/>
                <w:sz w:val="18"/>
                <w:szCs w:val="18"/>
                <w:lang w:eastAsia="de-DE"/>
              </w:rPr>
              <w:t>BG</w:t>
            </w:r>
          </w:p>
        </w:tc>
        <w:tc>
          <w:tcPr>
            <w:tcW w:w="0" w:type="auto"/>
            <w:noWrap/>
            <w:tcMar>
              <w:top w:w="0" w:type="dxa"/>
              <w:left w:w="70" w:type="dxa"/>
              <w:bottom w:w="0" w:type="dxa"/>
              <w:right w:w="70" w:type="dxa"/>
            </w:tcMar>
            <w:vAlign w:val="bottom"/>
            <w:hideMark/>
          </w:tcPr>
          <w:p w14:paraId="6B2155B0"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3.934</w:t>
            </w:r>
          </w:p>
        </w:tc>
        <w:tc>
          <w:tcPr>
            <w:tcW w:w="0" w:type="auto"/>
            <w:noWrap/>
            <w:tcMar>
              <w:top w:w="0" w:type="dxa"/>
              <w:left w:w="70" w:type="dxa"/>
              <w:bottom w:w="0" w:type="dxa"/>
              <w:right w:w="70" w:type="dxa"/>
            </w:tcMar>
            <w:vAlign w:val="bottom"/>
            <w:hideMark/>
          </w:tcPr>
          <w:p w14:paraId="78E13A2B"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3.652</w:t>
            </w:r>
          </w:p>
        </w:tc>
        <w:tc>
          <w:tcPr>
            <w:tcW w:w="0" w:type="auto"/>
            <w:noWrap/>
            <w:tcMar>
              <w:top w:w="0" w:type="dxa"/>
              <w:left w:w="70" w:type="dxa"/>
              <w:bottom w:w="0" w:type="dxa"/>
              <w:right w:w="70" w:type="dxa"/>
            </w:tcMar>
            <w:vAlign w:val="bottom"/>
            <w:hideMark/>
          </w:tcPr>
          <w:p w14:paraId="73817FED"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92,8%</w:t>
            </w:r>
          </w:p>
        </w:tc>
        <w:tc>
          <w:tcPr>
            <w:tcW w:w="0" w:type="auto"/>
            <w:noWrap/>
            <w:tcMar>
              <w:top w:w="0" w:type="dxa"/>
              <w:left w:w="70" w:type="dxa"/>
              <w:bottom w:w="0" w:type="dxa"/>
              <w:right w:w="70" w:type="dxa"/>
            </w:tcMar>
            <w:vAlign w:val="bottom"/>
            <w:hideMark/>
          </w:tcPr>
          <w:p w14:paraId="4A158E20"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3.442</w:t>
            </w:r>
          </w:p>
        </w:tc>
        <w:tc>
          <w:tcPr>
            <w:tcW w:w="0" w:type="auto"/>
            <w:noWrap/>
            <w:tcMar>
              <w:top w:w="0" w:type="dxa"/>
              <w:left w:w="70" w:type="dxa"/>
              <w:bottom w:w="0" w:type="dxa"/>
              <w:right w:w="70" w:type="dxa"/>
            </w:tcMar>
            <w:vAlign w:val="bottom"/>
            <w:hideMark/>
          </w:tcPr>
          <w:p w14:paraId="37FA322C"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87,5%</w:t>
            </w:r>
          </w:p>
        </w:tc>
      </w:tr>
      <w:tr w:rsidR="00FC3526" w:rsidRPr="00DE4CD2" w14:paraId="0CF64356" w14:textId="77777777" w:rsidTr="002B1C23">
        <w:trPr>
          <w:trHeight w:val="60"/>
          <w:jc w:val="center"/>
        </w:trPr>
        <w:tc>
          <w:tcPr>
            <w:tcW w:w="0" w:type="auto"/>
            <w:noWrap/>
            <w:tcMar>
              <w:top w:w="0" w:type="dxa"/>
              <w:left w:w="70" w:type="dxa"/>
              <w:bottom w:w="0" w:type="dxa"/>
              <w:right w:w="70" w:type="dxa"/>
            </w:tcMar>
            <w:vAlign w:val="bottom"/>
            <w:hideMark/>
          </w:tcPr>
          <w:p w14:paraId="4DE1CDDD" w14:textId="77777777" w:rsidR="006A1757" w:rsidRPr="00DE4CD2" w:rsidRDefault="006A1757" w:rsidP="002B1C23">
            <w:pPr>
              <w:rPr>
                <w:rFonts w:asciiTheme="majorHAnsi" w:hAnsiTheme="majorHAnsi" w:cstheme="majorHAnsi"/>
                <w:sz w:val="18"/>
                <w:szCs w:val="18"/>
                <w:lang w:eastAsia="de-DE"/>
              </w:rPr>
            </w:pPr>
            <w:r w:rsidRPr="00DE4CD2">
              <w:rPr>
                <w:rFonts w:asciiTheme="majorHAnsi" w:hAnsiTheme="majorHAnsi" w:cstheme="majorHAnsi"/>
                <w:sz w:val="18"/>
                <w:szCs w:val="18"/>
                <w:lang w:eastAsia="de-DE"/>
              </w:rPr>
              <w:t>CH</w:t>
            </w:r>
          </w:p>
        </w:tc>
        <w:tc>
          <w:tcPr>
            <w:tcW w:w="0" w:type="auto"/>
            <w:noWrap/>
            <w:tcMar>
              <w:top w:w="0" w:type="dxa"/>
              <w:left w:w="70" w:type="dxa"/>
              <w:bottom w:w="0" w:type="dxa"/>
              <w:right w:w="70" w:type="dxa"/>
            </w:tcMar>
            <w:vAlign w:val="bottom"/>
            <w:hideMark/>
          </w:tcPr>
          <w:p w14:paraId="6AA383C7"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11.898</w:t>
            </w:r>
          </w:p>
        </w:tc>
        <w:tc>
          <w:tcPr>
            <w:tcW w:w="0" w:type="auto"/>
            <w:noWrap/>
            <w:tcMar>
              <w:top w:w="0" w:type="dxa"/>
              <w:left w:w="70" w:type="dxa"/>
              <w:bottom w:w="0" w:type="dxa"/>
              <w:right w:w="70" w:type="dxa"/>
            </w:tcMar>
            <w:vAlign w:val="bottom"/>
            <w:hideMark/>
          </w:tcPr>
          <w:p w14:paraId="1E036A19"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11.823</w:t>
            </w:r>
          </w:p>
        </w:tc>
        <w:tc>
          <w:tcPr>
            <w:tcW w:w="0" w:type="auto"/>
            <w:noWrap/>
            <w:tcMar>
              <w:top w:w="0" w:type="dxa"/>
              <w:left w:w="70" w:type="dxa"/>
              <w:bottom w:w="0" w:type="dxa"/>
              <w:right w:w="70" w:type="dxa"/>
            </w:tcMar>
            <w:vAlign w:val="bottom"/>
            <w:hideMark/>
          </w:tcPr>
          <w:p w14:paraId="0409FDC7"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99,4%</w:t>
            </w:r>
          </w:p>
        </w:tc>
        <w:tc>
          <w:tcPr>
            <w:tcW w:w="0" w:type="auto"/>
            <w:noWrap/>
            <w:tcMar>
              <w:top w:w="0" w:type="dxa"/>
              <w:left w:w="70" w:type="dxa"/>
              <w:bottom w:w="0" w:type="dxa"/>
              <w:right w:w="70" w:type="dxa"/>
            </w:tcMar>
            <w:vAlign w:val="bottom"/>
            <w:hideMark/>
          </w:tcPr>
          <w:p w14:paraId="0E5973B8"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11.766</w:t>
            </w:r>
          </w:p>
        </w:tc>
        <w:tc>
          <w:tcPr>
            <w:tcW w:w="0" w:type="auto"/>
            <w:noWrap/>
            <w:tcMar>
              <w:top w:w="0" w:type="dxa"/>
              <w:left w:w="70" w:type="dxa"/>
              <w:bottom w:w="0" w:type="dxa"/>
              <w:right w:w="70" w:type="dxa"/>
            </w:tcMar>
            <w:vAlign w:val="bottom"/>
            <w:hideMark/>
          </w:tcPr>
          <w:p w14:paraId="18B904B5"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98,9%</w:t>
            </w:r>
          </w:p>
        </w:tc>
      </w:tr>
      <w:tr w:rsidR="00FC3526" w:rsidRPr="00DE4CD2" w14:paraId="3B7028A2" w14:textId="77777777" w:rsidTr="002B1C23">
        <w:trPr>
          <w:trHeight w:val="60"/>
          <w:jc w:val="center"/>
        </w:trPr>
        <w:tc>
          <w:tcPr>
            <w:tcW w:w="0" w:type="auto"/>
            <w:noWrap/>
            <w:tcMar>
              <w:top w:w="0" w:type="dxa"/>
              <w:left w:w="70" w:type="dxa"/>
              <w:bottom w:w="0" w:type="dxa"/>
              <w:right w:w="70" w:type="dxa"/>
            </w:tcMar>
            <w:vAlign w:val="bottom"/>
            <w:hideMark/>
          </w:tcPr>
          <w:p w14:paraId="5E81FAD4" w14:textId="77777777" w:rsidR="006A1757" w:rsidRPr="00DE4CD2" w:rsidRDefault="006A1757" w:rsidP="002B1C23">
            <w:pPr>
              <w:rPr>
                <w:rFonts w:asciiTheme="majorHAnsi" w:hAnsiTheme="majorHAnsi" w:cstheme="majorHAnsi"/>
                <w:sz w:val="18"/>
                <w:szCs w:val="18"/>
                <w:lang w:eastAsia="de-DE"/>
              </w:rPr>
            </w:pPr>
            <w:r w:rsidRPr="00DE4CD2">
              <w:rPr>
                <w:rFonts w:asciiTheme="majorHAnsi" w:hAnsiTheme="majorHAnsi" w:cstheme="majorHAnsi"/>
                <w:sz w:val="18"/>
                <w:szCs w:val="18"/>
                <w:lang w:eastAsia="de-DE"/>
              </w:rPr>
              <w:t>CY</w:t>
            </w:r>
          </w:p>
        </w:tc>
        <w:tc>
          <w:tcPr>
            <w:tcW w:w="0" w:type="auto"/>
            <w:noWrap/>
            <w:tcMar>
              <w:top w:w="0" w:type="dxa"/>
              <w:left w:w="70" w:type="dxa"/>
              <w:bottom w:w="0" w:type="dxa"/>
              <w:right w:w="70" w:type="dxa"/>
            </w:tcMar>
            <w:vAlign w:val="bottom"/>
            <w:hideMark/>
          </w:tcPr>
          <w:p w14:paraId="3B8086E2"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2.957</w:t>
            </w:r>
          </w:p>
        </w:tc>
        <w:tc>
          <w:tcPr>
            <w:tcW w:w="0" w:type="auto"/>
            <w:noWrap/>
            <w:tcMar>
              <w:top w:w="0" w:type="dxa"/>
              <w:left w:w="70" w:type="dxa"/>
              <w:bottom w:w="0" w:type="dxa"/>
              <w:right w:w="70" w:type="dxa"/>
            </w:tcMar>
            <w:vAlign w:val="bottom"/>
            <w:hideMark/>
          </w:tcPr>
          <w:p w14:paraId="4CC36D35"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2.538</w:t>
            </w:r>
          </w:p>
        </w:tc>
        <w:tc>
          <w:tcPr>
            <w:tcW w:w="0" w:type="auto"/>
            <w:noWrap/>
            <w:tcMar>
              <w:top w:w="0" w:type="dxa"/>
              <w:left w:w="70" w:type="dxa"/>
              <w:bottom w:w="0" w:type="dxa"/>
              <w:right w:w="70" w:type="dxa"/>
            </w:tcMar>
            <w:vAlign w:val="bottom"/>
            <w:hideMark/>
          </w:tcPr>
          <w:p w14:paraId="004173AF"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85,8%</w:t>
            </w:r>
          </w:p>
        </w:tc>
        <w:tc>
          <w:tcPr>
            <w:tcW w:w="0" w:type="auto"/>
            <w:noWrap/>
            <w:tcMar>
              <w:top w:w="0" w:type="dxa"/>
              <w:left w:w="70" w:type="dxa"/>
              <w:bottom w:w="0" w:type="dxa"/>
              <w:right w:w="70" w:type="dxa"/>
            </w:tcMar>
            <w:vAlign w:val="bottom"/>
            <w:hideMark/>
          </w:tcPr>
          <w:p w14:paraId="69FFA37D"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2.312</w:t>
            </w:r>
          </w:p>
        </w:tc>
        <w:tc>
          <w:tcPr>
            <w:tcW w:w="0" w:type="auto"/>
            <w:noWrap/>
            <w:tcMar>
              <w:top w:w="0" w:type="dxa"/>
              <w:left w:w="70" w:type="dxa"/>
              <w:bottom w:w="0" w:type="dxa"/>
              <w:right w:w="70" w:type="dxa"/>
            </w:tcMar>
            <w:vAlign w:val="bottom"/>
            <w:hideMark/>
          </w:tcPr>
          <w:p w14:paraId="0F2FE4FB"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78,2%</w:t>
            </w:r>
          </w:p>
        </w:tc>
      </w:tr>
      <w:tr w:rsidR="00FC3526" w:rsidRPr="00DE4CD2" w14:paraId="45322332" w14:textId="77777777" w:rsidTr="002B1C23">
        <w:trPr>
          <w:trHeight w:val="60"/>
          <w:jc w:val="center"/>
        </w:trPr>
        <w:tc>
          <w:tcPr>
            <w:tcW w:w="0" w:type="auto"/>
            <w:noWrap/>
            <w:tcMar>
              <w:top w:w="0" w:type="dxa"/>
              <w:left w:w="70" w:type="dxa"/>
              <w:bottom w:w="0" w:type="dxa"/>
              <w:right w:w="70" w:type="dxa"/>
            </w:tcMar>
            <w:vAlign w:val="bottom"/>
            <w:hideMark/>
          </w:tcPr>
          <w:p w14:paraId="58D39236" w14:textId="77777777" w:rsidR="006A1757" w:rsidRPr="00DE4CD2" w:rsidRDefault="006A1757" w:rsidP="002B1C23">
            <w:pPr>
              <w:rPr>
                <w:rFonts w:asciiTheme="majorHAnsi" w:hAnsiTheme="majorHAnsi" w:cstheme="majorHAnsi"/>
                <w:sz w:val="18"/>
                <w:szCs w:val="18"/>
                <w:lang w:eastAsia="de-DE"/>
              </w:rPr>
            </w:pPr>
            <w:r w:rsidRPr="00DE4CD2">
              <w:rPr>
                <w:rFonts w:asciiTheme="majorHAnsi" w:hAnsiTheme="majorHAnsi" w:cstheme="majorHAnsi"/>
                <w:sz w:val="18"/>
                <w:szCs w:val="18"/>
                <w:lang w:eastAsia="de-DE"/>
              </w:rPr>
              <w:t>CZ</w:t>
            </w:r>
          </w:p>
        </w:tc>
        <w:tc>
          <w:tcPr>
            <w:tcW w:w="0" w:type="auto"/>
            <w:noWrap/>
            <w:tcMar>
              <w:top w:w="0" w:type="dxa"/>
              <w:left w:w="70" w:type="dxa"/>
              <w:bottom w:w="0" w:type="dxa"/>
              <w:right w:w="70" w:type="dxa"/>
            </w:tcMar>
            <w:vAlign w:val="bottom"/>
            <w:hideMark/>
          </w:tcPr>
          <w:p w14:paraId="479D06C5"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6.903</w:t>
            </w:r>
          </w:p>
        </w:tc>
        <w:tc>
          <w:tcPr>
            <w:tcW w:w="0" w:type="auto"/>
            <w:noWrap/>
            <w:tcMar>
              <w:top w:w="0" w:type="dxa"/>
              <w:left w:w="70" w:type="dxa"/>
              <w:bottom w:w="0" w:type="dxa"/>
              <w:right w:w="70" w:type="dxa"/>
            </w:tcMar>
            <w:vAlign w:val="bottom"/>
            <w:hideMark/>
          </w:tcPr>
          <w:p w14:paraId="6E1995A5"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6.812</w:t>
            </w:r>
          </w:p>
        </w:tc>
        <w:tc>
          <w:tcPr>
            <w:tcW w:w="0" w:type="auto"/>
            <w:noWrap/>
            <w:tcMar>
              <w:top w:w="0" w:type="dxa"/>
              <w:left w:w="70" w:type="dxa"/>
              <w:bottom w:w="0" w:type="dxa"/>
              <w:right w:w="70" w:type="dxa"/>
            </w:tcMar>
            <w:vAlign w:val="bottom"/>
            <w:hideMark/>
          </w:tcPr>
          <w:p w14:paraId="668ED23A"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98,7%</w:t>
            </w:r>
          </w:p>
        </w:tc>
        <w:tc>
          <w:tcPr>
            <w:tcW w:w="0" w:type="auto"/>
            <w:noWrap/>
            <w:tcMar>
              <w:top w:w="0" w:type="dxa"/>
              <w:left w:w="70" w:type="dxa"/>
              <w:bottom w:w="0" w:type="dxa"/>
              <w:right w:w="70" w:type="dxa"/>
            </w:tcMar>
            <w:vAlign w:val="bottom"/>
            <w:hideMark/>
          </w:tcPr>
          <w:p w14:paraId="1023DB82"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6.612</w:t>
            </w:r>
          </w:p>
        </w:tc>
        <w:tc>
          <w:tcPr>
            <w:tcW w:w="0" w:type="auto"/>
            <w:noWrap/>
            <w:tcMar>
              <w:top w:w="0" w:type="dxa"/>
              <w:left w:w="70" w:type="dxa"/>
              <w:bottom w:w="0" w:type="dxa"/>
              <w:right w:w="70" w:type="dxa"/>
            </w:tcMar>
            <w:vAlign w:val="bottom"/>
            <w:hideMark/>
          </w:tcPr>
          <w:p w14:paraId="4AA8B4EF"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95,8%</w:t>
            </w:r>
          </w:p>
        </w:tc>
      </w:tr>
      <w:tr w:rsidR="00FC3526" w:rsidRPr="00DE4CD2" w14:paraId="5F58EC48" w14:textId="77777777" w:rsidTr="002B1C23">
        <w:trPr>
          <w:trHeight w:val="60"/>
          <w:jc w:val="center"/>
        </w:trPr>
        <w:tc>
          <w:tcPr>
            <w:tcW w:w="0" w:type="auto"/>
            <w:noWrap/>
            <w:tcMar>
              <w:top w:w="0" w:type="dxa"/>
              <w:left w:w="70" w:type="dxa"/>
              <w:bottom w:w="0" w:type="dxa"/>
              <w:right w:w="70" w:type="dxa"/>
            </w:tcMar>
            <w:vAlign w:val="bottom"/>
            <w:hideMark/>
          </w:tcPr>
          <w:p w14:paraId="2F7CFDFF" w14:textId="77777777" w:rsidR="006A1757" w:rsidRPr="00DE4CD2" w:rsidRDefault="006A1757" w:rsidP="002B1C23">
            <w:pPr>
              <w:rPr>
                <w:rFonts w:asciiTheme="majorHAnsi" w:hAnsiTheme="majorHAnsi" w:cstheme="majorHAnsi"/>
                <w:sz w:val="18"/>
                <w:szCs w:val="18"/>
                <w:lang w:eastAsia="de-DE"/>
              </w:rPr>
            </w:pPr>
            <w:r w:rsidRPr="00DE4CD2">
              <w:rPr>
                <w:rFonts w:asciiTheme="majorHAnsi" w:hAnsiTheme="majorHAnsi" w:cstheme="majorHAnsi"/>
                <w:sz w:val="18"/>
                <w:szCs w:val="18"/>
                <w:lang w:eastAsia="de-DE"/>
              </w:rPr>
              <w:t>DE</w:t>
            </w:r>
          </w:p>
        </w:tc>
        <w:tc>
          <w:tcPr>
            <w:tcW w:w="0" w:type="auto"/>
            <w:noWrap/>
            <w:tcMar>
              <w:top w:w="0" w:type="dxa"/>
              <w:left w:w="70" w:type="dxa"/>
              <w:bottom w:w="0" w:type="dxa"/>
              <w:right w:w="70" w:type="dxa"/>
            </w:tcMar>
            <w:vAlign w:val="bottom"/>
            <w:hideMark/>
          </w:tcPr>
          <w:p w14:paraId="6928E864"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92.865</w:t>
            </w:r>
          </w:p>
        </w:tc>
        <w:tc>
          <w:tcPr>
            <w:tcW w:w="0" w:type="auto"/>
            <w:noWrap/>
            <w:tcMar>
              <w:top w:w="0" w:type="dxa"/>
              <w:left w:w="70" w:type="dxa"/>
              <w:bottom w:w="0" w:type="dxa"/>
              <w:right w:w="70" w:type="dxa"/>
            </w:tcMar>
            <w:vAlign w:val="bottom"/>
            <w:hideMark/>
          </w:tcPr>
          <w:p w14:paraId="61682C7A"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88.725</w:t>
            </w:r>
          </w:p>
        </w:tc>
        <w:tc>
          <w:tcPr>
            <w:tcW w:w="0" w:type="auto"/>
            <w:noWrap/>
            <w:tcMar>
              <w:top w:w="0" w:type="dxa"/>
              <w:left w:w="70" w:type="dxa"/>
              <w:bottom w:w="0" w:type="dxa"/>
              <w:right w:w="70" w:type="dxa"/>
            </w:tcMar>
            <w:vAlign w:val="bottom"/>
            <w:hideMark/>
          </w:tcPr>
          <w:p w14:paraId="747F3097"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95,5%</w:t>
            </w:r>
          </w:p>
        </w:tc>
        <w:tc>
          <w:tcPr>
            <w:tcW w:w="0" w:type="auto"/>
            <w:noWrap/>
            <w:tcMar>
              <w:top w:w="0" w:type="dxa"/>
              <w:left w:w="70" w:type="dxa"/>
              <w:bottom w:w="0" w:type="dxa"/>
              <w:right w:w="70" w:type="dxa"/>
            </w:tcMar>
            <w:vAlign w:val="bottom"/>
            <w:hideMark/>
          </w:tcPr>
          <w:p w14:paraId="4E77FCC0"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88.519</w:t>
            </w:r>
          </w:p>
        </w:tc>
        <w:tc>
          <w:tcPr>
            <w:tcW w:w="0" w:type="auto"/>
            <w:noWrap/>
            <w:tcMar>
              <w:top w:w="0" w:type="dxa"/>
              <w:left w:w="70" w:type="dxa"/>
              <w:bottom w:w="0" w:type="dxa"/>
              <w:right w:w="70" w:type="dxa"/>
            </w:tcMar>
            <w:vAlign w:val="bottom"/>
            <w:hideMark/>
          </w:tcPr>
          <w:p w14:paraId="6C28412A"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95,3%</w:t>
            </w:r>
          </w:p>
        </w:tc>
      </w:tr>
      <w:tr w:rsidR="00FC3526" w:rsidRPr="00DE4CD2" w14:paraId="34852B15" w14:textId="77777777" w:rsidTr="002B1C23">
        <w:trPr>
          <w:trHeight w:val="60"/>
          <w:jc w:val="center"/>
        </w:trPr>
        <w:tc>
          <w:tcPr>
            <w:tcW w:w="0" w:type="auto"/>
            <w:noWrap/>
            <w:tcMar>
              <w:top w:w="0" w:type="dxa"/>
              <w:left w:w="70" w:type="dxa"/>
              <w:bottom w:w="0" w:type="dxa"/>
              <w:right w:w="70" w:type="dxa"/>
            </w:tcMar>
            <w:vAlign w:val="bottom"/>
            <w:hideMark/>
          </w:tcPr>
          <w:p w14:paraId="716D6217" w14:textId="77777777" w:rsidR="006A1757" w:rsidRPr="00DE4CD2" w:rsidRDefault="006A1757" w:rsidP="002B1C23">
            <w:pPr>
              <w:rPr>
                <w:rFonts w:asciiTheme="majorHAnsi" w:hAnsiTheme="majorHAnsi" w:cstheme="majorHAnsi"/>
                <w:sz w:val="18"/>
                <w:szCs w:val="18"/>
                <w:lang w:eastAsia="de-DE"/>
              </w:rPr>
            </w:pPr>
            <w:r w:rsidRPr="00DE4CD2">
              <w:rPr>
                <w:rFonts w:asciiTheme="majorHAnsi" w:hAnsiTheme="majorHAnsi" w:cstheme="majorHAnsi"/>
                <w:sz w:val="18"/>
                <w:szCs w:val="18"/>
                <w:lang w:eastAsia="de-DE"/>
              </w:rPr>
              <w:t>DK</w:t>
            </w:r>
          </w:p>
        </w:tc>
        <w:tc>
          <w:tcPr>
            <w:tcW w:w="0" w:type="auto"/>
            <w:noWrap/>
            <w:tcMar>
              <w:top w:w="0" w:type="dxa"/>
              <w:left w:w="70" w:type="dxa"/>
              <w:bottom w:w="0" w:type="dxa"/>
              <w:right w:w="70" w:type="dxa"/>
            </w:tcMar>
            <w:vAlign w:val="bottom"/>
            <w:hideMark/>
          </w:tcPr>
          <w:p w14:paraId="0C5907B1"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11.792</w:t>
            </w:r>
          </w:p>
        </w:tc>
        <w:tc>
          <w:tcPr>
            <w:tcW w:w="0" w:type="auto"/>
            <w:noWrap/>
            <w:tcMar>
              <w:top w:w="0" w:type="dxa"/>
              <w:left w:w="70" w:type="dxa"/>
              <w:bottom w:w="0" w:type="dxa"/>
              <w:right w:w="70" w:type="dxa"/>
            </w:tcMar>
            <w:vAlign w:val="bottom"/>
            <w:hideMark/>
          </w:tcPr>
          <w:p w14:paraId="4E88C42D"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11.682</w:t>
            </w:r>
          </w:p>
        </w:tc>
        <w:tc>
          <w:tcPr>
            <w:tcW w:w="0" w:type="auto"/>
            <w:noWrap/>
            <w:tcMar>
              <w:top w:w="0" w:type="dxa"/>
              <w:left w:w="70" w:type="dxa"/>
              <w:bottom w:w="0" w:type="dxa"/>
              <w:right w:w="70" w:type="dxa"/>
            </w:tcMar>
            <w:vAlign w:val="bottom"/>
            <w:hideMark/>
          </w:tcPr>
          <w:p w14:paraId="6FDAD8FF"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99,1%</w:t>
            </w:r>
          </w:p>
        </w:tc>
        <w:tc>
          <w:tcPr>
            <w:tcW w:w="0" w:type="auto"/>
            <w:noWrap/>
            <w:tcMar>
              <w:top w:w="0" w:type="dxa"/>
              <w:left w:w="70" w:type="dxa"/>
              <w:bottom w:w="0" w:type="dxa"/>
              <w:right w:w="70" w:type="dxa"/>
            </w:tcMar>
            <w:vAlign w:val="bottom"/>
            <w:hideMark/>
          </w:tcPr>
          <w:p w14:paraId="39C3A8FF"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11.577</w:t>
            </w:r>
          </w:p>
        </w:tc>
        <w:tc>
          <w:tcPr>
            <w:tcW w:w="0" w:type="auto"/>
            <w:noWrap/>
            <w:tcMar>
              <w:top w:w="0" w:type="dxa"/>
              <w:left w:w="70" w:type="dxa"/>
              <w:bottom w:w="0" w:type="dxa"/>
              <w:right w:w="70" w:type="dxa"/>
            </w:tcMar>
            <w:vAlign w:val="bottom"/>
            <w:hideMark/>
          </w:tcPr>
          <w:p w14:paraId="223709F1"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98,2%</w:t>
            </w:r>
          </w:p>
        </w:tc>
      </w:tr>
      <w:tr w:rsidR="00FC3526" w:rsidRPr="00DE4CD2" w14:paraId="40305D34" w14:textId="77777777" w:rsidTr="002B1C23">
        <w:trPr>
          <w:trHeight w:val="60"/>
          <w:jc w:val="center"/>
        </w:trPr>
        <w:tc>
          <w:tcPr>
            <w:tcW w:w="0" w:type="auto"/>
            <w:noWrap/>
            <w:tcMar>
              <w:top w:w="0" w:type="dxa"/>
              <w:left w:w="70" w:type="dxa"/>
              <w:bottom w:w="0" w:type="dxa"/>
              <w:right w:w="70" w:type="dxa"/>
            </w:tcMar>
            <w:vAlign w:val="bottom"/>
            <w:hideMark/>
          </w:tcPr>
          <w:p w14:paraId="73D297DF" w14:textId="77777777" w:rsidR="006A1757" w:rsidRPr="00DE4CD2" w:rsidRDefault="006A1757" w:rsidP="002B1C23">
            <w:pPr>
              <w:rPr>
                <w:rFonts w:asciiTheme="majorHAnsi" w:hAnsiTheme="majorHAnsi" w:cstheme="majorHAnsi"/>
                <w:sz w:val="18"/>
                <w:szCs w:val="18"/>
                <w:lang w:eastAsia="de-DE"/>
              </w:rPr>
            </w:pPr>
            <w:r w:rsidRPr="00DE4CD2">
              <w:rPr>
                <w:rFonts w:asciiTheme="majorHAnsi" w:hAnsiTheme="majorHAnsi" w:cstheme="majorHAnsi"/>
                <w:sz w:val="18"/>
                <w:szCs w:val="18"/>
                <w:lang w:eastAsia="de-DE"/>
              </w:rPr>
              <w:t>EE</w:t>
            </w:r>
          </w:p>
        </w:tc>
        <w:tc>
          <w:tcPr>
            <w:tcW w:w="0" w:type="auto"/>
            <w:noWrap/>
            <w:tcMar>
              <w:top w:w="0" w:type="dxa"/>
              <w:left w:w="70" w:type="dxa"/>
              <w:bottom w:w="0" w:type="dxa"/>
              <w:right w:w="70" w:type="dxa"/>
            </w:tcMar>
            <w:vAlign w:val="bottom"/>
            <w:hideMark/>
          </w:tcPr>
          <w:p w14:paraId="71193EA5"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3.123</w:t>
            </w:r>
          </w:p>
        </w:tc>
        <w:tc>
          <w:tcPr>
            <w:tcW w:w="0" w:type="auto"/>
            <w:noWrap/>
            <w:tcMar>
              <w:top w:w="0" w:type="dxa"/>
              <w:left w:w="70" w:type="dxa"/>
              <w:bottom w:w="0" w:type="dxa"/>
              <w:right w:w="70" w:type="dxa"/>
            </w:tcMar>
            <w:vAlign w:val="bottom"/>
            <w:hideMark/>
          </w:tcPr>
          <w:p w14:paraId="70852ADD"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3.070</w:t>
            </w:r>
          </w:p>
        </w:tc>
        <w:tc>
          <w:tcPr>
            <w:tcW w:w="0" w:type="auto"/>
            <w:noWrap/>
            <w:tcMar>
              <w:top w:w="0" w:type="dxa"/>
              <w:left w:w="70" w:type="dxa"/>
              <w:bottom w:w="0" w:type="dxa"/>
              <w:right w:w="70" w:type="dxa"/>
            </w:tcMar>
            <w:vAlign w:val="bottom"/>
            <w:hideMark/>
          </w:tcPr>
          <w:p w14:paraId="3FCA41EB"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98,3%</w:t>
            </w:r>
          </w:p>
        </w:tc>
        <w:tc>
          <w:tcPr>
            <w:tcW w:w="0" w:type="auto"/>
            <w:noWrap/>
            <w:tcMar>
              <w:top w:w="0" w:type="dxa"/>
              <w:left w:w="70" w:type="dxa"/>
              <w:bottom w:w="0" w:type="dxa"/>
              <w:right w:w="70" w:type="dxa"/>
            </w:tcMar>
            <w:vAlign w:val="bottom"/>
            <w:hideMark/>
          </w:tcPr>
          <w:p w14:paraId="4D4FA1EC"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3.026</w:t>
            </w:r>
          </w:p>
        </w:tc>
        <w:tc>
          <w:tcPr>
            <w:tcW w:w="0" w:type="auto"/>
            <w:noWrap/>
            <w:tcMar>
              <w:top w:w="0" w:type="dxa"/>
              <w:left w:w="70" w:type="dxa"/>
              <w:bottom w:w="0" w:type="dxa"/>
              <w:right w:w="70" w:type="dxa"/>
            </w:tcMar>
            <w:vAlign w:val="bottom"/>
            <w:hideMark/>
          </w:tcPr>
          <w:p w14:paraId="0303B481"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96,9%</w:t>
            </w:r>
          </w:p>
        </w:tc>
      </w:tr>
      <w:tr w:rsidR="00FC3526" w:rsidRPr="00DE4CD2" w14:paraId="76EB1E5B" w14:textId="77777777" w:rsidTr="002B1C23">
        <w:trPr>
          <w:trHeight w:val="60"/>
          <w:jc w:val="center"/>
        </w:trPr>
        <w:tc>
          <w:tcPr>
            <w:tcW w:w="0" w:type="auto"/>
            <w:noWrap/>
            <w:tcMar>
              <w:top w:w="0" w:type="dxa"/>
              <w:left w:w="70" w:type="dxa"/>
              <w:bottom w:w="0" w:type="dxa"/>
              <w:right w:w="70" w:type="dxa"/>
            </w:tcMar>
            <w:vAlign w:val="bottom"/>
            <w:hideMark/>
          </w:tcPr>
          <w:p w14:paraId="1A747168" w14:textId="77777777" w:rsidR="006A1757" w:rsidRPr="00DE4CD2" w:rsidRDefault="006A1757" w:rsidP="002B1C23">
            <w:pPr>
              <w:rPr>
                <w:rFonts w:asciiTheme="majorHAnsi" w:hAnsiTheme="majorHAnsi" w:cstheme="majorHAnsi"/>
                <w:sz w:val="18"/>
                <w:szCs w:val="18"/>
                <w:lang w:eastAsia="de-DE"/>
              </w:rPr>
            </w:pPr>
            <w:r w:rsidRPr="00DE4CD2">
              <w:rPr>
                <w:rFonts w:asciiTheme="majorHAnsi" w:hAnsiTheme="majorHAnsi" w:cstheme="majorHAnsi"/>
                <w:sz w:val="18"/>
                <w:szCs w:val="18"/>
                <w:lang w:eastAsia="de-DE"/>
              </w:rPr>
              <w:t>ES</w:t>
            </w:r>
          </w:p>
        </w:tc>
        <w:tc>
          <w:tcPr>
            <w:tcW w:w="0" w:type="auto"/>
            <w:noWrap/>
            <w:tcMar>
              <w:top w:w="0" w:type="dxa"/>
              <w:left w:w="70" w:type="dxa"/>
              <w:bottom w:w="0" w:type="dxa"/>
              <w:right w:w="70" w:type="dxa"/>
            </w:tcMar>
            <w:vAlign w:val="bottom"/>
            <w:hideMark/>
          </w:tcPr>
          <w:p w14:paraId="002F6147"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66.611</w:t>
            </w:r>
          </w:p>
        </w:tc>
        <w:tc>
          <w:tcPr>
            <w:tcW w:w="0" w:type="auto"/>
            <w:noWrap/>
            <w:tcMar>
              <w:top w:w="0" w:type="dxa"/>
              <w:left w:w="70" w:type="dxa"/>
              <w:bottom w:w="0" w:type="dxa"/>
              <w:right w:w="70" w:type="dxa"/>
            </w:tcMar>
            <w:vAlign w:val="bottom"/>
            <w:hideMark/>
          </w:tcPr>
          <w:p w14:paraId="34B380A3"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64.678</w:t>
            </w:r>
          </w:p>
        </w:tc>
        <w:tc>
          <w:tcPr>
            <w:tcW w:w="0" w:type="auto"/>
            <w:noWrap/>
            <w:tcMar>
              <w:top w:w="0" w:type="dxa"/>
              <w:left w:w="70" w:type="dxa"/>
              <w:bottom w:w="0" w:type="dxa"/>
              <w:right w:w="70" w:type="dxa"/>
            </w:tcMar>
            <w:vAlign w:val="bottom"/>
            <w:hideMark/>
          </w:tcPr>
          <w:p w14:paraId="655ACE9F"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97,1%</w:t>
            </w:r>
          </w:p>
        </w:tc>
        <w:tc>
          <w:tcPr>
            <w:tcW w:w="0" w:type="auto"/>
            <w:noWrap/>
            <w:tcMar>
              <w:top w:w="0" w:type="dxa"/>
              <w:left w:w="70" w:type="dxa"/>
              <w:bottom w:w="0" w:type="dxa"/>
              <w:right w:w="70" w:type="dxa"/>
            </w:tcMar>
            <w:vAlign w:val="bottom"/>
            <w:hideMark/>
          </w:tcPr>
          <w:p w14:paraId="67B59714"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63.153</w:t>
            </w:r>
          </w:p>
        </w:tc>
        <w:tc>
          <w:tcPr>
            <w:tcW w:w="0" w:type="auto"/>
            <w:noWrap/>
            <w:tcMar>
              <w:top w:w="0" w:type="dxa"/>
              <w:left w:w="70" w:type="dxa"/>
              <w:bottom w:w="0" w:type="dxa"/>
              <w:right w:w="70" w:type="dxa"/>
            </w:tcMar>
            <w:vAlign w:val="bottom"/>
            <w:hideMark/>
          </w:tcPr>
          <w:p w14:paraId="3C71DAFE"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94,8%</w:t>
            </w:r>
          </w:p>
        </w:tc>
      </w:tr>
      <w:tr w:rsidR="00FC3526" w:rsidRPr="00DE4CD2" w14:paraId="283CB27B" w14:textId="77777777" w:rsidTr="002B1C23">
        <w:trPr>
          <w:trHeight w:val="111"/>
          <w:jc w:val="center"/>
        </w:trPr>
        <w:tc>
          <w:tcPr>
            <w:tcW w:w="0" w:type="auto"/>
            <w:noWrap/>
            <w:tcMar>
              <w:top w:w="0" w:type="dxa"/>
              <w:left w:w="70" w:type="dxa"/>
              <w:bottom w:w="0" w:type="dxa"/>
              <w:right w:w="70" w:type="dxa"/>
            </w:tcMar>
            <w:vAlign w:val="bottom"/>
            <w:hideMark/>
          </w:tcPr>
          <w:p w14:paraId="34F89254" w14:textId="77777777" w:rsidR="006A1757" w:rsidRPr="00DE4CD2" w:rsidRDefault="006A1757" w:rsidP="002B1C23">
            <w:pPr>
              <w:rPr>
                <w:rFonts w:asciiTheme="majorHAnsi" w:hAnsiTheme="majorHAnsi" w:cstheme="majorHAnsi"/>
                <w:sz w:val="18"/>
                <w:szCs w:val="18"/>
                <w:lang w:eastAsia="de-DE"/>
              </w:rPr>
            </w:pPr>
            <w:r w:rsidRPr="00DE4CD2">
              <w:rPr>
                <w:rFonts w:asciiTheme="majorHAnsi" w:hAnsiTheme="majorHAnsi" w:cstheme="majorHAnsi"/>
                <w:sz w:val="18"/>
                <w:szCs w:val="18"/>
                <w:lang w:eastAsia="de-DE"/>
              </w:rPr>
              <w:t>FI</w:t>
            </w:r>
          </w:p>
        </w:tc>
        <w:tc>
          <w:tcPr>
            <w:tcW w:w="0" w:type="auto"/>
            <w:noWrap/>
            <w:tcMar>
              <w:top w:w="0" w:type="dxa"/>
              <w:left w:w="70" w:type="dxa"/>
              <w:bottom w:w="0" w:type="dxa"/>
              <w:right w:w="70" w:type="dxa"/>
            </w:tcMar>
            <w:vAlign w:val="bottom"/>
            <w:hideMark/>
          </w:tcPr>
          <w:p w14:paraId="3F12715D"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8.206</w:t>
            </w:r>
          </w:p>
        </w:tc>
        <w:tc>
          <w:tcPr>
            <w:tcW w:w="0" w:type="auto"/>
            <w:noWrap/>
            <w:tcMar>
              <w:top w:w="0" w:type="dxa"/>
              <w:left w:w="70" w:type="dxa"/>
              <w:bottom w:w="0" w:type="dxa"/>
              <w:right w:w="70" w:type="dxa"/>
            </w:tcMar>
            <w:vAlign w:val="bottom"/>
            <w:hideMark/>
          </w:tcPr>
          <w:p w14:paraId="4193D640"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8.141</w:t>
            </w:r>
          </w:p>
        </w:tc>
        <w:tc>
          <w:tcPr>
            <w:tcW w:w="0" w:type="auto"/>
            <w:noWrap/>
            <w:tcMar>
              <w:top w:w="0" w:type="dxa"/>
              <w:left w:w="70" w:type="dxa"/>
              <w:bottom w:w="0" w:type="dxa"/>
              <w:right w:w="70" w:type="dxa"/>
            </w:tcMar>
            <w:vAlign w:val="bottom"/>
            <w:hideMark/>
          </w:tcPr>
          <w:p w14:paraId="5F8F2A71"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99,2%</w:t>
            </w:r>
          </w:p>
        </w:tc>
        <w:tc>
          <w:tcPr>
            <w:tcW w:w="0" w:type="auto"/>
            <w:noWrap/>
            <w:tcMar>
              <w:top w:w="0" w:type="dxa"/>
              <w:left w:w="70" w:type="dxa"/>
              <w:bottom w:w="0" w:type="dxa"/>
              <w:right w:w="70" w:type="dxa"/>
            </w:tcMar>
            <w:vAlign w:val="bottom"/>
            <w:hideMark/>
          </w:tcPr>
          <w:p w14:paraId="125C1F0C"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8.033</w:t>
            </w:r>
          </w:p>
        </w:tc>
        <w:tc>
          <w:tcPr>
            <w:tcW w:w="0" w:type="auto"/>
            <w:noWrap/>
            <w:tcMar>
              <w:top w:w="0" w:type="dxa"/>
              <w:left w:w="70" w:type="dxa"/>
              <w:bottom w:w="0" w:type="dxa"/>
              <w:right w:w="70" w:type="dxa"/>
            </w:tcMar>
            <w:vAlign w:val="bottom"/>
            <w:hideMark/>
          </w:tcPr>
          <w:p w14:paraId="731FDBB5"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97,9%</w:t>
            </w:r>
          </w:p>
        </w:tc>
      </w:tr>
      <w:tr w:rsidR="00FC3526" w:rsidRPr="00DE4CD2" w14:paraId="56754211" w14:textId="77777777" w:rsidTr="002B1C23">
        <w:trPr>
          <w:trHeight w:val="60"/>
          <w:jc w:val="center"/>
        </w:trPr>
        <w:tc>
          <w:tcPr>
            <w:tcW w:w="0" w:type="auto"/>
            <w:noWrap/>
            <w:tcMar>
              <w:top w:w="0" w:type="dxa"/>
              <w:left w:w="70" w:type="dxa"/>
              <w:bottom w:w="0" w:type="dxa"/>
              <w:right w:w="70" w:type="dxa"/>
            </w:tcMar>
            <w:vAlign w:val="bottom"/>
            <w:hideMark/>
          </w:tcPr>
          <w:p w14:paraId="3B97D8BF" w14:textId="77777777" w:rsidR="006A1757" w:rsidRPr="00DE4CD2" w:rsidRDefault="006A1757" w:rsidP="002B1C23">
            <w:pPr>
              <w:rPr>
                <w:rFonts w:asciiTheme="majorHAnsi" w:hAnsiTheme="majorHAnsi" w:cstheme="majorHAnsi"/>
                <w:sz w:val="18"/>
                <w:szCs w:val="18"/>
                <w:lang w:eastAsia="de-DE"/>
              </w:rPr>
            </w:pPr>
            <w:r w:rsidRPr="00DE4CD2">
              <w:rPr>
                <w:rFonts w:asciiTheme="majorHAnsi" w:hAnsiTheme="majorHAnsi" w:cstheme="majorHAnsi"/>
                <w:sz w:val="18"/>
                <w:szCs w:val="18"/>
                <w:lang w:eastAsia="de-DE"/>
              </w:rPr>
              <w:t>FR</w:t>
            </w:r>
          </w:p>
        </w:tc>
        <w:tc>
          <w:tcPr>
            <w:tcW w:w="0" w:type="auto"/>
            <w:noWrap/>
            <w:tcMar>
              <w:top w:w="0" w:type="dxa"/>
              <w:left w:w="70" w:type="dxa"/>
              <w:bottom w:w="0" w:type="dxa"/>
              <w:right w:w="70" w:type="dxa"/>
            </w:tcMar>
            <w:vAlign w:val="bottom"/>
            <w:hideMark/>
          </w:tcPr>
          <w:p w14:paraId="4B62FCD7"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44.487</w:t>
            </w:r>
          </w:p>
        </w:tc>
        <w:tc>
          <w:tcPr>
            <w:tcW w:w="0" w:type="auto"/>
            <w:noWrap/>
            <w:tcMar>
              <w:top w:w="0" w:type="dxa"/>
              <w:left w:w="70" w:type="dxa"/>
              <w:bottom w:w="0" w:type="dxa"/>
              <w:right w:w="70" w:type="dxa"/>
            </w:tcMar>
            <w:vAlign w:val="bottom"/>
            <w:hideMark/>
          </w:tcPr>
          <w:p w14:paraId="2F8A9BB3"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44.161</w:t>
            </w:r>
          </w:p>
        </w:tc>
        <w:tc>
          <w:tcPr>
            <w:tcW w:w="0" w:type="auto"/>
            <w:noWrap/>
            <w:tcMar>
              <w:top w:w="0" w:type="dxa"/>
              <w:left w:w="70" w:type="dxa"/>
              <w:bottom w:w="0" w:type="dxa"/>
              <w:right w:w="70" w:type="dxa"/>
            </w:tcMar>
            <w:vAlign w:val="bottom"/>
            <w:hideMark/>
          </w:tcPr>
          <w:p w14:paraId="7383E276"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99,3%</w:t>
            </w:r>
          </w:p>
        </w:tc>
        <w:tc>
          <w:tcPr>
            <w:tcW w:w="0" w:type="auto"/>
            <w:noWrap/>
            <w:tcMar>
              <w:top w:w="0" w:type="dxa"/>
              <w:left w:w="70" w:type="dxa"/>
              <w:bottom w:w="0" w:type="dxa"/>
              <w:right w:w="70" w:type="dxa"/>
            </w:tcMar>
            <w:vAlign w:val="bottom"/>
            <w:hideMark/>
          </w:tcPr>
          <w:p w14:paraId="2593D12A"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43.911</w:t>
            </w:r>
          </w:p>
        </w:tc>
        <w:tc>
          <w:tcPr>
            <w:tcW w:w="0" w:type="auto"/>
            <w:noWrap/>
            <w:tcMar>
              <w:top w:w="0" w:type="dxa"/>
              <w:left w:w="70" w:type="dxa"/>
              <w:bottom w:w="0" w:type="dxa"/>
              <w:right w:w="70" w:type="dxa"/>
            </w:tcMar>
            <w:vAlign w:val="bottom"/>
            <w:hideMark/>
          </w:tcPr>
          <w:p w14:paraId="32CBFB52"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98,7%</w:t>
            </w:r>
          </w:p>
        </w:tc>
      </w:tr>
      <w:tr w:rsidR="00FC3526" w:rsidRPr="00DE4CD2" w14:paraId="649CF592" w14:textId="77777777" w:rsidTr="002B1C23">
        <w:trPr>
          <w:trHeight w:val="60"/>
          <w:jc w:val="center"/>
        </w:trPr>
        <w:tc>
          <w:tcPr>
            <w:tcW w:w="0" w:type="auto"/>
            <w:noWrap/>
            <w:tcMar>
              <w:top w:w="0" w:type="dxa"/>
              <w:left w:w="70" w:type="dxa"/>
              <w:bottom w:w="0" w:type="dxa"/>
              <w:right w:w="70" w:type="dxa"/>
            </w:tcMar>
            <w:vAlign w:val="bottom"/>
            <w:hideMark/>
          </w:tcPr>
          <w:p w14:paraId="6B7478BD" w14:textId="77777777" w:rsidR="006A1757" w:rsidRPr="00DE4CD2" w:rsidRDefault="006A1757" w:rsidP="002B1C23">
            <w:pPr>
              <w:rPr>
                <w:rFonts w:asciiTheme="majorHAnsi" w:hAnsiTheme="majorHAnsi" w:cstheme="majorHAnsi"/>
                <w:sz w:val="18"/>
                <w:szCs w:val="18"/>
                <w:lang w:eastAsia="de-DE"/>
              </w:rPr>
            </w:pPr>
            <w:r w:rsidRPr="00DE4CD2">
              <w:rPr>
                <w:rFonts w:asciiTheme="majorHAnsi" w:hAnsiTheme="majorHAnsi" w:cstheme="majorHAnsi"/>
                <w:sz w:val="18"/>
                <w:szCs w:val="18"/>
                <w:lang w:eastAsia="de-DE"/>
              </w:rPr>
              <w:t>GB</w:t>
            </w:r>
          </w:p>
        </w:tc>
        <w:tc>
          <w:tcPr>
            <w:tcW w:w="0" w:type="auto"/>
            <w:noWrap/>
            <w:tcMar>
              <w:top w:w="0" w:type="dxa"/>
              <w:left w:w="70" w:type="dxa"/>
              <w:bottom w:w="0" w:type="dxa"/>
              <w:right w:w="70" w:type="dxa"/>
            </w:tcMar>
            <w:vAlign w:val="bottom"/>
            <w:hideMark/>
          </w:tcPr>
          <w:p w14:paraId="6E48E072"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76.061</w:t>
            </w:r>
          </w:p>
        </w:tc>
        <w:tc>
          <w:tcPr>
            <w:tcW w:w="0" w:type="auto"/>
            <w:noWrap/>
            <w:tcMar>
              <w:top w:w="0" w:type="dxa"/>
              <w:left w:w="70" w:type="dxa"/>
              <w:bottom w:w="0" w:type="dxa"/>
              <w:right w:w="70" w:type="dxa"/>
            </w:tcMar>
            <w:vAlign w:val="bottom"/>
            <w:hideMark/>
          </w:tcPr>
          <w:p w14:paraId="7CD763EE"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74.622</w:t>
            </w:r>
          </w:p>
        </w:tc>
        <w:tc>
          <w:tcPr>
            <w:tcW w:w="0" w:type="auto"/>
            <w:noWrap/>
            <w:tcMar>
              <w:top w:w="0" w:type="dxa"/>
              <w:left w:w="70" w:type="dxa"/>
              <w:bottom w:w="0" w:type="dxa"/>
              <w:right w:w="70" w:type="dxa"/>
            </w:tcMar>
            <w:vAlign w:val="bottom"/>
            <w:hideMark/>
          </w:tcPr>
          <w:p w14:paraId="6E219EAA"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98,1%</w:t>
            </w:r>
          </w:p>
        </w:tc>
        <w:tc>
          <w:tcPr>
            <w:tcW w:w="0" w:type="auto"/>
            <w:noWrap/>
            <w:tcMar>
              <w:top w:w="0" w:type="dxa"/>
              <w:left w:w="70" w:type="dxa"/>
              <w:bottom w:w="0" w:type="dxa"/>
              <w:right w:w="70" w:type="dxa"/>
            </w:tcMar>
            <w:vAlign w:val="bottom"/>
            <w:hideMark/>
          </w:tcPr>
          <w:p w14:paraId="1AD0CDAE"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69.104</w:t>
            </w:r>
          </w:p>
        </w:tc>
        <w:tc>
          <w:tcPr>
            <w:tcW w:w="0" w:type="auto"/>
            <w:noWrap/>
            <w:tcMar>
              <w:top w:w="0" w:type="dxa"/>
              <w:left w:w="70" w:type="dxa"/>
              <w:bottom w:w="0" w:type="dxa"/>
              <w:right w:w="70" w:type="dxa"/>
            </w:tcMar>
            <w:vAlign w:val="bottom"/>
            <w:hideMark/>
          </w:tcPr>
          <w:p w14:paraId="576F51AB"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90,9%</w:t>
            </w:r>
          </w:p>
        </w:tc>
      </w:tr>
      <w:tr w:rsidR="00FC3526" w:rsidRPr="00DE4CD2" w14:paraId="1405C198" w14:textId="77777777" w:rsidTr="002B1C23">
        <w:trPr>
          <w:trHeight w:val="60"/>
          <w:jc w:val="center"/>
        </w:trPr>
        <w:tc>
          <w:tcPr>
            <w:tcW w:w="0" w:type="auto"/>
            <w:noWrap/>
            <w:tcMar>
              <w:top w:w="0" w:type="dxa"/>
              <w:left w:w="70" w:type="dxa"/>
              <w:bottom w:w="0" w:type="dxa"/>
              <w:right w:w="70" w:type="dxa"/>
            </w:tcMar>
            <w:vAlign w:val="bottom"/>
            <w:hideMark/>
          </w:tcPr>
          <w:p w14:paraId="7485C3D1" w14:textId="77777777" w:rsidR="006A1757" w:rsidRPr="00DE4CD2" w:rsidRDefault="006A1757" w:rsidP="002B1C23">
            <w:pPr>
              <w:rPr>
                <w:rFonts w:asciiTheme="majorHAnsi" w:hAnsiTheme="majorHAnsi" w:cstheme="majorHAnsi"/>
                <w:sz w:val="18"/>
                <w:szCs w:val="18"/>
                <w:lang w:eastAsia="de-DE"/>
              </w:rPr>
            </w:pPr>
            <w:r w:rsidRPr="00DE4CD2">
              <w:rPr>
                <w:rFonts w:asciiTheme="majorHAnsi" w:hAnsiTheme="majorHAnsi" w:cstheme="majorHAnsi"/>
                <w:sz w:val="18"/>
                <w:szCs w:val="18"/>
                <w:lang w:eastAsia="de-DE"/>
              </w:rPr>
              <w:t>GR</w:t>
            </w:r>
          </w:p>
        </w:tc>
        <w:tc>
          <w:tcPr>
            <w:tcW w:w="0" w:type="auto"/>
            <w:noWrap/>
            <w:tcMar>
              <w:top w:w="0" w:type="dxa"/>
              <w:left w:w="70" w:type="dxa"/>
              <w:bottom w:w="0" w:type="dxa"/>
              <w:right w:w="70" w:type="dxa"/>
            </w:tcMar>
            <w:vAlign w:val="bottom"/>
            <w:hideMark/>
          </w:tcPr>
          <w:p w14:paraId="4AB62AB4"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4.332</w:t>
            </w:r>
          </w:p>
        </w:tc>
        <w:tc>
          <w:tcPr>
            <w:tcW w:w="0" w:type="auto"/>
            <w:noWrap/>
            <w:tcMar>
              <w:top w:w="0" w:type="dxa"/>
              <w:left w:w="70" w:type="dxa"/>
              <w:bottom w:w="0" w:type="dxa"/>
              <w:right w:w="70" w:type="dxa"/>
            </w:tcMar>
            <w:vAlign w:val="bottom"/>
            <w:hideMark/>
          </w:tcPr>
          <w:p w14:paraId="499105F2"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3.842</w:t>
            </w:r>
          </w:p>
        </w:tc>
        <w:tc>
          <w:tcPr>
            <w:tcW w:w="0" w:type="auto"/>
            <w:noWrap/>
            <w:tcMar>
              <w:top w:w="0" w:type="dxa"/>
              <w:left w:w="70" w:type="dxa"/>
              <w:bottom w:w="0" w:type="dxa"/>
              <w:right w:w="70" w:type="dxa"/>
            </w:tcMar>
            <w:vAlign w:val="bottom"/>
            <w:hideMark/>
          </w:tcPr>
          <w:p w14:paraId="5B9DE47D"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88,7%</w:t>
            </w:r>
          </w:p>
        </w:tc>
        <w:tc>
          <w:tcPr>
            <w:tcW w:w="0" w:type="auto"/>
            <w:noWrap/>
            <w:tcMar>
              <w:top w:w="0" w:type="dxa"/>
              <w:left w:w="70" w:type="dxa"/>
              <w:bottom w:w="0" w:type="dxa"/>
              <w:right w:w="70" w:type="dxa"/>
            </w:tcMar>
            <w:vAlign w:val="bottom"/>
            <w:hideMark/>
          </w:tcPr>
          <w:p w14:paraId="53536580"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3.624</w:t>
            </w:r>
          </w:p>
        </w:tc>
        <w:tc>
          <w:tcPr>
            <w:tcW w:w="0" w:type="auto"/>
            <w:noWrap/>
            <w:tcMar>
              <w:top w:w="0" w:type="dxa"/>
              <w:left w:w="70" w:type="dxa"/>
              <w:bottom w:w="0" w:type="dxa"/>
              <w:right w:w="70" w:type="dxa"/>
            </w:tcMar>
            <w:vAlign w:val="bottom"/>
            <w:hideMark/>
          </w:tcPr>
          <w:p w14:paraId="4169D463"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83,7%</w:t>
            </w:r>
          </w:p>
        </w:tc>
      </w:tr>
      <w:tr w:rsidR="00FC3526" w:rsidRPr="00DE4CD2" w14:paraId="1928C928" w14:textId="77777777" w:rsidTr="002B1C23">
        <w:trPr>
          <w:trHeight w:val="60"/>
          <w:jc w:val="center"/>
        </w:trPr>
        <w:tc>
          <w:tcPr>
            <w:tcW w:w="0" w:type="auto"/>
            <w:noWrap/>
            <w:tcMar>
              <w:top w:w="0" w:type="dxa"/>
              <w:left w:w="70" w:type="dxa"/>
              <w:bottom w:w="0" w:type="dxa"/>
              <w:right w:w="70" w:type="dxa"/>
            </w:tcMar>
            <w:vAlign w:val="bottom"/>
            <w:hideMark/>
          </w:tcPr>
          <w:p w14:paraId="3BE09FB6" w14:textId="77777777" w:rsidR="006A1757" w:rsidRPr="00DE4CD2" w:rsidRDefault="006A1757" w:rsidP="002B1C23">
            <w:pPr>
              <w:rPr>
                <w:rFonts w:asciiTheme="majorHAnsi" w:hAnsiTheme="majorHAnsi" w:cstheme="majorHAnsi"/>
                <w:sz w:val="18"/>
                <w:szCs w:val="18"/>
                <w:lang w:eastAsia="de-DE"/>
              </w:rPr>
            </w:pPr>
            <w:r w:rsidRPr="00DE4CD2">
              <w:rPr>
                <w:rFonts w:asciiTheme="majorHAnsi" w:hAnsiTheme="majorHAnsi" w:cstheme="majorHAnsi"/>
                <w:sz w:val="18"/>
                <w:szCs w:val="18"/>
                <w:lang w:eastAsia="de-DE"/>
              </w:rPr>
              <w:t>HR</w:t>
            </w:r>
          </w:p>
        </w:tc>
        <w:tc>
          <w:tcPr>
            <w:tcW w:w="0" w:type="auto"/>
            <w:noWrap/>
            <w:tcMar>
              <w:top w:w="0" w:type="dxa"/>
              <w:left w:w="70" w:type="dxa"/>
              <w:bottom w:w="0" w:type="dxa"/>
              <w:right w:w="70" w:type="dxa"/>
            </w:tcMar>
            <w:vAlign w:val="bottom"/>
            <w:hideMark/>
          </w:tcPr>
          <w:p w14:paraId="335BEB80"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672</w:t>
            </w:r>
          </w:p>
        </w:tc>
        <w:tc>
          <w:tcPr>
            <w:tcW w:w="0" w:type="auto"/>
            <w:noWrap/>
            <w:tcMar>
              <w:top w:w="0" w:type="dxa"/>
              <w:left w:w="70" w:type="dxa"/>
              <w:bottom w:w="0" w:type="dxa"/>
              <w:right w:w="70" w:type="dxa"/>
            </w:tcMar>
            <w:vAlign w:val="bottom"/>
            <w:hideMark/>
          </w:tcPr>
          <w:p w14:paraId="686653EE"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668</w:t>
            </w:r>
          </w:p>
        </w:tc>
        <w:tc>
          <w:tcPr>
            <w:tcW w:w="0" w:type="auto"/>
            <w:noWrap/>
            <w:tcMar>
              <w:top w:w="0" w:type="dxa"/>
              <w:left w:w="70" w:type="dxa"/>
              <w:bottom w:w="0" w:type="dxa"/>
              <w:right w:w="70" w:type="dxa"/>
            </w:tcMar>
            <w:vAlign w:val="bottom"/>
            <w:hideMark/>
          </w:tcPr>
          <w:p w14:paraId="38AEC7C6"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99,4%</w:t>
            </w:r>
          </w:p>
        </w:tc>
        <w:tc>
          <w:tcPr>
            <w:tcW w:w="0" w:type="auto"/>
            <w:noWrap/>
            <w:tcMar>
              <w:top w:w="0" w:type="dxa"/>
              <w:left w:w="70" w:type="dxa"/>
              <w:bottom w:w="0" w:type="dxa"/>
              <w:right w:w="70" w:type="dxa"/>
            </w:tcMar>
            <w:vAlign w:val="bottom"/>
            <w:hideMark/>
          </w:tcPr>
          <w:p w14:paraId="2432C981"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667</w:t>
            </w:r>
          </w:p>
        </w:tc>
        <w:tc>
          <w:tcPr>
            <w:tcW w:w="0" w:type="auto"/>
            <w:noWrap/>
            <w:tcMar>
              <w:top w:w="0" w:type="dxa"/>
              <w:left w:w="70" w:type="dxa"/>
              <w:bottom w:w="0" w:type="dxa"/>
              <w:right w:w="70" w:type="dxa"/>
            </w:tcMar>
            <w:vAlign w:val="bottom"/>
            <w:hideMark/>
          </w:tcPr>
          <w:p w14:paraId="4B6913C8"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99,3%</w:t>
            </w:r>
          </w:p>
        </w:tc>
      </w:tr>
      <w:tr w:rsidR="00FC3526" w:rsidRPr="00DE4CD2" w14:paraId="59D1C2E7" w14:textId="77777777" w:rsidTr="002B1C23">
        <w:trPr>
          <w:trHeight w:val="60"/>
          <w:jc w:val="center"/>
        </w:trPr>
        <w:tc>
          <w:tcPr>
            <w:tcW w:w="0" w:type="auto"/>
            <w:noWrap/>
            <w:tcMar>
              <w:top w:w="0" w:type="dxa"/>
              <w:left w:w="70" w:type="dxa"/>
              <w:bottom w:w="0" w:type="dxa"/>
              <w:right w:w="70" w:type="dxa"/>
            </w:tcMar>
            <w:vAlign w:val="bottom"/>
            <w:hideMark/>
          </w:tcPr>
          <w:p w14:paraId="4CB9D3C7" w14:textId="77777777" w:rsidR="006A1757" w:rsidRPr="00DE4CD2" w:rsidRDefault="006A1757" w:rsidP="002B1C23">
            <w:pPr>
              <w:rPr>
                <w:rFonts w:asciiTheme="majorHAnsi" w:hAnsiTheme="majorHAnsi" w:cstheme="majorHAnsi"/>
                <w:sz w:val="18"/>
                <w:szCs w:val="18"/>
                <w:lang w:eastAsia="de-DE"/>
              </w:rPr>
            </w:pPr>
            <w:r w:rsidRPr="00DE4CD2">
              <w:rPr>
                <w:rFonts w:asciiTheme="majorHAnsi" w:hAnsiTheme="majorHAnsi" w:cstheme="majorHAnsi"/>
                <w:sz w:val="18"/>
                <w:szCs w:val="18"/>
                <w:lang w:eastAsia="de-DE"/>
              </w:rPr>
              <w:t>HU</w:t>
            </w:r>
          </w:p>
        </w:tc>
        <w:tc>
          <w:tcPr>
            <w:tcW w:w="0" w:type="auto"/>
            <w:noWrap/>
            <w:tcMar>
              <w:top w:w="0" w:type="dxa"/>
              <w:left w:w="70" w:type="dxa"/>
              <w:bottom w:w="0" w:type="dxa"/>
              <w:right w:w="70" w:type="dxa"/>
            </w:tcMar>
            <w:vAlign w:val="bottom"/>
            <w:hideMark/>
          </w:tcPr>
          <w:p w14:paraId="0FFE67BE"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3.228</w:t>
            </w:r>
          </w:p>
        </w:tc>
        <w:tc>
          <w:tcPr>
            <w:tcW w:w="0" w:type="auto"/>
            <w:noWrap/>
            <w:tcMar>
              <w:top w:w="0" w:type="dxa"/>
              <w:left w:w="70" w:type="dxa"/>
              <w:bottom w:w="0" w:type="dxa"/>
              <w:right w:w="70" w:type="dxa"/>
            </w:tcMar>
            <w:vAlign w:val="bottom"/>
            <w:hideMark/>
          </w:tcPr>
          <w:p w14:paraId="2DDE8D76"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3.189</w:t>
            </w:r>
          </w:p>
        </w:tc>
        <w:tc>
          <w:tcPr>
            <w:tcW w:w="0" w:type="auto"/>
            <w:noWrap/>
            <w:tcMar>
              <w:top w:w="0" w:type="dxa"/>
              <w:left w:w="70" w:type="dxa"/>
              <w:bottom w:w="0" w:type="dxa"/>
              <w:right w:w="70" w:type="dxa"/>
            </w:tcMar>
            <w:vAlign w:val="bottom"/>
            <w:hideMark/>
          </w:tcPr>
          <w:p w14:paraId="4DE5AC80"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98,8%</w:t>
            </w:r>
          </w:p>
        </w:tc>
        <w:tc>
          <w:tcPr>
            <w:tcW w:w="0" w:type="auto"/>
            <w:noWrap/>
            <w:tcMar>
              <w:top w:w="0" w:type="dxa"/>
              <w:left w:w="70" w:type="dxa"/>
              <w:bottom w:w="0" w:type="dxa"/>
              <w:right w:w="70" w:type="dxa"/>
            </w:tcMar>
            <w:vAlign w:val="bottom"/>
            <w:hideMark/>
          </w:tcPr>
          <w:p w14:paraId="7F179305"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3.171</w:t>
            </w:r>
          </w:p>
        </w:tc>
        <w:tc>
          <w:tcPr>
            <w:tcW w:w="0" w:type="auto"/>
            <w:noWrap/>
            <w:tcMar>
              <w:top w:w="0" w:type="dxa"/>
              <w:left w:w="70" w:type="dxa"/>
              <w:bottom w:w="0" w:type="dxa"/>
              <w:right w:w="70" w:type="dxa"/>
            </w:tcMar>
            <w:vAlign w:val="bottom"/>
            <w:hideMark/>
          </w:tcPr>
          <w:p w14:paraId="467035EE"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98,2%</w:t>
            </w:r>
          </w:p>
        </w:tc>
      </w:tr>
      <w:tr w:rsidR="00FC3526" w:rsidRPr="00DE4CD2" w14:paraId="0D928230" w14:textId="77777777" w:rsidTr="002B1C23">
        <w:trPr>
          <w:trHeight w:val="60"/>
          <w:jc w:val="center"/>
        </w:trPr>
        <w:tc>
          <w:tcPr>
            <w:tcW w:w="0" w:type="auto"/>
            <w:noWrap/>
            <w:tcMar>
              <w:top w:w="0" w:type="dxa"/>
              <w:left w:w="70" w:type="dxa"/>
              <w:bottom w:w="0" w:type="dxa"/>
              <w:right w:w="70" w:type="dxa"/>
            </w:tcMar>
            <w:vAlign w:val="bottom"/>
            <w:hideMark/>
          </w:tcPr>
          <w:p w14:paraId="5F2EF0C8" w14:textId="77777777" w:rsidR="006A1757" w:rsidRPr="00DE4CD2" w:rsidRDefault="006A1757" w:rsidP="002B1C23">
            <w:pPr>
              <w:rPr>
                <w:rFonts w:asciiTheme="majorHAnsi" w:hAnsiTheme="majorHAnsi" w:cstheme="majorHAnsi"/>
                <w:sz w:val="18"/>
                <w:szCs w:val="18"/>
                <w:lang w:eastAsia="de-DE"/>
              </w:rPr>
            </w:pPr>
            <w:r w:rsidRPr="00DE4CD2">
              <w:rPr>
                <w:rFonts w:asciiTheme="majorHAnsi" w:hAnsiTheme="majorHAnsi" w:cstheme="majorHAnsi"/>
                <w:sz w:val="18"/>
                <w:szCs w:val="18"/>
                <w:lang w:eastAsia="de-DE"/>
              </w:rPr>
              <w:t>IE</w:t>
            </w:r>
          </w:p>
        </w:tc>
        <w:tc>
          <w:tcPr>
            <w:tcW w:w="0" w:type="auto"/>
            <w:noWrap/>
            <w:tcMar>
              <w:top w:w="0" w:type="dxa"/>
              <w:left w:w="70" w:type="dxa"/>
              <w:bottom w:w="0" w:type="dxa"/>
              <w:right w:w="70" w:type="dxa"/>
            </w:tcMar>
            <w:vAlign w:val="bottom"/>
            <w:hideMark/>
          </w:tcPr>
          <w:p w14:paraId="26D812D5"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6.865</w:t>
            </w:r>
          </w:p>
        </w:tc>
        <w:tc>
          <w:tcPr>
            <w:tcW w:w="0" w:type="auto"/>
            <w:noWrap/>
            <w:tcMar>
              <w:top w:w="0" w:type="dxa"/>
              <w:left w:w="70" w:type="dxa"/>
              <w:bottom w:w="0" w:type="dxa"/>
              <w:right w:w="70" w:type="dxa"/>
            </w:tcMar>
            <w:vAlign w:val="bottom"/>
            <w:hideMark/>
          </w:tcPr>
          <w:p w14:paraId="4A57379D"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6.633</w:t>
            </w:r>
          </w:p>
        </w:tc>
        <w:tc>
          <w:tcPr>
            <w:tcW w:w="0" w:type="auto"/>
            <w:noWrap/>
            <w:tcMar>
              <w:top w:w="0" w:type="dxa"/>
              <w:left w:w="70" w:type="dxa"/>
              <w:bottom w:w="0" w:type="dxa"/>
              <w:right w:w="70" w:type="dxa"/>
            </w:tcMar>
            <w:vAlign w:val="bottom"/>
            <w:hideMark/>
          </w:tcPr>
          <w:p w14:paraId="0EFD71C2"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96,6%</w:t>
            </w:r>
          </w:p>
        </w:tc>
        <w:tc>
          <w:tcPr>
            <w:tcW w:w="0" w:type="auto"/>
            <w:noWrap/>
            <w:tcMar>
              <w:top w:w="0" w:type="dxa"/>
              <w:left w:w="70" w:type="dxa"/>
              <w:bottom w:w="0" w:type="dxa"/>
              <w:right w:w="70" w:type="dxa"/>
            </w:tcMar>
            <w:vAlign w:val="bottom"/>
            <w:hideMark/>
          </w:tcPr>
          <w:p w14:paraId="2C01CC49"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6.202</w:t>
            </w:r>
          </w:p>
        </w:tc>
        <w:tc>
          <w:tcPr>
            <w:tcW w:w="0" w:type="auto"/>
            <w:noWrap/>
            <w:tcMar>
              <w:top w:w="0" w:type="dxa"/>
              <w:left w:w="70" w:type="dxa"/>
              <w:bottom w:w="0" w:type="dxa"/>
              <w:right w:w="70" w:type="dxa"/>
            </w:tcMar>
            <w:vAlign w:val="bottom"/>
            <w:hideMark/>
          </w:tcPr>
          <w:p w14:paraId="5C06D7D2"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90,3%</w:t>
            </w:r>
          </w:p>
        </w:tc>
      </w:tr>
      <w:tr w:rsidR="00FC3526" w:rsidRPr="00DE4CD2" w14:paraId="64551FA7" w14:textId="77777777" w:rsidTr="002B1C23">
        <w:trPr>
          <w:trHeight w:val="60"/>
          <w:jc w:val="center"/>
        </w:trPr>
        <w:tc>
          <w:tcPr>
            <w:tcW w:w="0" w:type="auto"/>
            <w:noWrap/>
            <w:tcMar>
              <w:top w:w="0" w:type="dxa"/>
              <w:left w:w="70" w:type="dxa"/>
              <w:bottom w:w="0" w:type="dxa"/>
              <w:right w:w="70" w:type="dxa"/>
            </w:tcMar>
            <w:vAlign w:val="bottom"/>
            <w:hideMark/>
          </w:tcPr>
          <w:p w14:paraId="48991852" w14:textId="77777777" w:rsidR="006A1757" w:rsidRPr="00DE4CD2" w:rsidRDefault="006A1757" w:rsidP="002B1C23">
            <w:pPr>
              <w:rPr>
                <w:rFonts w:asciiTheme="majorHAnsi" w:hAnsiTheme="majorHAnsi" w:cstheme="majorHAnsi"/>
                <w:sz w:val="18"/>
                <w:szCs w:val="18"/>
                <w:lang w:eastAsia="de-DE"/>
              </w:rPr>
            </w:pPr>
            <w:r w:rsidRPr="00DE4CD2">
              <w:rPr>
                <w:rFonts w:asciiTheme="majorHAnsi" w:hAnsiTheme="majorHAnsi" w:cstheme="majorHAnsi"/>
                <w:sz w:val="18"/>
                <w:szCs w:val="18"/>
                <w:lang w:eastAsia="de-DE"/>
              </w:rPr>
              <w:t>IS</w:t>
            </w:r>
          </w:p>
        </w:tc>
        <w:tc>
          <w:tcPr>
            <w:tcW w:w="0" w:type="auto"/>
            <w:noWrap/>
            <w:tcMar>
              <w:top w:w="0" w:type="dxa"/>
              <w:left w:w="70" w:type="dxa"/>
              <w:bottom w:w="0" w:type="dxa"/>
              <w:right w:w="70" w:type="dxa"/>
            </w:tcMar>
            <w:vAlign w:val="bottom"/>
            <w:hideMark/>
          </w:tcPr>
          <w:p w14:paraId="3446D410"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189</w:t>
            </w:r>
          </w:p>
        </w:tc>
        <w:tc>
          <w:tcPr>
            <w:tcW w:w="0" w:type="auto"/>
            <w:noWrap/>
            <w:tcMar>
              <w:top w:w="0" w:type="dxa"/>
              <w:left w:w="70" w:type="dxa"/>
              <w:bottom w:w="0" w:type="dxa"/>
              <w:right w:w="70" w:type="dxa"/>
            </w:tcMar>
            <w:vAlign w:val="bottom"/>
            <w:hideMark/>
          </w:tcPr>
          <w:p w14:paraId="1C422E39"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153</w:t>
            </w:r>
          </w:p>
        </w:tc>
        <w:tc>
          <w:tcPr>
            <w:tcW w:w="0" w:type="auto"/>
            <w:noWrap/>
            <w:tcMar>
              <w:top w:w="0" w:type="dxa"/>
              <w:left w:w="70" w:type="dxa"/>
              <w:bottom w:w="0" w:type="dxa"/>
              <w:right w:w="70" w:type="dxa"/>
            </w:tcMar>
            <w:vAlign w:val="bottom"/>
            <w:hideMark/>
          </w:tcPr>
          <w:p w14:paraId="31F41454"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81,0%</w:t>
            </w:r>
          </w:p>
        </w:tc>
        <w:tc>
          <w:tcPr>
            <w:tcW w:w="0" w:type="auto"/>
            <w:noWrap/>
            <w:tcMar>
              <w:top w:w="0" w:type="dxa"/>
              <w:left w:w="70" w:type="dxa"/>
              <w:bottom w:w="0" w:type="dxa"/>
              <w:right w:w="70" w:type="dxa"/>
            </w:tcMar>
            <w:vAlign w:val="bottom"/>
            <w:hideMark/>
          </w:tcPr>
          <w:p w14:paraId="7BBCA943"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137</w:t>
            </w:r>
          </w:p>
        </w:tc>
        <w:tc>
          <w:tcPr>
            <w:tcW w:w="0" w:type="auto"/>
            <w:noWrap/>
            <w:tcMar>
              <w:top w:w="0" w:type="dxa"/>
              <w:left w:w="70" w:type="dxa"/>
              <w:bottom w:w="0" w:type="dxa"/>
              <w:right w:w="70" w:type="dxa"/>
            </w:tcMar>
            <w:vAlign w:val="bottom"/>
            <w:hideMark/>
          </w:tcPr>
          <w:p w14:paraId="0FB66BE0"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72,5%</w:t>
            </w:r>
          </w:p>
        </w:tc>
      </w:tr>
      <w:tr w:rsidR="00FC3526" w:rsidRPr="00DE4CD2" w14:paraId="468E9098" w14:textId="77777777" w:rsidTr="002B1C23">
        <w:trPr>
          <w:trHeight w:val="60"/>
          <w:jc w:val="center"/>
        </w:trPr>
        <w:tc>
          <w:tcPr>
            <w:tcW w:w="0" w:type="auto"/>
            <w:noWrap/>
            <w:tcMar>
              <w:top w:w="0" w:type="dxa"/>
              <w:left w:w="70" w:type="dxa"/>
              <w:bottom w:w="0" w:type="dxa"/>
              <w:right w:w="70" w:type="dxa"/>
            </w:tcMar>
            <w:vAlign w:val="bottom"/>
            <w:hideMark/>
          </w:tcPr>
          <w:p w14:paraId="30AC3B1C" w14:textId="77777777" w:rsidR="006A1757" w:rsidRPr="00DE4CD2" w:rsidRDefault="006A1757" w:rsidP="002B1C23">
            <w:pPr>
              <w:rPr>
                <w:rFonts w:asciiTheme="majorHAnsi" w:hAnsiTheme="majorHAnsi" w:cstheme="majorHAnsi"/>
                <w:sz w:val="18"/>
                <w:szCs w:val="18"/>
                <w:lang w:eastAsia="de-DE"/>
              </w:rPr>
            </w:pPr>
            <w:r w:rsidRPr="00DE4CD2">
              <w:rPr>
                <w:rFonts w:asciiTheme="majorHAnsi" w:hAnsiTheme="majorHAnsi" w:cstheme="majorHAnsi"/>
                <w:sz w:val="18"/>
                <w:szCs w:val="18"/>
                <w:lang w:eastAsia="de-DE"/>
              </w:rPr>
              <w:t>IT</w:t>
            </w:r>
          </w:p>
        </w:tc>
        <w:tc>
          <w:tcPr>
            <w:tcW w:w="0" w:type="auto"/>
            <w:noWrap/>
            <w:tcMar>
              <w:top w:w="0" w:type="dxa"/>
              <w:left w:w="70" w:type="dxa"/>
              <w:bottom w:w="0" w:type="dxa"/>
              <w:right w:w="70" w:type="dxa"/>
            </w:tcMar>
            <w:vAlign w:val="bottom"/>
            <w:hideMark/>
          </w:tcPr>
          <w:p w14:paraId="5A647B29"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68.422</w:t>
            </w:r>
          </w:p>
        </w:tc>
        <w:tc>
          <w:tcPr>
            <w:tcW w:w="0" w:type="auto"/>
            <w:noWrap/>
            <w:tcMar>
              <w:top w:w="0" w:type="dxa"/>
              <w:left w:w="70" w:type="dxa"/>
              <w:bottom w:w="0" w:type="dxa"/>
              <w:right w:w="70" w:type="dxa"/>
            </w:tcMar>
            <w:vAlign w:val="bottom"/>
            <w:hideMark/>
          </w:tcPr>
          <w:p w14:paraId="5BD5B380"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68.061</w:t>
            </w:r>
          </w:p>
        </w:tc>
        <w:tc>
          <w:tcPr>
            <w:tcW w:w="0" w:type="auto"/>
            <w:noWrap/>
            <w:tcMar>
              <w:top w:w="0" w:type="dxa"/>
              <w:left w:w="70" w:type="dxa"/>
              <w:bottom w:w="0" w:type="dxa"/>
              <w:right w:w="70" w:type="dxa"/>
            </w:tcMar>
            <w:vAlign w:val="bottom"/>
            <w:hideMark/>
          </w:tcPr>
          <w:p w14:paraId="30542D03"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99,5%</w:t>
            </w:r>
          </w:p>
        </w:tc>
        <w:tc>
          <w:tcPr>
            <w:tcW w:w="0" w:type="auto"/>
            <w:noWrap/>
            <w:tcMar>
              <w:top w:w="0" w:type="dxa"/>
              <w:left w:w="70" w:type="dxa"/>
              <w:bottom w:w="0" w:type="dxa"/>
              <w:right w:w="70" w:type="dxa"/>
            </w:tcMar>
            <w:vAlign w:val="bottom"/>
            <w:hideMark/>
          </w:tcPr>
          <w:p w14:paraId="284F9B11"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67.670</w:t>
            </w:r>
          </w:p>
        </w:tc>
        <w:tc>
          <w:tcPr>
            <w:tcW w:w="0" w:type="auto"/>
            <w:noWrap/>
            <w:tcMar>
              <w:top w:w="0" w:type="dxa"/>
              <w:left w:w="70" w:type="dxa"/>
              <w:bottom w:w="0" w:type="dxa"/>
              <w:right w:w="70" w:type="dxa"/>
            </w:tcMar>
            <w:vAlign w:val="bottom"/>
            <w:hideMark/>
          </w:tcPr>
          <w:p w14:paraId="10FC9FE3"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98,9%</w:t>
            </w:r>
          </w:p>
        </w:tc>
      </w:tr>
      <w:tr w:rsidR="00FC3526" w:rsidRPr="00DE4CD2" w14:paraId="69C5B8D2" w14:textId="77777777" w:rsidTr="002B1C23">
        <w:trPr>
          <w:trHeight w:val="60"/>
          <w:jc w:val="center"/>
        </w:trPr>
        <w:tc>
          <w:tcPr>
            <w:tcW w:w="0" w:type="auto"/>
            <w:noWrap/>
            <w:tcMar>
              <w:top w:w="0" w:type="dxa"/>
              <w:left w:w="70" w:type="dxa"/>
              <w:bottom w:w="0" w:type="dxa"/>
              <w:right w:w="70" w:type="dxa"/>
            </w:tcMar>
            <w:vAlign w:val="bottom"/>
            <w:hideMark/>
          </w:tcPr>
          <w:p w14:paraId="664DFBD8" w14:textId="77777777" w:rsidR="006A1757" w:rsidRPr="00DE4CD2" w:rsidRDefault="006A1757" w:rsidP="002B1C23">
            <w:pPr>
              <w:rPr>
                <w:rFonts w:asciiTheme="majorHAnsi" w:hAnsiTheme="majorHAnsi" w:cstheme="majorHAnsi"/>
                <w:sz w:val="18"/>
                <w:szCs w:val="18"/>
                <w:lang w:eastAsia="de-DE"/>
              </w:rPr>
            </w:pPr>
            <w:r w:rsidRPr="00DE4CD2">
              <w:rPr>
                <w:rFonts w:asciiTheme="majorHAnsi" w:hAnsiTheme="majorHAnsi" w:cstheme="majorHAnsi"/>
                <w:sz w:val="18"/>
                <w:szCs w:val="18"/>
                <w:lang w:eastAsia="de-DE"/>
              </w:rPr>
              <w:t>LI</w:t>
            </w:r>
          </w:p>
        </w:tc>
        <w:tc>
          <w:tcPr>
            <w:tcW w:w="0" w:type="auto"/>
            <w:noWrap/>
            <w:tcMar>
              <w:top w:w="0" w:type="dxa"/>
              <w:left w:w="70" w:type="dxa"/>
              <w:bottom w:w="0" w:type="dxa"/>
              <w:right w:w="70" w:type="dxa"/>
            </w:tcMar>
            <w:vAlign w:val="bottom"/>
            <w:hideMark/>
          </w:tcPr>
          <w:p w14:paraId="58C38B7F"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599</w:t>
            </w:r>
          </w:p>
        </w:tc>
        <w:tc>
          <w:tcPr>
            <w:tcW w:w="0" w:type="auto"/>
            <w:noWrap/>
            <w:tcMar>
              <w:top w:w="0" w:type="dxa"/>
              <w:left w:w="70" w:type="dxa"/>
              <w:bottom w:w="0" w:type="dxa"/>
              <w:right w:w="70" w:type="dxa"/>
            </w:tcMar>
            <w:vAlign w:val="bottom"/>
            <w:hideMark/>
          </w:tcPr>
          <w:p w14:paraId="60CB74E8"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591</w:t>
            </w:r>
          </w:p>
        </w:tc>
        <w:tc>
          <w:tcPr>
            <w:tcW w:w="0" w:type="auto"/>
            <w:noWrap/>
            <w:tcMar>
              <w:top w:w="0" w:type="dxa"/>
              <w:left w:w="70" w:type="dxa"/>
              <w:bottom w:w="0" w:type="dxa"/>
              <w:right w:w="70" w:type="dxa"/>
            </w:tcMar>
            <w:vAlign w:val="bottom"/>
            <w:hideMark/>
          </w:tcPr>
          <w:p w14:paraId="7850C617"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98,7%</w:t>
            </w:r>
          </w:p>
        </w:tc>
        <w:tc>
          <w:tcPr>
            <w:tcW w:w="0" w:type="auto"/>
            <w:noWrap/>
            <w:tcMar>
              <w:top w:w="0" w:type="dxa"/>
              <w:left w:w="70" w:type="dxa"/>
              <w:bottom w:w="0" w:type="dxa"/>
              <w:right w:w="70" w:type="dxa"/>
            </w:tcMar>
            <w:vAlign w:val="bottom"/>
            <w:hideMark/>
          </w:tcPr>
          <w:p w14:paraId="4DCC4A14"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589</w:t>
            </w:r>
          </w:p>
        </w:tc>
        <w:tc>
          <w:tcPr>
            <w:tcW w:w="0" w:type="auto"/>
            <w:noWrap/>
            <w:tcMar>
              <w:top w:w="0" w:type="dxa"/>
              <w:left w:w="70" w:type="dxa"/>
              <w:bottom w:w="0" w:type="dxa"/>
              <w:right w:w="70" w:type="dxa"/>
            </w:tcMar>
            <w:vAlign w:val="bottom"/>
            <w:hideMark/>
          </w:tcPr>
          <w:p w14:paraId="3142C67F"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98,3%</w:t>
            </w:r>
          </w:p>
        </w:tc>
      </w:tr>
      <w:tr w:rsidR="00FC3526" w:rsidRPr="00DE4CD2" w14:paraId="7F6F898B" w14:textId="77777777" w:rsidTr="002B1C23">
        <w:trPr>
          <w:trHeight w:val="60"/>
          <w:jc w:val="center"/>
        </w:trPr>
        <w:tc>
          <w:tcPr>
            <w:tcW w:w="0" w:type="auto"/>
            <w:noWrap/>
            <w:tcMar>
              <w:top w:w="0" w:type="dxa"/>
              <w:left w:w="70" w:type="dxa"/>
              <w:bottom w:w="0" w:type="dxa"/>
              <w:right w:w="70" w:type="dxa"/>
            </w:tcMar>
            <w:vAlign w:val="bottom"/>
            <w:hideMark/>
          </w:tcPr>
          <w:p w14:paraId="61504374" w14:textId="77777777" w:rsidR="006A1757" w:rsidRPr="00DE4CD2" w:rsidRDefault="006A1757" w:rsidP="002B1C23">
            <w:pPr>
              <w:rPr>
                <w:rFonts w:asciiTheme="majorHAnsi" w:hAnsiTheme="majorHAnsi" w:cstheme="majorHAnsi"/>
                <w:sz w:val="18"/>
                <w:szCs w:val="18"/>
                <w:lang w:eastAsia="de-DE"/>
              </w:rPr>
            </w:pPr>
            <w:r w:rsidRPr="00DE4CD2">
              <w:rPr>
                <w:rFonts w:asciiTheme="majorHAnsi" w:hAnsiTheme="majorHAnsi" w:cstheme="majorHAnsi"/>
                <w:sz w:val="18"/>
                <w:szCs w:val="18"/>
                <w:lang w:eastAsia="de-DE"/>
              </w:rPr>
              <w:t>LT</w:t>
            </w:r>
          </w:p>
        </w:tc>
        <w:tc>
          <w:tcPr>
            <w:tcW w:w="0" w:type="auto"/>
            <w:noWrap/>
            <w:tcMar>
              <w:top w:w="0" w:type="dxa"/>
              <w:left w:w="70" w:type="dxa"/>
              <w:bottom w:w="0" w:type="dxa"/>
              <w:right w:w="70" w:type="dxa"/>
            </w:tcMar>
            <w:vAlign w:val="bottom"/>
            <w:hideMark/>
          </w:tcPr>
          <w:p w14:paraId="5F3899F2"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2.008</w:t>
            </w:r>
          </w:p>
        </w:tc>
        <w:tc>
          <w:tcPr>
            <w:tcW w:w="0" w:type="auto"/>
            <w:noWrap/>
            <w:tcMar>
              <w:top w:w="0" w:type="dxa"/>
              <w:left w:w="70" w:type="dxa"/>
              <w:bottom w:w="0" w:type="dxa"/>
              <w:right w:w="70" w:type="dxa"/>
            </w:tcMar>
            <w:vAlign w:val="bottom"/>
            <w:hideMark/>
          </w:tcPr>
          <w:p w14:paraId="1976CCD5"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1.967</w:t>
            </w:r>
          </w:p>
        </w:tc>
        <w:tc>
          <w:tcPr>
            <w:tcW w:w="0" w:type="auto"/>
            <w:noWrap/>
            <w:tcMar>
              <w:top w:w="0" w:type="dxa"/>
              <w:left w:w="70" w:type="dxa"/>
              <w:bottom w:w="0" w:type="dxa"/>
              <w:right w:w="70" w:type="dxa"/>
            </w:tcMar>
            <w:vAlign w:val="bottom"/>
            <w:hideMark/>
          </w:tcPr>
          <w:p w14:paraId="7D9CBAC7"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98,0%</w:t>
            </w:r>
          </w:p>
        </w:tc>
        <w:tc>
          <w:tcPr>
            <w:tcW w:w="0" w:type="auto"/>
            <w:noWrap/>
            <w:tcMar>
              <w:top w:w="0" w:type="dxa"/>
              <w:left w:w="70" w:type="dxa"/>
              <w:bottom w:w="0" w:type="dxa"/>
              <w:right w:w="70" w:type="dxa"/>
            </w:tcMar>
            <w:vAlign w:val="bottom"/>
            <w:hideMark/>
          </w:tcPr>
          <w:p w14:paraId="00B6555D"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1.951</w:t>
            </w:r>
          </w:p>
        </w:tc>
        <w:tc>
          <w:tcPr>
            <w:tcW w:w="0" w:type="auto"/>
            <w:noWrap/>
            <w:tcMar>
              <w:top w:w="0" w:type="dxa"/>
              <w:left w:w="70" w:type="dxa"/>
              <w:bottom w:w="0" w:type="dxa"/>
              <w:right w:w="70" w:type="dxa"/>
            </w:tcMar>
            <w:vAlign w:val="bottom"/>
            <w:hideMark/>
          </w:tcPr>
          <w:p w14:paraId="6DF58801"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97,2%</w:t>
            </w:r>
          </w:p>
        </w:tc>
      </w:tr>
      <w:tr w:rsidR="00FC3526" w:rsidRPr="00DE4CD2" w14:paraId="7100EE75" w14:textId="77777777" w:rsidTr="002B1C23">
        <w:trPr>
          <w:trHeight w:val="60"/>
          <w:jc w:val="center"/>
        </w:trPr>
        <w:tc>
          <w:tcPr>
            <w:tcW w:w="0" w:type="auto"/>
            <w:noWrap/>
            <w:tcMar>
              <w:top w:w="0" w:type="dxa"/>
              <w:left w:w="70" w:type="dxa"/>
              <w:bottom w:w="0" w:type="dxa"/>
              <w:right w:w="70" w:type="dxa"/>
            </w:tcMar>
            <w:vAlign w:val="bottom"/>
            <w:hideMark/>
          </w:tcPr>
          <w:p w14:paraId="74FC968C" w14:textId="77777777" w:rsidR="006A1757" w:rsidRPr="00DE4CD2" w:rsidRDefault="006A1757" w:rsidP="002B1C23">
            <w:pPr>
              <w:rPr>
                <w:rFonts w:asciiTheme="majorHAnsi" w:hAnsiTheme="majorHAnsi" w:cstheme="majorHAnsi"/>
                <w:sz w:val="18"/>
                <w:szCs w:val="18"/>
                <w:lang w:eastAsia="de-DE"/>
              </w:rPr>
            </w:pPr>
            <w:r w:rsidRPr="00DE4CD2">
              <w:rPr>
                <w:rFonts w:asciiTheme="majorHAnsi" w:hAnsiTheme="majorHAnsi" w:cstheme="majorHAnsi"/>
                <w:sz w:val="18"/>
                <w:szCs w:val="18"/>
                <w:lang w:eastAsia="de-DE"/>
              </w:rPr>
              <w:t>LU</w:t>
            </w:r>
          </w:p>
        </w:tc>
        <w:tc>
          <w:tcPr>
            <w:tcW w:w="0" w:type="auto"/>
            <w:noWrap/>
            <w:tcMar>
              <w:top w:w="0" w:type="dxa"/>
              <w:left w:w="70" w:type="dxa"/>
              <w:bottom w:w="0" w:type="dxa"/>
              <w:right w:w="70" w:type="dxa"/>
            </w:tcMar>
            <w:vAlign w:val="bottom"/>
            <w:hideMark/>
          </w:tcPr>
          <w:p w14:paraId="19287F35"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5.558</w:t>
            </w:r>
          </w:p>
        </w:tc>
        <w:tc>
          <w:tcPr>
            <w:tcW w:w="0" w:type="auto"/>
            <w:noWrap/>
            <w:tcMar>
              <w:top w:w="0" w:type="dxa"/>
              <w:left w:w="70" w:type="dxa"/>
              <w:bottom w:w="0" w:type="dxa"/>
              <w:right w:w="70" w:type="dxa"/>
            </w:tcMar>
            <w:vAlign w:val="bottom"/>
            <w:hideMark/>
          </w:tcPr>
          <w:p w14:paraId="41A4E1F4"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5.547</w:t>
            </w:r>
          </w:p>
        </w:tc>
        <w:tc>
          <w:tcPr>
            <w:tcW w:w="0" w:type="auto"/>
            <w:noWrap/>
            <w:tcMar>
              <w:top w:w="0" w:type="dxa"/>
              <w:left w:w="70" w:type="dxa"/>
              <w:bottom w:w="0" w:type="dxa"/>
              <w:right w:w="70" w:type="dxa"/>
            </w:tcMar>
            <w:vAlign w:val="bottom"/>
            <w:hideMark/>
          </w:tcPr>
          <w:p w14:paraId="6D7D3557"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99,8%</w:t>
            </w:r>
          </w:p>
        </w:tc>
        <w:tc>
          <w:tcPr>
            <w:tcW w:w="0" w:type="auto"/>
            <w:noWrap/>
            <w:tcMar>
              <w:top w:w="0" w:type="dxa"/>
              <w:left w:w="70" w:type="dxa"/>
              <w:bottom w:w="0" w:type="dxa"/>
              <w:right w:w="70" w:type="dxa"/>
            </w:tcMar>
            <w:vAlign w:val="bottom"/>
            <w:hideMark/>
          </w:tcPr>
          <w:p w14:paraId="7774336D"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5.535</w:t>
            </w:r>
          </w:p>
        </w:tc>
        <w:tc>
          <w:tcPr>
            <w:tcW w:w="0" w:type="auto"/>
            <w:noWrap/>
            <w:tcMar>
              <w:top w:w="0" w:type="dxa"/>
              <w:left w:w="70" w:type="dxa"/>
              <w:bottom w:w="0" w:type="dxa"/>
              <w:right w:w="70" w:type="dxa"/>
            </w:tcMar>
            <w:vAlign w:val="bottom"/>
            <w:hideMark/>
          </w:tcPr>
          <w:p w14:paraId="3FE5E14C"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99,6%</w:t>
            </w:r>
          </w:p>
        </w:tc>
      </w:tr>
      <w:tr w:rsidR="00FC3526" w:rsidRPr="00DE4CD2" w14:paraId="3E67485D" w14:textId="77777777" w:rsidTr="002B1C23">
        <w:trPr>
          <w:trHeight w:val="60"/>
          <w:jc w:val="center"/>
        </w:trPr>
        <w:tc>
          <w:tcPr>
            <w:tcW w:w="0" w:type="auto"/>
            <w:noWrap/>
            <w:tcMar>
              <w:top w:w="0" w:type="dxa"/>
              <w:left w:w="70" w:type="dxa"/>
              <w:bottom w:w="0" w:type="dxa"/>
              <w:right w:w="70" w:type="dxa"/>
            </w:tcMar>
            <w:vAlign w:val="bottom"/>
            <w:hideMark/>
          </w:tcPr>
          <w:p w14:paraId="4BC8F424" w14:textId="77777777" w:rsidR="006A1757" w:rsidRPr="00DE4CD2" w:rsidRDefault="006A1757" w:rsidP="002B1C23">
            <w:pPr>
              <w:rPr>
                <w:rFonts w:asciiTheme="majorHAnsi" w:hAnsiTheme="majorHAnsi" w:cstheme="majorHAnsi"/>
                <w:sz w:val="18"/>
                <w:szCs w:val="18"/>
                <w:lang w:eastAsia="de-DE"/>
              </w:rPr>
            </w:pPr>
            <w:r w:rsidRPr="00DE4CD2">
              <w:rPr>
                <w:rFonts w:asciiTheme="majorHAnsi" w:hAnsiTheme="majorHAnsi" w:cstheme="majorHAnsi"/>
                <w:sz w:val="18"/>
                <w:szCs w:val="18"/>
                <w:lang w:eastAsia="de-DE"/>
              </w:rPr>
              <w:t>LV</w:t>
            </w:r>
          </w:p>
        </w:tc>
        <w:tc>
          <w:tcPr>
            <w:tcW w:w="0" w:type="auto"/>
            <w:noWrap/>
            <w:tcMar>
              <w:top w:w="0" w:type="dxa"/>
              <w:left w:w="70" w:type="dxa"/>
              <w:bottom w:w="0" w:type="dxa"/>
              <w:right w:w="70" w:type="dxa"/>
            </w:tcMar>
            <w:vAlign w:val="bottom"/>
            <w:hideMark/>
          </w:tcPr>
          <w:p w14:paraId="774AE9CF"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1.255</w:t>
            </w:r>
          </w:p>
        </w:tc>
        <w:tc>
          <w:tcPr>
            <w:tcW w:w="0" w:type="auto"/>
            <w:noWrap/>
            <w:tcMar>
              <w:top w:w="0" w:type="dxa"/>
              <w:left w:w="70" w:type="dxa"/>
              <w:bottom w:w="0" w:type="dxa"/>
              <w:right w:w="70" w:type="dxa"/>
            </w:tcMar>
            <w:vAlign w:val="bottom"/>
            <w:hideMark/>
          </w:tcPr>
          <w:p w14:paraId="0FF89726"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1.227</w:t>
            </w:r>
          </w:p>
        </w:tc>
        <w:tc>
          <w:tcPr>
            <w:tcW w:w="0" w:type="auto"/>
            <w:noWrap/>
            <w:tcMar>
              <w:top w:w="0" w:type="dxa"/>
              <w:left w:w="70" w:type="dxa"/>
              <w:bottom w:w="0" w:type="dxa"/>
              <w:right w:w="70" w:type="dxa"/>
            </w:tcMar>
            <w:vAlign w:val="bottom"/>
            <w:hideMark/>
          </w:tcPr>
          <w:p w14:paraId="4ECB447A"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97,8%</w:t>
            </w:r>
          </w:p>
        </w:tc>
        <w:tc>
          <w:tcPr>
            <w:tcW w:w="0" w:type="auto"/>
            <w:noWrap/>
            <w:tcMar>
              <w:top w:w="0" w:type="dxa"/>
              <w:left w:w="70" w:type="dxa"/>
              <w:bottom w:w="0" w:type="dxa"/>
              <w:right w:w="70" w:type="dxa"/>
            </w:tcMar>
            <w:vAlign w:val="bottom"/>
            <w:hideMark/>
          </w:tcPr>
          <w:p w14:paraId="670ED495"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1.210</w:t>
            </w:r>
          </w:p>
        </w:tc>
        <w:tc>
          <w:tcPr>
            <w:tcW w:w="0" w:type="auto"/>
            <w:noWrap/>
            <w:tcMar>
              <w:top w:w="0" w:type="dxa"/>
              <w:left w:w="70" w:type="dxa"/>
              <w:bottom w:w="0" w:type="dxa"/>
              <w:right w:w="70" w:type="dxa"/>
            </w:tcMar>
            <w:vAlign w:val="bottom"/>
            <w:hideMark/>
          </w:tcPr>
          <w:p w14:paraId="3EFE5748"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96,4%</w:t>
            </w:r>
          </w:p>
        </w:tc>
      </w:tr>
      <w:tr w:rsidR="00FC3526" w:rsidRPr="00DE4CD2" w14:paraId="520078B6" w14:textId="77777777" w:rsidTr="002B1C23">
        <w:trPr>
          <w:trHeight w:val="60"/>
          <w:jc w:val="center"/>
        </w:trPr>
        <w:tc>
          <w:tcPr>
            <w:tcW w:w="0" w:type="auto"/>
            <w:noWrap/>
            <w:tcMar>
              <w:top w:w="0" w:type="dxa"/>
              <w:left w:w="70" w:type="dxa"/>
              <w:bottom w:w="0" w:type="dxa"/>
              <w:right w:w="70" w:type="dxa"/>
            </w:tcMar>
            <w:vAlign w:val="bottom"/>
            <w:hideMark/>
          </w:tcPr>
          <w:p w14:paraId="1B4FDE25" w14:textId="77777777" w:rsidR="006A1757" w:rsidRPr="00DE4CD2" w:rsidRDefault="006A1757" w:rsidP="002B1C23">
            <w:pPr>
              <w:rPr>
                <w:rFonts w:asciiTheme="majorHAnsi" w:hAnsiTheme="majorHAnsi" w:cstheme="majorHAnsi"/>
                <w:sz w:val="18"/>
                <w:szCs w:val="18"/>
                <w:lang w:eastAsia="de-DE"/>
              </w:rPr>
            </w:pPr>
            <w:r w:rsidRPr="00DE4CD2">
              <w:rPr>
                <w:rFonts w:asciiTheme="majorHAnsi" w:hAnsiTheme="majorHAnsi" w:cstheme="majorHAnsi"/>
                <w:sz w:val="18"/>
                <w:szCs w:val="18"/>
                <w:lang w:eastAsia="de-DE"/>
              </w:rPr>
              <w:t>MT</w:t>
            </w:r>
          </w:p>
        </w:tc>
        <w:tc>
          <w:tcPr>
            <w:tcW w:w="0" w:type="auto"/>
            <w:noWrap/>
            <w:tcMar>
              <w:top w:w="0" w:type="dxa"/>
              <w:left w:w="70" w:type="dxa"/>
              <w:bottom w:w="0" w:type="dxa"/>
              <w:right w:w="70" w:type="dxa"/>
            </w:tcMar>
            <w:vAlign w:val="bottom"/>
            <w:hideMark/>
          </w:tcPr>
          <w:p w14:paraId="6209FA6B"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1.941</w:t>
            </w:r>
          </w:p>
        </w:tc>
        <w:tc>
          <w:tcPr>
            <w:tcW w:w="0" w:type="auto"/>
            <w:noWrap/>
            <w:tcMar>
              <w:top w:w="0" w:type="dxa"/>
              <w:left w:w="70" w:type="dxa"/>
              <w:bottom w:w="0" w:type="dxa"/>
              <w:right w:w="70" w:type="dxa"/>
            </w:tcMar>
            <w:vAlign w:val="bottom"/>
            <w:hideMark/>
          </w:tcPr>
          <w:p w14:paraId="33D8D7ED"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1.868</w:t>
            </w:r>
          </w:p>
        </w:tc>
        <w:tc>
          <w:tcPr>
            <w:tcW w:w="0" w:type="auto"/>
            <w:noWrap/>
            <w:tcMar>
              <w:top w:w="0" w:type="dxa"/>
              <w:left w:w="70" w:type="dxa"/>
              <w:bottom w:w="0" w:type="dxa"/>
              <w:right w:w="70" w:type="dxa"/>
            </w:tcMar>
            <w:vAlign w:val="bottom"/>
            <w:hideMark/>
          </w:tcPr>
          <w:p w14:paraId="20E07F02"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96,2%</w:t>
            </w:r>
          </w:p>
        </w:tc>
        <w:tc>
          <w:tcPr>
            <w:tcW w:w="0" w:type="auto"/>
            <w:noWrap/>
            <w:tcMar>
              <w:top w:w="0" w:type="dxa"/>
              <w:left w:w="70" w:type="dxa"/>
              <w:bottom w:w="0" w:type="dxa"/>
              <w:right w:w="70" w:type="dxa"/>
            </w:tcMar>
            <w:vAlign w:val="bottom"/>
            <w:hideMark/>
          </w:tcPr>
          <w:p w14:paraId="5F753662"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1.492</w:t>
            </w:r>
          </w:p>
        </w:tc>
        <w:tc>
          <w:tcPr>
            <w:tcW w:w="0" w:type="auto"/>
            <w:noWrap/>
            <w:tcMar>
              <w:top w:w="0" w:type="dxa"/>
              <w:left w:w="70" w:type="dxa"/>
              <w:bottom w:w="0" w:type="dxa"/>
              <w:right w:w="70" w:type="dxa"/>
            </w:tcMar>
            <w:vAlign w:val="bottom"/>
            <w:hideMark/>
          </w:tcPr>
          <w:p w14:paraId="2EB43275"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76,9%</w:t>
            </w:r>
          </w:p>
        </w:tc>
      </w:tr>
      <w:tr w:rsidR="00FC3526" w:rsidRPr="00DE4CD2" w14:paraId="37E39603" w14:textId="77777777" w:rsidTr="002B1C23">
        <w:trPr>
          <w:trHeight w:val="60"/>
          <w:jc w:val="center"/>
        </w:trPr>
        <w:tc>
          <w:tcPr>
            <w:tcW w:w="0" w:type="auto"/>
            <w:noWrap/>
            <w:tcMar>
              <w:top w:w="0" w:type="dxa"/>
              <w:left w:w="70" w:type="dxa"/>
              <w:bottom w:w="0" w:type="dxa"/>
              <w:right w:w="70" w:type="dxa"/>
            </w:tcMar>
            <w:vAlign w:val="bottom"/>
            <w:hideMark/>
          </w:tcPr>
          <w:p w14:paraId="7723BF85" w14:textId="77777777" w:rsidR="006A1757" w:rsidRPr="00DE4CD2" w:rsidRDefault="006A1757" w:rsidP="002B1C23">
            <w:pPr>
              <w:rPr>
                <w:rFonts w:asciiTheme="majorHAnsi" w:hAnsiTheme="majorHAnsi" w:cstheme="majorHAnsi"/>
                <w:sz w:val="18"/>
                <w:szCs w:val="18"/>
                <w:lang w:eastAsia="de-DE"/>
              </w:rPr>
            </w:pPr>
            <w:r w:rsidRPr="00DE4CD2">
              <w:rPr>
                <w:rFonts w:asciiTheme="majorHAnsi" w:hAnsiTheme="majorHAnsi" w:cstheme="majorHAnsi"/>
                <w:sz w:val="18"/>
                <w:szCs w:val="18"/>
                <w:lang w:eastAsia="de-DE"/>
              </w:rPr>
              <w:t>NL</w:t>
            </w:r>
          </w:p>
        </w:tc>
        <w:tc>
          <w:tcPr>
            <w:tcW w:w="0" w:type="auto"/>
            <w:noWrap/>
            <w:tcMar>
              <w:top w:w="0" w:type="dxa"/>
              <w:left w:w="70" w:type="dxa"/>
              <w:bottom w:w="0" w:type="dxa"/>
              <w:right w:w="70" w:type="dxa"/>
            </w:tcMar>
            <w:vAlign w:val="bottom"/>
            <w:hideMark/>
          </w:tcPr>
          <w:p w14:paraId="3177569D"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30.828</w:t>
            </w:r>
          </w:p>
        </w:tc>
        <w:tc>
          <w:tcPr>
            <w:tcW w:w="0" w:type="auto"/>
            <w:noWrap/>
            <w:tcMar>
              <w:top w:w="0" w:type="dxa"/>
              <w:left w:w="70" w:type="dxa"/>
              <w:bottom w:w="0" w:type="dxa"/>
              <w:right w:w="70" w:type="dxa"/>
            </w:tcMar>
            <w:vAlign w:val="bottom"/>
            <w:hideMark/>
          </w:tcPr>
          <w:p w14:paraId="4A42A445"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30.588</w:t>
            </w:r>
          </w:p>
        </w:tc>
        <w:tc>
          <w:tcPr>
            <w:tcW w:w="0" w:type="auto"/>
            <w:noWrap/>
            <w:tcMar>
              <w:top w:w="0" w:type="dxa"/>
              <w:left w:w="70" w:type="dxa"/>
              <w:bottom w:w="0" w:type="dxa"/>
              <w:right w:w="70" w:type="dxa"/>
            </w:tcMar>
            <w:vAlign w:val="bottom"/>
            <w:hideMark/>
          </w:tcPr>
          <w:p w14:paraId="79A4BFBB"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99,2%</w:t>
            </w:r>
          </w:p>
        </w:tc>
        <w:tc>
          <w:tcPr>
            <w:tcW w:w="0" w:type="auto"/>
            <w:noWrap/>
            <w:tcMar>
              <w:top w:w="0" w:type="dxa"/>
              <w:left w:w="70" w:type="dxa"/>
              <w:bottom w:w="0" w:type="dxa"/>
              <w:right w:w="70" w:type="dxa"/>
            </w:tcMar>
            <w:vAlign w:val="bottom"/>
            <w:hideMark/>
          </w:tcPr>
          <w:p w14:paraId="405C72E0"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29.353</w:t>
            </w:r>
          </w:p>
        </w:tc>
        <w:tc>
          <w:tcPr>
            <w:tcW w:w="0" w:type="auto"/>
            <w:noWrap/>
            <w:tcMar>
              <w:top w:w="0" w:type="dxa"/>
              <w:left w:w="70" w:type="dxa"/>
              <w:bottom w:w="0" w:type="dxa"/>
              <w:right w:w="70" w:type="dxa"/>
            </w:tcMar>
            <w:vAlign w:val="bottom"/>
            <w:hideMark/>
          </w:tcPr>
          <w:p w14:paraId="35AFE4A6"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95,2%</w:t>
            </w:r>
          </w:p>
        </w:tc>
      </w:tr>
      <w:tr w:rsidR="00FC3526" w:rsidRPr="00DE4CD2" w14:paraId="71662E84" w14:textId="77777777" w:rsidTr="002B1C23">
        <w:trPr>
          <w:trHeight w:val="60"/>
          <w:jc w:val="center"/>
        </w:trPr>
        <w:tc>
          <w:tcPr>
            <w:tcW w:w="0" w:type="auto"/>
            <w:noWrap/>
            <w:tcMar>
              <w:top w:w="0" w:type="dxa"/>
              <w:left w:w="70" w:type="dxa"/>
              <w:bottom w:w="0" w:type="dxa"/>
              <w:right w:w="70" w:type="dxa"/>
            </w:tcMar>
            <w:vAlign w:val="bottom"/>
            <w:hideMark/>
          </w:tcPr>
          <w:p w14:paraId="30FEC589" w14:textId="77777777" w:rsidR="006A1757" w:rsidRPr="00DE4CD2" w:rsidRDefault="006A1757" w:rsidP="002B1C23">
            <w:pPr>
              <w:rPr>
                <w:rFonts w:asciiTheme="majorHAnsi" w:hAnsiTheme="majorHAnsi" w:cstheme="majorHAnsi"/>
                <w:sz w:val="18"/>
                <w:szCs w:val="18"/>
                <w:lang w:eastAsia="de-DE"/>
              </w:rPr>
            </w:pPr>
            <w:r w:rsidRPr="00DE4CD2">
              <w:rPr>
                <w:rFonts w:asciiTheme="majorHAnsi" w:hAnsiTheme="majorHAnsi" w:cstheme="majorHAnsi"/>
                <w:sz w:val="18"/>
                <w:szCs w:val="18"/>
                <w:lang w:eastAsia="de-DE"/>
              </w:rPr>
              <w:t>NO</w:t>
            </w:r>
          </w:p>
        </w:tc>
        <w:tc>
          <w:tcPr>
            <w:tcW w:w="0" w:type="auto"/>
            <w:noWrap/>
            <w:tcMar>
              <w:top w:w="0" w:type="dxa"/>
              <w:left w:w="70" w:type="dxa"/>
              <w:bottom w:w="0" w:type="dxa"/>
              <w:right w:w="70" w:type="dxa"/>
            </w:tcMar>
            <w:vAlign w:val="bottom"/>
            <w:hideMark/>
          </w:tcPr>
          <w:p w14:paraId="38ECE772"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2.829</w:t>
            </w:r>
          </w:p>
        </w:tc>
        <w:tc>
          <w:tcPr>
            <w:tcW w:w="0" w:type="auto"/>
            <w:noWrap/>
            <w:tcMar>
              <w:top w:w="0" w:type="dxa"/>
              <w:left w:w="70" w:type="dxa"/>
              <w:bottom w:w="0" w:type="dxa"/>
              <w:right w:w="70" w:type="dxa"/>
            </w:tcMar>
            <w:vAlign w:val="bottom"/>
            <w:hideMark/>
          </w:tcPr>
          <w:p w14:paraId="7377CF9C"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2.772</w:t>
            </w:r>
          </w:p>
        </w:tc>
        <w:tc>
          <w:tcPr>
            <w:tcW w:w="0" w:type="auto"/>
            <w:noWrap/>
            <w:tcMar>
              <w:top w:w="0" w:type="dxa"/>
              <w:left w:w="70" w:type="dxa"/>
              <w:bottom w:w="0" w:type="dxa"/>
              <w:right w:w="70" w:type="dxa"/>
            </w:tcMar>
            <w:vAlign w:val="bottom"/>
            <w:hideMark/>
          </w:tcPr>
          <w:p w14:paraId="566493A6"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98,0%</w:t>
            </w:r>
          </w:p>
        </w:tc>
        <w:tc>
          <w:tcPr>
            <w:tcW w:w="0" w:type="auto"/>
            <w:noWrap/>
            <w:tcMar>
              <w:top w:w="0" w:type="dxa"/>
              <w:left w:w="70" w:type="dxa"/>
              <w:bottom w:w="0" w:type="dxa"/>
              <w:right w:w="70" w:type="dxa"/>
            </w:tcMar>
            <w:vAlign w:val="bottom"/>
            <w:hideMark/>
          </w:tcPr>
          <w:p w14:paraId="6B812A6F"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2.644</w:t>
            </w:r>
          </w:p>
        </w:tc>
        <w:tc>
          <w:tcPr>
            <w:tcW w:w="0" w:type="auto"/>
            <w:noWrap/>
            <w:tcMar>
              <w:top w:w="0" w:type="dxa"/>
              <w:left w:w="70" w:type="dxa"/>
              <w:bottom w:w="0" w:type="dxa"/>
              <w:right w:w="70" w:type="dxa"/>
            </w:tcMar>
            <w:vAlign w:val="bottom"/>
            <w:hideMark/>
          </w:tcPr>
          <w:p w14:paraId="5545CA13"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93,5%</w:t>
            </w:r>
          </w:p>
        </w:tc>
      </w:tr>
      <w:tr w:rsidR="00FC3526" w:rsidRPr="00DE4CD2" w14:paraId="69343DB8" w14:textId="77777777" w:rsidTr="002B1C23">
        <w:trPr>
          <w:trHeight w:val="60"/>
          <w:jc w:val="center"/>
        </w:trPr>
        <w:tc>
          <w:tcPr>
            <w:tcW w:w="0" w:type="auto"/>
            <w:noWrap/>
            <w:tcMar>
              <w:top w:w="0" w:type="dxa"/>
              <w:left w:w="70" w:type="dxa"/>
              <w:bottom w:w="0" w:type="dxa"/>
              <w:right w:w="70" w:type="dxa"/>
            </w:tcMar>
            <w:vAlign w:val="bottom"/>
            <w:hideMark/>
          </w:tcPr>
          <w:p w14:paraId="78136234" w14:textId="77777777" w:rsidR="006A1757" w:rsidRPr="00DE4CD2" w:rsidRDefault="006A1757" w:rsidP="002B1C23">
            <w:pPr>
              <w:rPr>
                <w:rFonts w:asciiTheme="majorHAnsi" w:hAnsiTheme="majorHAnsi" w:cstheme="majorHAnsi"/>
                <w:sz w:val="18"/>
                <w:szCs w:val="18"/>
                <w:lang w:eastAsia="de-DE"/>
              </w:rPr>
            </w:pPr>
            <w:r w:rsidRPr="00DE4CD2">
              <w:rPr>
                <w:rFonts w:asciiTheme="majorHAnsi" w:hAnsiTheme="majorHAnsi" w:cstheme="majorHAnsi"/>
                <w:sz w:val="18"/>
                <w:szCs w:val="18"/>
                <w:lang w:eastAsia="de-DE"/>
              </w:rPr>
              <w:t>PL</w:t>
            </w:r>
          </w:p>
        </w:tc>
        <w:tc>
          <w:tcPr>
            <w:tcW w:w="0" w:type="auto"/>
            <w:noWrap/>
            <w:tcMar>
              <w:top w:w="0" w:type="dxa"/>
              <w:left w:w="70" w:type="dxa"/>
              <w:bottom w:w="0" w:type="dxa"/>
              <w:right w:w="70" w:type="dxa"/>
            </w:tcMar>
            <w:vAlign w:val="bottom"/>
            <w:hideMark/>
          </w:tcPr>
          <w:p w14:paraId="1AAB6698"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16.116</w:t>
            </w:r>
          </w:p>
        </w:tc>
        <w:tc>
          <w:tcPr>
            <w:tcW w:w="0" w:type="auto"/>
            <w:noWrap/>
            <w:tcMar>
              <w:top w:w="0" w:type="dxa"/>
              <w:left w:w="70" w:type="dxa"/>
              <w:bottom w:w="0" w:type="dxa"/>
              <w:right w:w="70" w:type="dxa"/>
            </w:tcMar>
            <w:vAlign w:val="bottom"/>
            <w:hideMark/>
          </w:tcPr>
          <w:p w14:paraId="3C8B98E1"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15.745</w:t>
            </w:r>
          </w:p>
        </w:tc>
        <w:tc>
          <w:tcPr>
            <w:tcW w:w="0" w:type="auto"/>
            <w:noWrap/>
            <w:tcMar>
              <w:top w:w="0" w:type="dxa"/>
              <w:left w:w="70" w:type="dxa"/>
              <w:bottom w:w="0" w:type="dxa"/>
              <w:right w:w="70" w:type="dxa"/>
            </w:tcMar>
            <w:vAlign w:val="bottom"/>
            <w:hideMark/>
          </w:tcPr>
          <w:p w14:paraId="5274CA67"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97,7%</w:t>
            </w:r>
          </w:p>
        </w:tc>
        <w:tc>
          <w:tcPr>
            <w:tcW w:w="0" w:type="auto"/>
            <w:noWrap/>
            <w:tcMar>
              <w:top w:w="0" w:type="dxa"/>
              <w:left w:w="70" w:type="dxa"/>
              <w:bottom w:w="0" w:type="dxa"/>
              <w:right w:w="70" w:type="dxa"/>
            </w:tcMar>
            <w:vAlign w:val="bottom"/>
            <w:hideMark/>
          </w:tcPr>
          <w:p w14:paraId="6585A303"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15.692</w:t>
            </w:r>
          </w:p>
        </w:tc>
        <w:tc>
          <w:tcPr>
            <w:tcW w:w="0" w:type="auto"/>
            <w:noWrap/>
            <w:tcMar>
              <w:top w:w="0" w:type="dxa"/>
              <w:left w:w="70" w:type="dxa"/>
              <w:bottom w:w="0" w:type="dxa"/>
              <w:right w:w="70" w:type="dxa"/>
            </w:tcMar>
            <w:vAlign w:val="bottom"/>
            <w:hideMark/>
          </w:tcPr>
          <w:p w14:paraId="52CBA2E0"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97,4%</w:t>
            </w:r>
          </w:p>
        </w:tc>
      </w:tr>
      <w:tr w:rsidR="00FC3526" w:rsidRPr="00DE4CD2" w14:paraId="34F6479C" w14:textId="77777777" w:rsidTr="002B1C23">
        <w:trPr>
          <w:trHeight w:val="60"/>
          <w:jc w:val="center"/>
        </w:trPr>
        <w:tc>
          <w:tcPr>
            <w:tcW w:w="0" w:type="auto"/>
            <w:noWrap/>
            <w:tcMar>
              <w:top w:w="0" w:type="dxa"/>
              <w:left w:w="70" w:type="dxa"/>
              <w:bottom w:w="0" w:type="dxa"/>
              <w:right w:w="70" w:type="dxa"/>
            </w:tcMar>
            <w:vAlign w:val="bottom"/>
            <w:hideMark/>
          </w:tcPr>
          <w:p w14:paraId="1430AD97" w14:textId="77777777" w:rsidR="006A1757" w:rsidRPr="00DE4CD2" w:rsidRDefault="006A1757" w:rsidP="002B1C23">
            <w:pPr>
              <w:rPr>
                <w:rFonts w:asciiTheme="majorHAnsi" w:hAnsiTheme="majorHAnsi" w:cstheme="majorHAnsi"/>
                <w:sz w:val="18"/>
                <w:szCs w:val="18"/>
                <w:lang w:eastAsia="de-DE"/>
              </w:rPr>
            </w:pPr>
            <w:r w:rsidRPr="00DE4CD2">
              <w:rPr>
                <w:rFonts w:asciiTheme="majorHAnsi" w:hAnsiTheme="majorHAnsi" w:cstheme="majorHAnsi"/>
                <w:sz w:val="18"/>
                <w:szCs w:val="18"/>
                <w:lang w:eastAsia="de-DE"/>
              </w:rPr>
              <w:t>PT</w:t>
            </w:r>
          </w:p>
        </w:tc>
        <w:tc>
          <w:tcPr>
            <w:tcW w:w="0" w:type="auto"/>
            <w:noWrap/>
            <w:tcMar>
              <w:top w:w="0" w:type="dxa"/>
              <w:left w:w="70" w:type="dxa"/>
              <w:bottom w:w="0" w:type="dxa"/>
              <w:right w:w="70" w:type="dxa"/>
            </w:tcMar>
            <w:vAlign w:val="bottom"/>
            <w:hideMark/>
          </w:tcPr>
          <w:p w14:paraId="2A8022FE"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11.697</w:t>
            </w:r>
          </w:p>
        </w:tc>
        <w:tc>
          <w:tcPr>
            <w:tcW w:w="0" w:type="auto"/>
            <w:noWrap/>
            <w:tcMar>
              <w:top w:w="0" w:type="dxa"/>
              <w:left w:w="70" w:type="dxa"/>
              <w:bottom w:w="0" w:type="dxa"/>
              <w:right w:w="70" w:type="dxa"/>
            </w:tcMar>
            <w:vAlign w:val="bottom"/>
            <w:hideMark/>
          </w:tcPr>
          <w:p w14:paraId="10CB3967"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11.289</w:t>
            </w:r>
          </w:p>
        </w:tc>
        <w:tc>
          <w:tcPr>
            <w:tcW w:w="0" w:type="auto"/>
            <w:noWrap/>
            <w:tcMar>
              <w:top w:w="0" w:type="dxa"/>
              <w:left w:w="70" w:type="dxa"/>
              <w:bottom w:w="0" w:type="dxa"/>
              <w:right w:w="70" w:type="dxa"/>
            </w:tcMar>
            <w:vAlign w:val="bottom"/>
            <w:hideMark/>
          </w:tcPr>
          <w:p w14:paraId="5F65D0B3"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96,5%</w:t>
            </w:r>
          </w:p>
        </w:tc>
        <w:tc>
          <w:tcPr>
            <w:tcW w:w="0" w:type="auto"/>
            <w:noWrap/>
            <w:tcMar>
              <w:top w:w="0" w:type="dxa"/>
              <w:left w:w="70" w:type="dxa"/>
              <w:bottom w:w="0" w:type="dxa"/>
              <w:right w:w="70" w:type="dxa"/>
            </w:tcMar>
            <w:vAlign w:val="bottom"/>
            <w:hideMark/>
          </w:tcPr>
          <w:p w14:paraId="60044A47"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10.658</w:t>
            </w:r>
          </w:p>
        </w:tc>
        <w:tc>
          <w:tcPr>
            <w:tcW w:w="0" w:type="auto"/>
            <w:noWrap/>
            <w:tcMar>
              <w:top w:w="0" w:type="dxa"/>
              <w:left w:w="70" w:type="dxa"/>
              <w:bottom w:w="0" w:type="dxa"/>
              <w:right w:w="70" w:type="dxa"/>
            </w:tcMar>
            <w:vAlign w:val="bottom"/>
            <w:hideMark/>
          </w:tcPr>
          <w:p w14:paraId="1FA26B2C"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91,1%</w:t>
            </w:r>
          </w:p>
        </w:tc>
      </w:tr>
      <w:tr w:rsidR="00FC3526" w:rsidRPr="00DE4CD2" w14:paraId="590DD62D" w14:textId="77777777" w:rsidTr="002B1C23">
        <w:trPr>
          <w:trHeight w:val="60"/>
          <w:jc w:val="center"/>
        </w:trPr>
        <w:tc>
          <w:tcPr>
            <w:tcW w:w="0" w:type="auto"/>
            <w:noWrap/>
            <w:tcMar>
              <w:top w:w="0" w:type="dxa"/>
              <w:left w:w="70" w:type="dxa"/>
              <w:bottom w:w="0" w:type="dxa"/>
              <w:right w:w="70" w:type="dxa"/>
            </w:tcMar>
            <w:vAlign w:val="bottom"/>
            <w:hideMark/>
          </w:tcPr>
          <w:p w14:paraId="6725F03B" w14:textId="77777777" w:rsidR="006A1757" w:rsidRPr="00DE4CD2" w:rsidRDefault="006A1757" w:rsidP="002B1C23">
            <w:pPr>
              <w:rPr>
                <w:rFonts w:asciiTheme="majorHAnsi" w:hAnsiTheme="majorHAnsi" w:cstheme="majorHAnsi"/>
                <w:sz w:val="18"/>
                <w:szCs w:val="18"/>
                <w:lang w:eastAsia="de-DE"/>
              </w:rPr>
            </w:pPr>
            <w:r w:rsidRPr="00DE4CD2">
              <w:rPr>
                <w:rFonts w:asciiTheme="majorHAnsi" w:hAnsiTheme="majorHAnsi" w:cstheme="majorHAnsi"/>
                <w:sz w:val="18"/>
                <w:szCs w:val="18"/>
                <w:lang w:eastAsia="de-DE"/>
              </w:rPr>
              <w:t>RO</w:t>
            </w:r>
          </w:p>
        </w:tc>
        <w:tc>
          <w:tcPr>
            <w:tcW w:w="0" w:type="auto"/>
            <w:noWrap/>
            <w:tcMar>
              <w:top w:w="0" w:type="dxa"/>
              <w:left w:w="70" w:type="dxa"/>
              <w:bottom w:w="0" w:type="dxa"/>
              <w:right w:w="70" w:type="dxa"/>
            </w:tcMar>
            <w:vAlign w:val="bottom"/>
            <w:hideMark/>
          </w:tcPr>
          <w:p w14:paraId="357DE8FE"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4.204</w:t>
            </w:r>
          </w:p>
        </w:tc>
        <w:tc>
          <w:tcPr>
            <w:tcW w:w="0" w:type="auto"/>
            <w:noWrap/>
            <w:tcMar>
              <w:top w:w="0" w:type="dxa"/>
              <w:left w:w="70" w:type="dxa"/>
              <w:bottom w:w="0" w:type="dxa"/>
              <w:right w:w="70" w:type="dxa"/>
            </w:tcMar>
            <w:vAlign w:val="bottom"/>
            <w:hideMark/>
          </w:tcPr>
          <w:p w14:paraId="3A601EC8"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3.834</w:t>
            </w:r>
          </w:p>
        </w:tc>
        <w:tc>
          <w:tcPr>
            <w:tcW w:w="0" w:type="auto"/>
            <w:noWrap/>
            <w:tcMar>
              <w:top w:w="0" w:type="dxa"/>
              <w:left w:w="70" w:type="dxa"/>
              <w:bottom w:w="0" w:type="dxa"/>
              <w:right w:w="70" w:type="dxa"/>
            </w:tcMar>
            <w:vAlign w:val="bottom"/>
            <w:hideMark/>
          </w:tcPr>
          <w:p w14:paraId="1489B593"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91,2%</w:t>
            </w:r>
          </w:p>
        </w:tc>
        <w:tc>
          <w:tcPr>
            <w:tcW w:w="0" w:type="auto"/>
            <w:noWrap/>
            <w:tcMar>
              <w:top w:w="0" w:type="dxa"/>
              <w:left w:w="70" w:type="dxa"/>
              <w:bottom w:w="0" w:type="dxa"/>
              <w:right w:w="70" w:type="dxa"/>
            </w:tcMar>
            <w:vAlign w:val="bottom"/>
            <w:hideMark/>
          </w:tcPr>
          <w:p w14:paraId="020796DB"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3.762</w:t>
            </w:r>
          </w:p>
        </w:tc>
        <w:tc>
          <w:tcPr>
            <w:tcW w:w="0" w:type="auto"/>
            <w:noWrap/>
            <w:tcMar>
              <w:top w:w="0" w:type="dxa"/>
              <w:left w:w="70" w:type="dxa"/>
              <w:bottom w:w="0" w:type="dxa"/>
              <w:right w:w="70" w:type="dxa"/>
            </w:tcMar>
            <w:vAlign w:val="bottom"/>
            <w:hideMark/>
          </w:tcPr>
          <w:p w14:paraId="783309DA"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89,5%</w:t>
            </w:r>
          </w:p>
        </w:tc>
      </w:tr>
      <w:tr w:rsidR="00FC3526" w:rsidRPr="00DE4CD2" w14:paraId="6D3C925A" w14:textId="77777777" w:rsidTr="002B1C23">
        <w:trPr>
          <w:trHeight w:val="60"/>
          <w:jc w:val="center"/>
        </w:trPr>
        <w:tc>
          <w:tcPr>
            <w:tcW w:w="0" w:type="auto"/>
            <w:noWrap/>
            <w:tcMar>
              <w:top w:w="0" w:type="dxa"/>
              <w:left w:w="70" w:type="dxa"/>
              <w:bottom w:w="0" w:type="dxa"/>
              <w:right w:w="70" w:type="dxa"/>
            </w:tcMar>
            <w:vAlign w:val="bottom"/>
            <w:hideMark/>
          </w:tcPr>
          <w:p w14:paraId="02DE4EFF" w14:textId="77777777" w:rsidR="006A1757" w:rsidRPr="00DE4CD2" w:rsidRDefault="006A1757" w:rsidP="002B1C23">
            <w:pPr>
              <w:rPr>
                <w:rFonts w:asciiTheme="majorHAnsi" w:hAnsiTheme="majorHAnsi" w:cstheme="majorHAnsi"/>
                <w:sz w:val="18"/>
                <w:szCs w:val="18"/>
                <w:lang w:eastAsia="de-DE"/>
              </w:rPr>
            </w:pPr>
            <w:r w:rsidRPr="00DE4CD2">
              <w:rPr>
                <w:rFonts w:asciiTheme="majorHAnsi" w:hAnsiTheme="majorHAnsi" w:cstheme="majorHAnsi"/>
                <w:sz w:val="18"/>
                <w:szCs w:val="18"/>
                <w:lang w:eastAsia="de-DE"/>
              </w:rPr>
              <w:t>SE</w:t>
            </w:r>
          </w:p>
        </w:tc>
        <w:tc>
          <w:tcPr>
            <w:tcW w:w="0" w:type="auto"/>
            <w:noWrap/>
            <w:tcMar>
              <w:top w:w="0" w:type="dxa"/>
              <w:left w:w="70" w:type="dxa"/>
              <w:bottom w:w="0" w:type="dxa"/>
              <w:right w:w="70" w:type="dxa"/>
            </w:tcMar>
            <w:vAlign w:val="bottom"/>
            <w:hideMark/>
          </w:tcPr>
          <w:p w14:paraId="25894D87"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19.839</w:t>
            </w:r>
          </w:p>
        </w:tc>
        <w:tc>
          <w:tcPr>
            <w:tcW w:w="0" w:type="auto"/>
            <w:noWrap/>
            <w:tcMar>
              <w:top w:w="0" w:type="dxa"/>
              <w:left w:w="70" w:type="dxa"/>
              <w:bottom w:w="0" w:type="dxa"/>
              <w:right w:w="70" w:type="dxa"/>
            </w:tcMar>
            <w:vAlign w:val="bottom"/>
            <w:hideMark/>
          </w:tcPr>
          <w:p w14:paraId="1F6FF310"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19.566</w:t>
            </w:r>
          </w:p>
        </w:tc>
        <w:tc>
          <w:tcPr>
            <w:tcW w:w="0" w:type="auto"/>
            <w:noWrap/>
            <w:tcMar>
              <w:top w:w="0" w:type="dxa"/>
              <w:left w:w="70" w:type="dxa"/>
              <w:bottom w:w="0" w:type="dxa"/>
              <w:right w:w="70" w:type="dxa"/>
            </w:tcMar>
            <w:vAlign w:val="bottom"/>
            <w:hideMark/>
          </w:tcPr>
          <w:p w14:paraId="24CC6E14"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98,6%</w:t>
            </w:r>
          </w:p>
        </w:tc>
        <w:tc>
          <w:tcPr>
            <w:tcW w:w="0" w:type="auto"/>
            <w:noWrap/>
            <w:tcMar>
              <w:top w:w="0" w:type="dxa"/>
              <w:left w:w="70" w:type="dxa"/>
              <w:bottom w:w="0" w:type="dxa"/>
              <w:right w:w="70" w:type="dxa"/>
            </w:tcMar>
            <w:vAlign w:val="bottom"/>
            <w:hideMark/>
          </w:tcPr>
          <w:p w14:paraId="51A7B0C2"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19.342</w:t>
            </w:r>
          </w:p>
        </w:tc>
        <w:tc>
          <w:tcPr>
            <w:tcW w:w="0" w:type="auto"/>
            <w:noWrap/>
            <w:tcMar>
              <w:top w:w="0" w:type="dxa"/>
              <w:left w:w="70" w:type="dxa"/>
              <w:bottom w:w="0" w:type="dxa"/>
              <w:right w:w="70" w:type="dxa"/>
            </w:tcMar>
            <w:vAlign w:val="bottom"/>
            <w:hideMark/>
          </w:tcPr>
          <w:p w14:paraId="2934E4DC"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97,5%</w:t>
            </w:r>
          </w:p>
        </w:tc>
      </w:tr>
      <w:tr w:rsidR="00FC3526" w:rsidRPr="00DE4CD2" w14:paraId="7B1B434C" w14:textId="77777777" w:rsidTr="002B1C23">
        <w:trPr>
          <w:trHeight w:val="60"/>
          <w:jc w:val="center"/>
        </w:trPr>
        <w:tc>
          <w:tcPr>
            <w:tcW w:w="0" w:type="auto"/>
            <w:noWrap/>
            <w:tcMar>
              <w:top w:w="0" w:type="dxa"/>
              <w:left w:w="70" w:type="dxa"/>
              <w:bottom w:w="0" w:type="dxa"/>
              <w:right w:w="70" w:type="dxa"/>
            </w:tcMar>
            <w:vAlign w:val="bottom"/>
            <w:hideMark/>
          </w:tcPr>
          <w:p w14:paraId="47C77D02" w14:textId="77777777" w:rsidR="006A1757" w:rsidRPr="00DE4CD2" w:rsidRDefault="006A1757" w:rsidP="002B1C23">
            <w:pPr>
              <w:rPr>
                <w:rFonts w:asciiTheme="majorHAnsi" w:hAnsiTheme="majorHAnsi" w:cstheme="majorHAnsi"/>
                <w:sz w:val="18"/>
                <w:szCs w:val="18"/>
                <w:lang w:eastAsia="de-DE"/>
              </w:rPr>
            </w:pPr>
            <w:r w:rsidRPr="00DE4CD2">
              <w:rPr>
                <w:rFonts w:asciiTheme="majorHAnsi" w:hAnsiTheme="majorHAnsi" w:cstheme="majorHAnsi"/>
                <w:sz w:val="18"/>
                <w:szCs w:val="18"/>
                <w:lang w:eastAsia="de-DE"/>
              </w:rPr>
              <w:t>SI</w:t>
            </w:r>
          </w:p>
        </w:tc>
        <w:tc>
          <w:tcPr>
            <w:tcW w:w="0" w:type="auto"/>
            <w:noWrap/>
            <w:tcMar>
              <w:top w:w="0" w:type="dxa"/>
              <w:left w:w="70" w:type="dxa"/>
              <w:bottom w:w="0" w:type="dxa"/>
              <w:right w:w="70" w:type="dxa"/>
            </w:tcMar>
            <w:vAlign w:val="bottom"/>
            <w:hideMark/>
          </w:tcPr>
          <w:p w14:paraId="4B13885F"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2.209</w:t>
            </w:r>
          </w:p>
        </w:tc>
        <w:tc>
          <w:tcPr>
            <w:tcW w:w="0" w:type="auto"/>
            <w:noWrap/>
            <w:tcMar>
              <w:top w:w="0" w:type="dxa"/>
              <w:left w:w="70" w:type="dxa"/>
              <w:bottom w:w="0" w:type="dxa"/>
              <w:right w:w="70" w:type="dxa"/>
            </w:tcMar>
            <w:vAlign w:val="bottom"/>
            <w:hideMark/>
          </w:tcPr>
          <w:p w14:paraId="47638BC3"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2.201</w:t>
            </w:r>
          </w:p>
        </w:tc>
        <w:tc>
          <w:tcPr>
            <w:tcW w:w="0" w:type="auto"/>
            <w:noWrap/>
            <w:tcMar>
              <w:top w:w="0" w:type="dxa"/>
              <w:left w:w="70" w:type="dxa"/>
              <w:bottom w:w="0" w:type="dxa"/>
              <w:right w:w="70" w:type="dxa"/>
            </w:tcMar>
            <w:vAlign w:val="bottom"/>
            <w:hideMark/>
          </w:tcPr>
          <w:p w14:paraId="50F59D38"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99,6%</w:t>
            </w:r>
          </w:p>
        </w:tc>
        <w:tc>
          <w:tcPr>
            <w:tcW w:w="0" w:type="auto"/>
            <w:noWrap/>
            <w:tcMar>
              <w:top w:w="0" w:type="dxa"/>
              <w:left w:w="70" w:type="dxa"/>
              <w:bottom w:w="0" w:type="dxa"/>
              <w:right w:w="70" w:type="dxa"/>
            </w:tcMar>
            <w:vAlign w:val="bottom"/>
            <w:hideMark/>
          </w:tcPr>
          <w:p w14:paraId="799D3DF7"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2.198</w:t>
            </w:r>
          </w:p>
        </w:tc>
        <w:tc>
          <w:tcPr>
            <w:tcW w:w="0" w:type="auto"/>
            <w:noWrap/>
            <w:tcMar>
              <w:top w:w="0" w:type="dxa"/>
              <w:left w:w="70" w:type="dxa"/>
              <w:bottom w:w="0" w:type="dxa"/>
              <w:right w:w="70" w:type="dxa"/>
            </w:tcMar>
            <w:vAlign w:val="bottom"/>
            <w:hideMark/>
          </w:tcPr>
          <w:p w14:paraId="205F17A8"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99,5%</w:t>
            </w:r>
          </w:p>
        </w:tc>
      </w:tr>
      <w:tr w:rsidR="00FC3526" w:rsidRPr="00DE4CD2" w14:paraId="6AFA5CC6" w14:textId="77777777" w:rsidTr="002B1C23">
        <w:trPr>
          <w:trHeight w:val="60"/>
          <w:jc w:val="center"/>
        </w:trPr>
        <w:tc>
          <w:tcPr>
            <w:tcW w:w="0" w:type="auto"/>
            <w:noWrap/>
            <w:tcMar>
              <w:top w:w="0" w:type="dxa"/>
              <w:left w:w="70" w:type="dxa"/>
              <w:bottom w:w="0" w:type="dxa"/>
              <w:right w:w="70" w:type="dxa"/>
            </w:tcMar>
            <w:vAlign w:val="bottom"/>
            <w:hideMark/>
          </w:tcPr>
          <w:p w14:paraId="5FF1AE72" w14:textId="77777777" w:rsidR="006A1757" w:rsidRPr="00DE4CD2" w:rsidRDefault="006A1757" w:rsidP="002B1C23">
            <w:pPr>
              <w:rPr>
                <w:rFonts w:asciiTheme="majorHAnsi" w:hAnsiTheme="majorHAnsi" w:cstheme="majorHAnsi"/>
                <w:sz w:val="18"/>
                <w:szCs w:val="18"/>
                <w:lang w:eastAsia="de-DE"/>
              </w:rPr>
            </w:pPr>
            <w:r w:rsidRPr="00DE4CD2">
              <w:rPr>
                <w:rFonts w:asciiTheme="majorHAnsi" w:hAnsiTheme="majorHAnsi" w:cstheme="majorHAnsi"/>
                <w:sz w:val="18"/>
                <w:szCs w:val="18"/>
                <w:lang w:eastAsia="de-DE"/>
              </w:rPr>
              <w:t>SK</w:t>
            </w:r>
          </w:p>
        </w:tc>
        <w:tc>
          <w:tcPr>
            <w:tcW w:w="0" w:type="auto"/>
            <w:noWrap/>
            <w:tcMar>
              <w:top w:w="0" w:type="dxa"/>
              <w:left w:w="70" w:type="dxa"/>
              <w:bottom w:w="0" w:type="dxa"/>
              <w:right w:w="70" w:type="dxa"/>
            </w:tcMar>
            <w:vAlign w:val="bottom"/>
            <w:hideMark/>
          </w:tcPr>
          <w:p w14:paraId="55BE44B9"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2.262</w:t>
            </w:r>
          </w:p>
        </w:tc>
        <w:tc>
          <w:tcPr>
            <w:tcW w:w="0" w:type="auto"/>
            <w:noWrap/>
            <w:tcMar>
              <w:top w:w="0" w:type="dxa"/>
              <w:left w:w="70" w:type="dxa"/>
              <w:bottom w:w="0" w:type="dxa"/>
              <w:right w:w="70" w:type="dxa"/>
            </w:tcMar>
            <w:vAlign w:val="bottom"/>
            <w:hideMark/>
          </w:tcPr>
          <w:p w14:paraId="7F5F49F7"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2.255</w:t>
            </w:r>
          </w:p>
        </w:tc>
        <w:tc>
          <w:tcPr>
            <w:tcW w:w="0" w:type="auto"/>
            <w:noWrap/>
            <w:tcMar>
              <w:top w:w="0" w:type="dxa"/>
              <w:left w:w="70" w:type="dxa"/>
              <w:bottom w:w="0" w:type="dxa"/>
              <w:right w:w="70" w:type="dxa"/>
            </w:tcMar>
            <w:vAlign w:val="bottom"/>
            <w:hideMark/>
          </w:tcPr>
          <w:p w14:paraId="05A583FE"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99,7%</w:t>
            </w:r>
          </w:p>
        </w:tc>
        <w:tc>
          <w:tcPr>
            <w:tcW w:w="0" w:type="auto"/>
            <w:noWrap/>
            <w:tcMar>
              <w:top w:w="0" w:type="dxa"/>
              <w:left w:w="70" w:type="dxa"/>
              <w:bottom w:w="0" w:type="dxa"/>
              <w:right w:w="70" w:type="dxa"/>
            </w:tcMar>
            <w:vAlign w:val="bottom"/>
            <w:hideMark/>
          </w:tcPr>
          <w:p w14:paraId="39C5531B"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2.246</w:t>
            </w:r>
          </w:p>
        </w:tc>
        <w:tc>
          <w:tcPr>
            <w:tcW w:w="0" w:type="auto"/>
            <w:noWrap/>
            <w:tcMar>
              <w:top w:w="0" w:type="dxa"/>
              <w:left w:w="70" w:type="dxa"/>
              <w:bottom w:w="0" w:type="dxa"/>
              <w:right w:w="70" w:type="dxa"/>
            </w:tcMar>
            <w:vAlign w:val="bottom"/>
            <w:hideMark/>
          </w:tcPr>
          <w:p w14:paraId="6212169C"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99,3%</w:t>
            </w:r>
          </w:p>
        </w:tc>
      </w:tr>
      <w:tr w:rsidR="006A1757" w:rsidRPr="00DE4CD2" w14:paraId="0ED6B1C0" w14:textId="77777777" w:rsidTr="002B1C23">
        <w:trPr>
          <w:trHeight w:val="288"/>
          <w:jc w:val="center"/>
        </w:trPr>
        <w:tc>
          <w:tcPr>
            <w:tcW w:w="0" w:type="auto"/>
            <w:tcBorders>
              <w:top w:val="single" w:sz="8" w:space="0" w:color="auto"/>
              <w:left w:val="nil"/>
              <w:bottom w:val="nil"/>
              <w:right w:val="nil"/>
            </w:tcBorders>
            <w:noWrap/>
            <w:tcMar>
              <w:top w:w="0" w:type="dxa"/>
              <w:left w:w="70" w:type="dxa"/>
              <w:bottom w:w="0" w:type="dxa"/>
              <w:right w:w="70" w:type="dxa"/>
            </w:tcMar>
            <w:vAlign w:val="bottom"/>
            <w:hideMark/>
          </w:tcPr>
          <w:p w14:paraId="21C60CAC" w14:textId="77777777" w:rsidR="006A1757" w:rsidRPr="00DE4CD2" w:rsidRDefault="006A1757" w:rsidP="002B1C23">
            <w:pPr>
              <w:rPr>
                <w:rFonts w:asciiTheme="majorHAnsi" w:hAnsiTheme="majorHAnsi" w:cstheme="majorHAnsi"/>
                <w:sz w:val="18"/>
                <w:szCs w:val="18"/>
                <w:lang w:eastAsia="de-DE"/>
              </w:rPr>
            </w:pPr>
            <w:r w:rsidRPr="00DE4CD2">
              <w:rPr>
                <w:rFonts w:asciiTheme="majorHAnsi" w:hAnsiTheme="majorHAnsi" w:cstheme="majorHAnsi"/>
                <w:sz w:val="18"/>
                <w:szCs w:val="18"/>
                <w:lang w:eastAsia="de-DE"/>
              </w:rPr>
              <w:t>Total</w:t>
            </w:r>
          </w:p>
        </w:tc>
        <w:tc>
          <w:tcPr>
            <w:tcW w:w="0" w:type="auto"/>
            <w:tcBorders>
              <w:top w:val="single" w:sz="8" w:space="0" w:color="auto"/>
              <w:left w:val="nil"/>
              <w:bottom w:val="nil"/>
              <w:right w:val="nil"/>
            </w:tcBorders>
            <w:noWrap/>
            <w:tcMar>
              <w:top w:w="0" w:type="dxa"/>
              <w:left w:w="70" w:type="dxa"/>
              <w:bottom w:w="0" w:type="dxa"/>
              <w:right w:w="70" w:type="dxa"/>
            </w:tcMar>
            <w:vAlign w:val="bottom"/>
            <w:hideMark/>
          </w:tcPr>
          <w:p w14:paraId="45E0D5F6"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542.996</w:t>
            </w:r>
          </w:p>
        </w:tc>
        <w:tc>
          <w:tcPr>
            <w:tcW w:w="0" w:type="auto"/>
            <w:tcBorders>
              <w:top w:val="single" w:sz="8" w:space="0" w:color="auto"/>
              <w:left w:val="nil"/>
              <w:bottom w:val="nil"/>
              <w:right w:val="nil"/>
            </w:tcBorders>
            <w:noWrap/>
            <w:tcMar>
              <w:top w:w="0" w:type="dxa"/>
              <w:left w:w="70" w:type="dxa"/>
              <w:bottom w:w="0" w:type="dxa"/>
              <w:right w:w="70" w:type="dxa"/>
            </w:tcMar>
            <w:vAlign w:val="bottom"/>
            <w:hideMark/>
          </w:tcPr>
          <w:p w14:paraId="5D7D100A"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530.889</w:t>
            </w:r>
          </w:p>
        </w:tc>
        <w:tc>
          <w:tcPr>
            <w:tcW w:w="0" w:type="auto"/>
            <w:tcBorders>
              <w:top w:val="single" w:sz="8" w:space="0" w:color="auto"/>
              <w:left w:val="nil"/>
              <w:bottom w:val="nil"/>
              <w:right w:val="nil"/>
            </w:tcBorders>
            <w:noWrap/>
            <w:tcMar>
              <w:top w:w="0" w:type="dxa"/>
              <w:left w:w="70" w:type="dxa"/>
              <w:bottom w:w="0" w:type="dxa"/>
              <w:right w:w="70" w:type="dxa"/>
            </w:tcMar>
            <w:vAlign w:val="bottom"/>
            <w:hideMark/>
          </w:tcPr>
          <w:p w14:paraId="21DD2906"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97,8%</w:t>
            </w:r>
          </w:p>
        </w:tc>
        <w:tc>
          <w:tcPr>
            <w:tcW w:w="0" w:type="auto"/>
            <w:tcBorders>
              <w:top w:val="single" w:sz="8" w:space="0" w:color="auto"/>
              <w:left w:val="nil"/>
              <w:bottom w:val="nil"/>
              <w:right w:val="nil"/>
            </w:tcBorders>
            <w:noWrap/>
            <w:tcMar>
              <w:top w:w="0" w:type="dxa"/>
              <w:left w:w="70" w:type="dxa"/>
              <w:bottom w:w="0" w:type="dxa"/>
              <w:right w:w="70" w:type="dxa"/>
            </w:tcMar>
            <w:vAlign w:val="bottom"/>
            <w:hideMark/>
          </w:tcPr>
          <w:p w14:paraId="3C7B9968"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518.334</w:t>
            </w:r>
          </w:p>
        </w:tc>
        <w:tc>
          <w:tcPr>
            <w:tcW w:w="0" w:type="auto"/>
            <w:tcBorders>
              <w:top w:val="single" w:sz="8" w:space="0" w:color="auto"/>
              <w:left w:val="nil"/>
              <w:bottom w:val="nil"/>
              <w:right w:val="nil"/>
            </w:tcBorders>
            <w:noWrap/>
            <w:tcMar>
              <w:top w:w="0" w:type="dxa"/>
              <w:left w:w="70" w:type="dxa"/>
              <w:bottom w:w="0" w:type="dxa"/>
              <w:right w:w="70" w:type="dxa"/>
            </w:tcMar>
            <w:vAlign w:val="bottom"/>
            <w:hideMark/>
          </w:tcPr>
          <w:p w14:paraId="6CB8F688" w14:textId="77777777" w:rsidR="006A1757" w:rsidRPr="00DE4CD2" w:rsidRDefault="006A1757" w:rsidP="002B1C23">
            <w:pPr>
              <w:jc w:val="right"/>
              <w:rPr>
                <w:rFonts w:asciiTheme="majorHAnsi" w:hAnsiTheme="majorHAnsi" w:cstheme="majorHAnsi"/>
                <w:sz w:val="18"/>
                <w:szCs w:val="18"/>
                <w:lang w:eastAsia="de-DE"/>
              </w:rPr>
            </w:pPr>
            <w:r w:rsidRPr="00DE4CD2">
              <w:rPr>
                <w:rFonts w:asciiTheme="majorHAnsi" w:hAnsiTheme="majorHAnsi" w:cstheme="majorHAnsi"/>
                <w:sz w:val="18"/>
                <w:szCs w:val="18"/>
                <w:lang w:eastAsia="de-DE"/>
              </w:rPr>
              <w:t>95,5%</w:t>
            </w:r>
          </w:p>
        </w:tc>
      </w:tr>
    </w:tbl>
    <w:p w14:paraId="5D6DCD6B" w14:textId="77777777" w:rsidR="006A1757" w:rsidRPr="00DE4CD2" w:rsidRDefault="006A1757" w:rsidP="006A1757">
      <w:pPr>
        <w:rPr>
          <w:rFonts w:asciiTheme="majorHAnsi" w:hAnsiTheme="majorHAnsi" w:cstheme="majorHAnsi"/>
        </w:rPr>
      </w:pPr>
    </w:p>
    <w:p w14:paraId="586E6453" w14:textId="44B26B12" w:rsidR="006A1757" w:rsidRPr="00DE4CD2" w:rsidRDefault="006A1757" w:rsidP="006A1757">
      <w:pPr>
        <w:rPr>
          <w:rFonts w:asciiTheme="majorHAnsi" w:hAnsiTheme="majorHAnsi" w:cstheme="majorHAnsi"/>
        </w:rPr>
      </w:pPr>
      <w:r w:rsidRPr="00DE4CD2">
        <w:rPr>
          <w:rFonts w:asciiTheme="majorHAnsi" w:hAnsiTheme="majorHAnsi" w:cstheme="majorHAnsi"/>
        </w:rPr>
        <w:t>By combining the regionalized data with the trademark classification, we can now perform analyses for selected, policy-relevant technologies, for example, the Key Enabling Technologies across the regions within Europe (Figure 1</w:t>
      </w:r>
      <w:r w:rsidR="00ED398E" w:rsidRPr="00DE4CD2">
        <w:rPr>
          <w:rFonts w:asciiTheme="majorHAnsi" w:hAnsiTheme="majorHAnsi" w:cstheme="majorHAnsi"/>
        </w:rPr>
        <w:t>3</w:t>
      </w:r>
      <w:r w:rsidRPr="00DE4CD2">
        <w:rPr>
          <w:rFonts w:asciiTheme="majorHAnsi" w:hAnsiTheme="majorHAnsi" w:cstheme="majorHAnsi"/>
        </w:rPr>
        <w:t xml:space="preserve">). The regionalized trademark data are also being used in a PhD thesis to describe collaborative network structures within French regions to understand </w:t>
      </w:r>
      <w:r w:rsidRPr="00DE4CD2">
        <w:rPr>
          <w:rFonts w:asciiTheme="majorHAnsi" w:hAnsiTheme="majorHAnsi" w:cstheme="majorHAnsi"/>
        </w:rPr>
        <w:lastRenderedPageBreak/>
        <w:t>local innovation strategies and their impact on the French regions. Furthermore, they are currently applied in a EU project that deals with research and experimental actions to advance the innovation-related practices, capacities, and potential of cultural and creative industries (CCIs) based in non-urban areas of the EU.</w:t>
      </w:r>
    </w:p>
    <w:p w14:paraId="1E0BB7EB" w14:textId="77777777" w:rsidR="006A1757" w:rsidRPr="00DE4CD2" w:rsidRDefault="006A1757" w:rsidP="006A1757">
      <w:pPr>
        <w:jc w:val="both"/>
        <w:rPr>
          <w:rFonts w:asciiTheme="majorHAnsi" w:hAnsiTheme="majorHAnsi" w:cstheme="majorHAnsi"/>
          <w:b/>
          <w:bCs/>
          <w:i/>
          <w:iCs/>
        </w:rPr>
      </w:pPr>
      <w:bookmarkStart w:id="12" w:name="_Toc90371654"/>
    </w:p>
    <w:p w14:paraId="429B7E33" w14:textId="0611E612" w:rsidR="006A1757" w:rsidRPr="00DE4CD2" w:rsidRDefault="006A1757" w:rsidP="006A1757">
      <w:pPr>
        <w:ind w:left="1410" w:hanging="1410"/>
        <w:jc w:val="both"/>
        <w:rPr>
          <w:rFonts w:asciiTheme="majorHAnsi" w:hAnsiTheme="majorHAnsi" w:cstheme="majorHAnsi"/>
          <w:b/>
          <w:bCs/>
          <w:i/>
          <w:iCs/>
        </w:rPr>
      </w:pPr>
      <w:r w:rsidRPr="00DE4CD2">
        <w:rPr>
          <w:rFonts w:asciiTheme="majorHAnsi" w:eastAsiaTheme="minorHAnsi" w:hAnsiTheme="majorHAnsi" w:cstheme="majorHAnsi"/>
          <w:i/>
          <w:iCs/>
          <w:lang w:val="en-US" w:eastAsia="en-US"/>
        </w:rPr>
        <w:t>Figure 13</w:t>
      </w:r>
      <w:r w:rsidRPr="00DE4CD2">
        <w:rPr>
          <w:rFonts w:asciiTheme="majorHAnsi" w:eastAsiaTheme="minorHAnsi" w:hAnsiTheme="majorHAnsi" w:cstheme="majorHAnsi"/>
          <w:i/>
          <w:iCs/>
          <w:lang w:val="en-US" w:eastAsia="en-US"/>
        </w:rPr>
        <w:tab/>
        <w:t>Regional distribution of trademarks in the EU in Advanced Manufacturing Technologies, 2017-2019</w:t>
      </w:r>
    </w:p>
    <w:p w14:paraId="62453D79" w14:textId="77777777" w:rsidR="006A1757" w:rsidRPr="00DE4CD2" w:rsidRDefault="006A1757" w:rsidP="006A1757">
      <w:pPr>
        <w:jc w:val="center"/>
        <w:rPr>
          <w:rFonts w:asciiTheme="majorHAnsi" w:hAnsiTheme="majorHAnsi" w:cstheme="majorHAnsi"/>
          <w:b/>
          <w:bCs/>
          <w:i/>
          <w:iCs/>
        </w:rPr>
      </w:pPr>
      <w:r w:rsidRPr="00DE4CD2">
        <w:rPr>
          <w:rFonts w:asciiTheme="majorHAnsi" w:hAnsiTheme="majorHAnsi" w:cstheme="majorHAnsi"/>
          <w:b/>
          <w:bCs/>
          <w:i/>
          <w:iCs/>
          <w:noProof/>
          <w:lang w:val="de-DE" w:eastAsia="de-DE"/>
        </w:rPr>
        <w:drawing>
          <wp:inline distT="0" distB="0" distL="0" distR="0" wp14:anchorId="02361A7B" wp14:editId="70A285D8">
            <wp:extent cx="4732020" cy="3785615"/>
            <wp:effectExtent l="0" t="0" r="0" b="5715"/>
            <wp:docPr id="5" name="Grafik 5" descr="Abb_TM_KETS03">
              <a:extLst xmlns:a="http://schemas.openxmlformats.org/drawingml/2006/main">
                <a:ext uri="{FF2B5EF4-FFF2-40B4-BE49-F238E27FC236}">
                  <a16:creationId xmlns:a16="http://schemas.microsoft.com/office/drawing/2014/main" id="{B8EFE479-555E-4E8B-8465-C9FCC2B73D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lide4" descr="Abb_TM_KETS03">
                      <a:extLst>
                        <a:ext uri="{FF2B5EF4-FFF2-40B4-BE49-F238E27FC236}">
                          <a16:creationId xmlns:a16="http://schemas.microsoft.com/office/drawing/2014/main" id="{B8EFE479-555E-4E8B-8465-C9FCC2B73DD5}"/>
                        </a:ext>
                      </a:extLst>
                    </pic:cNvPr>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4734523" cy="3787617"/>
                    </a:xfrm>
                    <a:prstGeom prst="rect">
                      <a:avLst/>
                    </a:prstGeom>
                  </pic:spPr>
                </pic:pic>
              </a:graphicData>
            </a:graphic>
          </wp:inline>
        </w:drawing>
      </w:r>
    </w:p>
    <w:p w14:paraId="155427B9" w14:textId="77777777" w:rsidR="006A1757" w:rsidRPr="00DE4CD2" w:rsidRDefault="006A1757" w:rsidP="006A1757">
      <w:pPr>
        <w:jc w:val="center"/>
        <w:rPr>
          <w:rFonts w:asciiTheme="majorHAnsi" w:hAnsiTheme="majorHAnsi" w:cstheme="majorHAnsi"/>
          <w:b/>
          <w:bCs/>
          <w:i/>
          <w:iCs/>
        </w:rPr>
      </w:pPr>
    </w:p>
    <w:p w14:paraId="588492BD" w14:textId="77777777" w:rsidR="006A1757" w:rsidRPr="00DE4CD2" w:rsidRDefault="006A1757" w:rsidP="006A1757">
      <w:pPr>
        <w:jc w:val="both"/>
        <w:rPr>
          <w:rFonts w:asciiTheme="majorHAnsi" w:hAnsiTheme="majorHAnsi" w:cstheme="majorHAnsi"/>
          <w:b/>
          <w:bCs/>
          <w:i/>
          <w:iCs/>
        </w:rPr>
      </w:pPr>
    </w:p>
    <w:p w14:paraId="70FE2EC7" w14:textId="77777777" w:rsidR="006A1757" w:rsidRPr="00DE4CD2" w:rsidRDefault="006A1757" w:rsidP="006A1757">
      <w:pPr>
        <w:jc w:val="both"/>
        <w:rPr>
          <w:rFonts w:asciiTheme="majorHAnsi" w:hAnsiTheme="majorHAnsi" w:cstheme="majorHAnsi"/>
        </w:rPr>
      </w:pPr>
      <w:r w:rsidRPr="00DE4CD2">
        <w:rPr>
          <w:rFonts w:asciiTheme="majorHAnsi" w:hAnsiTheme="majorHAnsi" w:cstheme="majorHAnsi"/>
          <w:b/>
          <w:bCs/>
          <w:i/>
          <w:iCs/>
        </w:rPr>
        <w:t>iii) Matching to other databases ORBIS</w:t>
      </w:r>
      <w:bookmarkEnd w:id="12"/>
    </w:p>
    <w:p w14:paraId="62558B7E" w14:textId="77777777" w:rsidR="006A1757" w:rsidRPr="00DE4CD2" w:rsidRDefault="006A1757" w:rsidP="006A1757">
      <w:pPr>
        <w:jc w:val="both"/>
        <w:rPr>
          <w:rFonts w:asciiTheme="majorHAnsi" w:hAnsiTheme="majorHAnsi" w:cstheme="majorHAnsi"/>
        </w:rPr>
      </w:pPr>
      <w:r w:rsidRPr="00DE4CD2">
        <w:rPr>
          <w:rFonts w:asciiTheme="majorHAnsi" w:hAnsiTheme="majorHAnsi" w:cstheme="majorHAnsi"/>
        </w:rPr>
        <w:t xml:space="preserve">A further feature of the ISI-TM-EUIPO database is that it has been matched to the ORBIS database of Bureau van Dijk, which enables in depth analyses at the company level by combining trademark and further structural and financial company data. In order to create the match, we resorted to a string-matching algorithm on applicant/company names based on the </w:t>
      </w:r>
      <w:proofErr w:type="spellStart"/>
      <w:r w:rsidRPr="00DE4CD2">
        <w:rPr>
          <w:rFonts w:asciiTheme="majorHAnsi" w:hAnsiTheme="majorHAnsi" w:cstheme="majorHAnsi"/>
        </w:rPr>
        <w:t>Levenshtein</w:t>
      </w:r>
      <w:proofErr w:type="spellEnd"/>
      <w:r w:rsidRPr="00DE4CD2">
        <w:rPr>
          <w:rFonts w:asciiTheme="majorHAnsi" w:hAnsiTheme="majorHAnsi" w:cstheme="majorHAnsi"/>
        </w:rPr>
        <w:t xml:space="preserve"> distance. Since the Fraunhofer ISI version of ORBIS has been matched to the EU Industrial R&amp;D Investment Scoreboard, where the world's top R&amp;D performing firms are ranked according to their R&amp;D expenditures, the matching of EUIPO trademarks to ORBIS allows us to analyse R&amp;D portfolios of companies. The relationship between mixed patent/trademark profiles and firm performance has been analysed in Neuhäusler/Frietsch (2021). Here, it has been shown that markets seem to „care” about the portfolio setup and markets seem to react to mixed IPR portfolios, especially when trademarks are included, and these portfolios signal investors that there is value in the company. Profits, however, do not seem to be directly affected by the IPR indicators. In addition to the matching of EUIPO to ORBIS, we also performed a matching of the EUIPO trademark applicants to the firms listed in </w:t>
      </w:r>
      <w:proofErr w:type="spellStart"/>
      <w:r w:rsidRPr="00DE4CD2">
        <w:rPr>
          <w:rFonts w:asciiTheme="majorHAnsi" w:hAnsiTheme="majorHAnsi" w:cstheme="majorHAnsi"/>
        </w:rPr>
        <w:t>FirmReg</w:t>
      </w:r>
      <w:proofErr w:type="spellEnd"/>
      <w:r w:rsidRPr="00DE4CD2">
        <w:rPr>
          <w:rFonts w:asciiTheme="majorHAnsi" w:hAnsiTheme="majorHAnsi" w:cstheme="majorHAnsi"/>
        </w:rPr>
        <w:t xml:space="preserve">. Thereby, we applied a similar string matching algorithm on applicant/company names as for the matching with ORBIS, but adapted it to fit the peculiarities of the </w:t>
      </w:r>
      <w:proofErr w:type="spellStart"/>
      <w:r w:rsidRPr="00DE4CD2">
        <w:rPr>
          <w:rFonts w:asciiTheme="majorHAnsi" w:hAnsiTheme="majorHAnsi" w:cstheme="majorHAnsi"/>
        </w:rPr>
        <w:t>FirmReg</w:t>
      </w:r>
      <w:proofErr w:type="spellEnd"/>
      <w:r w:rsidRPr="00DE4CD2">
        <w:rPr>
          <w:rFonts w:asciiTheme="majorHAnsi" w:hAnsiTheme="majorHAnsi" w:cstheme="majorHAnsi"/>
        </w:rPr>
        <w:t xml:space="preserve"> company name structure. The matched dataset will be used for a scientific paper that </w:t>
      </w:r>
      <w:r w:rsidRPr="00DE4CD2">
        <w:rPr>
          <w:rFonts w:asciiTheme="majorHAnsi" w:hAnsiTheme="majorHAnsi" w:cstheme="majorHAnsi"/>
        </w:rPr>
        <w:lastRenderedPageBreak/>
        <w:t>aims at analysing the effects of venture capital on start-up innovation measured by trademark applications. Finally, the matching to ORBIS has allowed us to identify "applicant types" within the EUIPO trademark dataset and to differentiate SME trademark filings from trademark filings by large enterprises. This led to a study of SME trademarking for the EUIPO. Here, it was analysed why there is a strong position and slight increase of IPR activities of large multinational enterprises (MNEs), while small and medium-sized firms (SMEs) have lower propensities and probabilities to patent and to trademark their inventions.</w:t>
      </w:r>
    </w:p>
    <w:p w14:paraId="06D53CB7" w14:textId="77777777" w:rsidR="006A1757" w:rsidRPr="00DE4CD2" w:rsidRDefault="006A1757" w:rsidP="006A1757">
      <w:pPr>
        <w:jc w:val="both"/>
        <w:rPr>
          <w:rFonts w:asciiTheme="majorHAnsi" w:hAnsiTheme="majorHAnsi" w:cstheme="majorHAnsi"/>
        </w:rPr>
      </w:pPr>
    </w:p>
    <w:p w14:paraId="3D86E716" w14:textId="180AF369" w:rsidR="006A1757" w:rsidRPr="00DE4CD2" w:rsidRDefault="006A1757" w:rsidP="006A1757">
      <w:pPr>
        <w:jc w:val="both"/>
        <w:rPr>
          <w:rFonts w:asciiTheme="majorHAnsi" w:hAnsiTheme="majorHAnsi" w:cstheme="majorHAnsi"/>
        </w:rPr>
      </w:pPr>
      <w:r w:rsidRPr="00DE4CD2">
        <w:rPr>
          <w:rFonts w:asciiTheme="majorHAnsi" w:eastAsiaTheme="minorHAnsi" w:hAnsiTheme="majorHAnsi" w:cstheme="majorHAnsi"/>
          <w:i/>
          <w:iCs/>
          <w:lang w:val="en-US" w:eastAsia="en-US"/>
        </w:rPr>
        <w:t>Figure 14</w:t>
      </w:r>
      <w:r w:rsidR="00666865" w:rsidRPr="00DE4CD2">
        <w:rPr>
          <w:rFonts w:asciiTheme="majorHAnsi" w:eastAsiaTheme="minorHAnsi" w:hAnsiTheme="majorHAnsi" w:cstheme="majorHAnsi"/>
          <w:i/>
          <w:iCs/>
          <w:lang w:val="en-US" w:eastAsia="en-US"/>
        </w:rPr>
        <w:t xml:space="preserve"> </w:t>
      </w:r>
      <w:r w:rsidRPr="00DE4CD2">
        <w:rPr>
          <w:rFonts w:asciiTheme="majorHAnsi" w:eastAsiaTheme="minorHAnsi" w:hAnsiTheme="majorHAnsi" w:cstheme="majorHAnsi"/>
          <w:i/>
          <w:iCs/>
          <w:lang w:val="en-US" w:eastAsia="en-US"/>
        </w:rPr>
        <w:t>Share of trademarks by applicant groups in total trade marks, 2000-2021</w:t>
      </w:r>
    </w:p>
    <w:p w14:paraId="7B5C1014" w14:textId="77777777" w:rsidR="006A1757" w:rsidRPr="00DE4CD2" w:rsidRDefault="006A1757" w:rsidP="006A1757">
      <w:pPr>
        <w:jc w:val="center"/>
        <w:rPr>
          <w:rFonts w:asciiTheme="majorHAnsi" w:hAnsiTheme="majorHAnsi" w:cstheme="majorHAnsi"/>
        </w:rPr>
      </w:pPr>
      <w:r w:rsidRPr="00DE4CD2">
        <w:rPr>
          <w:rFonts w:asciiTheme="majorHAnsi" w:hAnsiTheme="majorHAnsi" w:cstheme="majorHAnsi"/>
          <w:noProof/>
          <w:lang w:val="de-DE" w:eastAsia="de-DE"/>
        </w:rPr>
        <w:drawing>
          <wp:inline distT="0" distB="0" distL="0" distR="0" wp14:anchorId="25F5B346" wp14:editId="5DEB3BF3">
            <wp:extent cx="5360670" cy="3606800"/>
            <wp:effectExtent l="0" t="0" r="0" b="0"/>
            <wp:docPr id="6" name="Diagramm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15E1CE59" w14:textId="77777777" w:rsidR="006A1757" w:rsidRPr="00DE4CD2" w:rsidRDefault="006A1757" w:rsidP="006A1757">
      <w:pPr>
        <w:rPr>
          <w:rFonts w:asciiTheme="majorHAnsi" w:hAnsiTheme="majorHAnsi" w:cstheme="majorHAnsi"/>
          <w:b/>
          <w:bCs/>
          <w:i/>
          <w:iCs/>
        </w:rPr>
      </w:pPr>
      <w:r w:rsidRPr="00DE4CD2">
        <w:rPr>
          <w:rFonts w:asciiTheme="majorHAnsi" w:hAnsiTheme="majorHAnsi" w:cstheme="majorHAnsi"/>
          <w:b/>
          <w:bCs/>
          <w:i/>
          <w:iCs/>
        </w:rPr>
        <w:t>Database Usage</w:t>
      </w:r>
    </w:p>
    <w:p w14:paraId="12B5E235" w14:textId="77777777" w:rsidR="006A1757" w:rsidRPr="00DE4CD2" w:rsidRDefault="006A1757" w:rsidP="006A1757">
      <w:pPr>
        <w:rPr>
          <w:rFonts w:asciiTheme="majorHAnsi" w:eastAsia="Times New Roman" w:hAnsiTheme="majorHAnsi" w:cstheme="majorHAnsi"/>
          <w:sz w:val="27"/>
          <w:szCs w:val="27"/>
          <w:highlight w:val="green"/>
        </w:rPr>
      </w:pPr>
    </w:p>
    <w:p w14:paraId="66B3D5BB" w14:textId="77777777" w:rsidR="006A1757" w:rsidRPr="00DE4CD2" w:rsidRDefault="006A1757" w:rsidP="00666865">
      <w:pPr>
        <w:jc w:val="both"/>
        <w:rPr>
          <w:rFonts w:asciiTheme="majorHAnsi" w:eastAsia="Times New Roman" w:hAnsiTheme="majorHAnsi" w:cstheme="majorHAnsi"/>
          <w:sz w:val="27"/>
          <w:szCs w:val="27"/>
        </w:rPr>
      </w:pPr>
      <w:r w:rsidRPr="00DE4CD2">
        <w:rPr>
          <w:rFonts w:asciiTheme="majorHAnsi" w:hAnsiTheme="majorHAnsi" w:cstheme="majorHAnsi"/>
        </w:rPr>
        <w:t xml:space="preserve">The database still is relatively novel, so database access requests could only be accepted from 2021 onwards. Since then, eleven database access requests have been filed, two of which were within the RISIS consortium and were filed from external scientists. Most of these access requests came from European countries (France, Germany, Italy, the Netherlands, Lithuania, the UK and Norway) but also international (Korea). Five of the access requests only targeted the ISI-Trademark Data Collection while the remaining access requests were filed for more than one datasets within RISIS2. The usage of the data is manifold and ranges from analyses of "Intellectual monopolies" or domestic vs. international trademarking activity to the  impact of </w:t>
      </w:r>
      <w:proofErr w:type="spellStart"/>
      <w:r w:rsidRPr="00DE4CD2">
        <w:rPr>
          <w:rFonts w:asciiTheme="majorHAnsi" w:hAnsiTheme="majorHAnsi" w:cstheme="majorHAnsi"/>
        </w:rPr>
        <w:t>agro</w:t>
      </w:r>
      <w:proofErr w:type="spellEnd"/>
      <w:r w:rsidRPr="00DE4CD2">
        <w:rPr>
          <w:rFonts w:asciiTheme="majorHAnsi" w:hAnsiTheme="majorHAnsi" w:cstheme="majorHAnsi"/>
        </w:rPr>
        <w:t xml:space="preserve">-innovation  in Italian rural areas, innovation in EU </w:t>
      </w:r>
      <w:proofErr w:type="spellStart"/>
      <w:r w:rsidRPr="00DE4CD2">
        <w:rPr>
          <w:rFonts w:asciiTheme="majorHAnsi" w:hAnsiTheme="majorHAnsi" w:cstheme="majorHAnsi"/>
        </w:rPr>
        <w:t>non urban</w:t>
      </w:r>
      <w:proofErr w:type="spellEnd"/>
      <w:r w:rsidRPr="00DE4CD2">
        <w:rPr>
          <w:rFonts w:asciiTheme="majorHAnsi" w:hAnsiTheme="majorHAnsi" w:cstheme="majorHAnsi"/>
        </w:rPr>
        <w:t xml:space="preserve"> regions some use cases or the effects of trademarks on the venture capital of start-ups. Some exemplary uses cases are described in more detail below.</w:t>
      </w:r>
    </w:p>
    <w:p w14:paraId="1C1B55E8" w14:textId="77777777" w:rsidR="006A1757" w:rsidRPr="00DE4CD2" w:rsidRDefault="006A1757" w:rsidP="006A1757">
      <w:pPr>
        <w:rPr>
          <w:rFonts w:asciiTheme="majorHAnsi" w:eastAsia="Times New Roman" w:hAnsiTheme="majorHAnsi" w:cstheme="majorHAnsi"/>
          <w:sz w:val="27"/>
          <w:szCs w:val="27"/>
        </w:rPr>
      </w:pPr>
    </w:p>
    <w:p w14:paraId="5FBB5921" w14:textId="77777777" w:rsidR="006A1757" w:rsidRPr="00DE4CD2" w:rsidRDefault="006A1757" w:rsidP="00666865">
      <w:pPr>
        <w:jc w:val="both"/>
        <w:rPr>
          <w:rFonts w:asciiTheme="majorHAnsi" w:hAnsiTheme="majorHAnsi" w:cstheme="majorHAnsi"/>
          <w:i/>
        </w:rPr>
      </w:pPr>
      <w:r w:rsidRPr="00DE4CD2">
        <w:rPr>
          <w:rFonts w:asciiTheme="majorHAnsi" w:hAnsiTheme="majorHAnsi" w:cstheme="majorHAnsi"/>
          <w:b/>
          <w:i/>
        </w:rPr>
        <w:t>Use case 1:</w:t>
      </w:r>
      <w:r w:rsidRPr="00DE4CD2">
        <w:rPr>
          <w:rFonts w:asciiTheme="majorHAnsi" w:hAnsiTheme="majorHAnsi" w:cstheme="majorHAnsi"/>
          <w:i/>
        </w:rPr>
        <w:t xml:space="preserve"> "Creative occupations and innovation in EU </w:t>
      </w:r>
      <w:proofErr w:type="spellStart"/>
      <w:r w:rsidRPr="00DE4CD2">
        <w:rPr>
          <w:rFonts w:asciiTheme="majorHAnsi" w:hAnsiTheme="majorHAnsi" w:cstheme="majorHAnsi"/>
          <w:i/>
        </w:rPr>
        <w:t>non urban</w:t>
      </w:r>
      <w:proofErr w:type="spellEnd"/>
      <w:r w:rsidRPr="00DE4CD2">
        <w:rPr>
          <w:rFonts w:asciiTheme="majorHAnsi" w:hAnsiTheme="majorHAnsi" w:cstheme="majorHAnsi"/>
          <w:i/>
        </w:rPr>
        <w:t xml:space="preserve"> regions"</w:t>
      </w:r>
    </w:p>
    <w:p w14:paraId="31573B81" w14:textId="039C6C82" w:rsidR="006A1757" w:rsidRPr="00DE4CD2" w:rsidRDefault="006A1757" w:rsidP="00666865">
      <w:pPr>
        <w:jc w:val="both"/>
        <w:rPr>
          <w:rFonts w:asciiTheme="majorHAnsi" w:hAnsiTheme="majorHAnsi" w:cstheme="majorHAnsi"/>
          <w:lang w:val="en-US"/>
        </w:rPr>
      </w:pPr>
      <w:r w:rsidRPr="00DE4CD2">
        <w:rPr>
          <w:rFonts w:asciiTheme="majorHAnsi" w:hAnsiTheme="majorHAnsi" w:cstheme="majorHAnsi"/>
        </w:rPr>
        <w:t xml:space="preserve">In this use case, researchers from the Utrecht University have set up a project to advance understanding of the forms, processes, and governance of innovation involving cultural and creative industries (CCIs) located in non-urban areas of Europe and to advance the ability of non-urban CCIs to act as drivers of innovation, competitiveness, and sustainability for the locales in which they are </w:t>
      </w:r>
      <w:r w:rsidRPr="00DE4CD2">
        <w:rPr>
          <w:rFonts w:asciiTheme="majorHAnsi" w:hAnsiTheme="majorHAnsi" w:cstheme="majorHAnsi"/>
        </w:rPr>
        <w:lastRenderedPageBreak/>
        <w:t>located. In order to assess</w:t>
      </w:r>
      <w:r w:rsidRPr="00DE4CD2">
        <w:rPr>
          <w:rFonts w:asciiTheme="majorHAnsi" w:hAnsiTheme="majorHAnsi" w:cstheme="majorHAnsi"/>
          <w:lang w:val="en-US"/>
        </w:rPr>
        <w:t xml:space="preserve"> the contribution of creative and cultural occupations to </w:t>
      </w:r>
      <w:proofErr w:type="spellStart"/>
      <w:r w:rsidRPr="00DE4CD2">
        <w:rPr>
          <w:rFonts w:asciiTheme="majorHAnsi" w:hAnsiTheme="majorHAnsi" w:cstheme="majorHAnsi"/>
          <w:lang w:val="en-US"/>
        </w:rPr>
        <w:t>non urban</w:t>
      </w:r>
      <w:proofErr w:type="spellEnd"/>
      <w:r w:rsidRPr="00DE4CD2">
        <w:rPr>
          <w:rFonts w:asciiTheme="majorHAnsi" w:hAnsiTheme="majorHAnsi" w:cstheme="majorHAnsi"/>
          <w:lang w:val="en-US"/>
        </w:rPr>
        <w:t xml:space="preserve"> regions, the traditional metric based on patent data was coupled with a new metric based on trademark data. Within this framework, the researchers also investigate the contribution of women in creative occupations in </w:t>
      </w:r>
      <w:proofErr w:type="spellStart"/>
      <w:r w:rsidRPr="00DE4CD2">
        <w:rPr>
          <w:rFonts w:asciiTheme="majorHAnsi" w:hAnsiTheme="majorHAnsi" w:cstheme="majorHAnsi"/>
          <w:lang w:val="en-US"/>
        </w:rPr>
        <w:t>non urban</w:t>
      </w:r>
      <w:proofErr w:type="spellEnd"/>
      <w:r w:rsidRPr="00DE4CD2">
        <w:rPr>
          <w:rFonts w:asciiTheme="majorHAnsi" w:hAnsiTheme="majorHAnsi" w:cstheme="majorHAnsi"/>
          <w:lang w:val="en-US"/>
        </w:rPr>
        <w:t xml:space="preserve"> contexts. For their </w:t>
      </w:r>
      <w:proofErr w:type="spellStart"/>
      <w:r w:rsidRPr="00DE4CD2">
        <w:rPr>
          <w:rFonts w:asciiTheme="majorHAnsi" w:hAnsiTheme="majorHAnsi" w:cstheme="majorHAnsi"/>
          <w:lang w:val="en-US"/>
        </w:rPr>
        <w:t>endeavours</w:t>
      </w:r>
      <w:proofErr w:type="spellEnd"/>
      <w:r w:rsidRPr="00DE4CD2">
        <w:rPr>
          <w:rFonts w:asciiTheme="majorHAnsi" w:hAnsiTheme="majorHAnsi" w:cstheme="majorHAnsi"/>
          <w:lang w:val="en-US"/>
        </w:rPr>
        <w:t>, the researchers referred to the regionalized trademark data at the NUTS-3 level within RISIS2, as these data can directly feed into their study.</w:t>
      </w:r>
    </w:p>
    <w:p w14:paraId="22FB7A11" w14:textId="77777777" w:rsidR="00666865" w:rsidRPr="00DE4CD2" w:rsidRDefault="00666865" w:rsidP="00666865">
      <w:pPr>
        <w:jc w:val="both"/>
        <w:rPr>
          <w:rFonts w:asciiTheme="majorHAnsi" w:hAnsiTheme="majorHAnsi" w:cstheme="majorHAnsi"/>
          <w:lang w:val="en-US"/>
        </w:rPr>
      </w:pPr>
    </w:p>
    <w:p w14:paraId="7A9288A5" w14:textId="77777777" w:rsidR="006A1757" w:rsidRPr="00DE4CD2" w:rsidRDefault="006A1757" w:rsidP="00666865">
      <w:pPr>
        <w:jc w:val="both"/>
        <w:rPr>
          <w:rFonts w:asciiTheme="majorHAnsi" w:hAnsiTheme="majorHAnsi" w:cstheme="majorHAnsi"/>
          <w:lang w:val="en-US"/>
        </w:rPr>
      </w:pPr>
      <w:r w:rsidRPr="00DE4CD2">
        <w:rPr>
          <w:rFonts w:asciiTheme="majorHAnsi" w:hAnsiTheme="majorHAnsi" w:cstheme="majorHAnsi"/>
          <w:lang w:val="en-US"/>
        </w:rPr>
        <w:t xml:space="preserve">They could show that patents and trademarks as regional innovation metrics provides a different map of regional innovation and provided evidence for stronger association between cultural and creative occupations and trademarks especially for </w:t>
      </w:r>
      <w:proofErr w:type="spellStart"/>
      <w:r w:rsidRPr="00DE4CD2">
        <w:rPr>
          <w:rFonts w:asciiTheme="majorHAnsi" w:hAnsiTheme="majorHAnsi" w:cstheme="majorHAnsi"/>
          <w:lang w:val="en-US"/>
        </w:rPr>
        <w:t>non urban</w:t>
      </w:r>
      <w:proofErr w:type="spellEnd"/>
      <w:r w:rsidRPr="00DE4CD2">
        <w:rPr>
          <w:rFonts w:asciiTheme="majorHAnsi" w:hAnsiTheme="majorHAnsi" w:cstheme="majorHAnsi"/>
          <w:lang w:val="en-US"/>
        </w:rPr>
        <w:t xml:space="preserve"> regions. In </w:t>
      </w:r>
      <w:proofErr w:type="spellStart"/>
      <w:r w:rsidRPr="00DE4CD2">
        <w:rPr>
          <w:rFonts w:asciiTheme="majorHAnsi" w:hAnsiTheme="majorHAnsi" w:cstheme="majorHAnsi"/>
          <w:lang w:val="en-US"/>
        </w:rPr>
        <w:t>non urban</w:t>
      </w:r>
      <w:proofErr w:type="spellEnd"/>
      <w:r w:rsidRPr="00DE4CD2">
        <w:rPr>
          <w:rFonts w:asciiTheme="majorHAnsi" w:hAnsiTheme="majorHAnsi" w:cstheme="majorHAnsi"/>
          <w:lang w:val="en-US"/>
        </w:rPr>
        <w:t xml:space="preserve"> regions, also a high share of women in cultural and creative occupations appears to be more strongly associated with trademarks, which help mitigate the gender bias of patents.</w:t>
      </w:r>
    </w:p>
    <w:p w14:paraId="62911867" w14:textId="77777777" w:rsidR="006A1757" w:rsidRPr="00DE4CD2" w:rsidRDefault="006A1757" w:rsidP="006A1757">
      <w:pPr>
        <w:rPr>
          <w:rFonts w:asciiTheme="majorHAnsi" w:hAnsiTheme="majorHAnsi" w:cstheme="majorHAnsi"/>
        </w:rPr>
      </w:pPr>
    </w:p>
    <w:p w14:paraId="736207FF" w14:textId="77777777" w:rsidR="006A1757" w:rsidRPr="00DE4CD2" w:rsidRDefault="006A1757" w:rsidP="006A1757">
      <w:pPr>
        <w:rPr>
          <w:rFonts w:asciiTheme="majorHAnsi" w:hAnsiTheme="majorHAnsi" w:cstheme="majorHAnsi"/>
          <w:b/>
          <w:i/>
        </w:rPr>
      </w:pPr>
      <w:r w:rsidRPr="00DE4CD2">
        <w:rPr>
          <w:rFonts w:asciiTheme="majorHAnsi" w:hAnsiTheme="majorHAnsi" w:cstheme="majorHAnsi"/>
          <w:b/>
          <w:i/>
        </w:rPr>
        <w:t xml:space="preserve">Use case 2: </w:t>
      </w:r>
      <w:r w:rsidRPr="00DE4CD2">
        <w:rPr>
          <w:rFonts w:asciiTheme="majorHAnsi" w:hAnsiTheme="majorHAnsi" w:cstheme="majorHAnsi"/>
          <w:i/>
        </w:rPr>
        <w:t>"Analysis of innovation dynamics in the French region Nouvelle-Aquitaine: Integration of Regional Innovation Systems (RIS) and Territorial Technological Intelligence (TTI) approaches"</w:t>
      </w:r>
    </w:p>
    <w:p w14:paraId="47B47DDB" w14:textId="29DFA3D2" w:rsidR="006A1757" w:rsidRPr="00DE4CD2" w:rsidRDefault="006A1757" w:rsidP="00666865">
      <w:pPr>
        <w:jc w:val="both"/>
        <w:rPr>
          <w:rFonts w:asciiTheme="majorHAnsi" w:hAnsiTheme="majorHAnsi" w:cstheme="majorHAnsi"/>
        </w:rPr>
      </w:pPr>
      <w:r w:rsidRPr="00DE4CD2">
        <w:rPr>
          <w:rFonts w:asciiTheme="majorHAnsi" w:hAnsiTheme="majorHAnsi" w:cstheme="majorHAnsi"/>
        </w:rPr>
        <w:t>The second use case, a dissertation project at the University of Bordeaux, looked at innovation dynamics in the French region Nouvelle-Aquitaine, with local innovation strategies and their potential impact on the region in terms of opportunities and threats being in the focus.</w:t>
      </w:r>
      <w:r w:rsidR="00666865" w:rsidRPr="00DE4CD2">
        <w:rPr>
          <w:rFonts w:asciiTheme="majorHAnsi" w:hAnsiTheme="majorHAnsi" w:cstheme="majorHAnsi"/>
        </w:rPr>
        <w:t xml:space="preserve"> </w:t>
      </w:r>
      <w:r w:rsidRPr="00DE4CD2">
        <w:rPr>
          <w:rFonts w:asciiTheme="majorHAnsi" w:hAnsiTheme="majorHAnsi" w:cstheme="majorHAnsi"/>
        </w:rPr>
        <w:t>In detail, the collaborative networks structures for the French regions (at NUTS2/ NUTS3 levels) were analysed by identifying the principal information on innovation actives, such as patent, funding initiatives by European and national programmes and trademarks. The researchers intended employ the TTI approach to better understand local innovation strategies and their potential impact on the different French regions highlighting the Nouvelle-Aquitaine territory. To develop the case study, one of the resources were the trademarks filed at the EUIPO to identify complementary strategies for regional innovation activities, including patents and funding initiatives by European and national programmes.</w:t>
      </w:r>
    </w:p>
    <w:p w14:paraId="724D0423" w14:textId="77777777" w:rsidR="006A1757" w:rsidRPr="00DE4CD2" w:rsidRDefault="006A1757" w:rsidP="006A1757">
      <w:pPr>
        <w:rPr>
          <w:rFonts w:asciiTheme="majorHAnsi" w:hAnsiTheme="majorHAnsi" w:cstheme="majorHAnsi"/>
          <w:highlight w:val="yellow"/>
        </w:rPr>
      </w:pPr>
    </w:p>
    <w:p w14:paraId="38D31CC3" w14:textId="77777777" w:rsidR="006A1757" w:rsidRPr="00DE4CD2" w:rsidRDefault="006A1757" w:rsidP="006A1757">
      <w:pPr>
        <w:rPr>
          <w:rFonts w:asciiTheme="majorHAnsi" w:hAnsiTheme="majorHAnsi" w:cstheme="majorHAnsi"/>
          <w:i/>
          <w:highlight w:val="yellow"/>
        </w:rPr>
      </w:pPr>
      <w:r w:rsidRPr="00DE4CD2">
        <w:rPr>
          <w:rFonts w:asciiTheme="majorHAnsi" w:hAnsiTheme="majorHAnsi" w:cstheme="majorHAnsi"/>
          <w:b/>
          <w:i/>
        </w:rPr>
        <w:t>Use case 3:</w:t>
      </w:r>
      <w:r w:rsidRPr="00DE4CD2">
        <w:rPr>
          <w:rFonts w:asciiTheme="majorHAnsi" w:hAnsiTheme="majorHAnsi" w:cstheme="majorHAnsi"/>
          <w:i/>
        </w:rPr>
        <w:t xml:space="preserve"> "Effect of Venture Capital financing on startups’ trademarks"</w:t>
      </w:r>
    </w:p>
    <w:p w14:paraId="16033577" w14:textId="77777777" w:rsidR="006A1757" w:rsidRPr="00DE4CD2" w:rsidRDefault="006A1757" w:rsidP="00666865">
      <w:pPr>
        <w:jc w:val="both"/>
        <w:rPr>
          <w:rFonts w:asciiTheme="majorHAnsi" w:hAnsiTheme="majorHAnsi" w:cstheme="majorHAnsi"/>
        </w:rPr>
      </w:pPr>
      <w:r w:rsidRPr="00DE4CD2">
        <w:rPr>
          <w:rFonts w:asciiTheme="majorHAnsi" w:hAnsiTheme="majorHAnsi" w:cstheme="majorHAnsi"/>
        </w:rPr>
        <w:t xml:space="preserve">In the final use case, the EUIPO trademark data that were matched to the </w:t>
      </w:r>
      <w:proofErr w:type="spellStart"/>
      <w:r w:rsidRPr="00DE4CD2">
        <w:rPr>
          <w:rFonts w:asciiTheme="majorHAnsi" w:hAnsiTheme="majorHAnsi" w:cstheme="majorHAnsi"/>
        </w:rPr>
        <w:t>BvD</w:t>
      </w:r>
      <w:proofErr w:type="spellEnd"/>
      <w:r w:rsidRPr="00DE4CD2">
        <w:rPr>
          <w:rFonts w:asciiTheme="majorHAnsi" w:hAnsiTheme="majorHAnsi" w:cstheme="majorHAnsi"/>
        </w:rPr>
        <w:t xml:space="preserve"> Orbis database as well as the link to another RISIS2 dataset, namely </w:t>
      </w:r>
      <w:proofErr w:type="spellStart"/>
      <w:r w:rsidRPr="00DE4CD2">
        <w:rPr>
          <w:rFonts w:asciiTheme="majorHAnsi" w:hAnsiTheme="majorHAnsi" w:cstheme="majorHAnsi"/>
        </w:rPr>
        <w:t>FirmReg</w:t>
      </w:r>
      <w:proofErr w:type="spellEnd"/>
      <w:r w:rsidRPr="00DE4CD2">
        <w:rPr>
          <w:rFonts w:asciiTheme="majorHAnsi" w:hAnsiTheme="majorHAnsi" w:cstheme="majorHAnsi"/>
        </w:rPr>
        <w:t xml:space="preserve">, were applied. In a cooperation between </w:t>
      </w:r>
      <w:proofErr w:type="spellStart"/>
      <w:r w:rsidRPr="00DE4CD2">
        <w:rPr>
          <w:rFonts w:asciiTheme="majorHAnsi" w:hAnsiTheme="majorHAnsi" w:cstheme="majorHAnsi"/>
        </w:rPr>
        <w:t>Politecnico</w:t>
      </w:r>
      <w:proofErr w:type="spellEnd"/>
      <w:r w:rsidRPr="00DE4CD2">
        <w:rPr>
          <w:rFonts w:asciiTheme="majorHAnsi" w:hAnsiTheme="majorHAnsi" w:cstheme="majorHAnsi"/>
        </w:rPr>
        <w:t xml:space="preserve"> di Milano and Fraunhofer ISI, the effect of Venture Capital (VC) financing on startup innovation indicated by trademarks is analysed. Earlier research primarily focused on patents. Recently, research on trademarks has gained momentum and has established that trademarks are a similarly important form of IP, which is related to brand creation and product innovation for startups (</w:t>
      </w:r>
      <w:proofErr w:type="spellStart"/>
      <w:r w:rsidRPr="00DE4CD2">
        <w:rPr>
          <w:rFonts w:asciiTheme="majorHAnsi" w:hAnsiTheme="majorHAnsi" w:cstheme="majorHAnsi"/>
        </w:rPr>
        <w:t>Flikkema</w:t>
      </w:r>
      <w:proofErr w:type="spellEnd"/>
      <w:r w:rsidRPr="00DE4CD2">
        <w:rPr>
          <w:rFonts w:asciiTheme="majorHAnsi" w:hAnsiTheme="majorHAnsi" w:cstheme="majorHAnsi"/>
        </w:rPr>
        <w:t xml:space="preserve"> et al., 2020). In this particular paper, the authors aim at disentangling the selection effect from the treatment effect of VC on startups’ trademark applications, combining the VICO firms (a sub-set of the </w:t>
      </w:r>
      <w:proofErr w:type="spellStart"/>
      <w:r w:rsidRPr="00DE4CD2">
        <w:rPr>
          <w:rFonts w:asciiTheme="majorHAnsi" w:hAnsiTheme="majorHAnsi" w:cstheme="majorHAnsi"/>
        </w:rPr>
        <w:t>FirmReg</w:t>
      </w:r>
      <w:proofErr w:type="spellEnd"/>
      <w:r w:rsidRPr="00DE4CD2">
        <w:rPr>
          <w:rFonts w:asciiTheme="majorHAnsi" w:hAnsiTheme="majorHAnsi" w:cstheme="majorHAnsi"/>
        </w:rPr>
        <w:t xml:space="preserve"> firms), on VC-backed startups in Europe and the ISI-Trademark Data Collection on trademarks, both developed within the RISIS2 Horizon 2020 project. </w:t>
      </w:r>
    </w:p>
    <w:p w14:paraId="2C4EF314" w14:textId="77777777" w:rsidR="00666865" w:rsidRPr="00DE4CD2" w:rsidRDefault="00666865" w:rsidP="006A1757">
      <w:pPr>
        <w:rPr>
          <w:rFonts w:asciiTheme="majorHAnsi" w:hAnsiTheme="majorHAnsi" w:cstheme="majorHAnsi"/>
        </w:rPr>
      </w:pPr>
    </w:p>
    <w:p w14:paraId="1426DACB" w14:textId="477D4864" w:rsidR="006A1757" w:rsidRPr="00DE4CD2" w:rsidRDefault="006A1757" w:rsidP="00666865">
      <w:pPr>
        <w:jc w:val="both"/>
        <w:rPr>
          <w:rFonts w:asciiTheme="majorHAnsi" w:hAnsiTheme="majorHAnsi" w:cstheme="majorHAnsi"/>
          <w:highlight w:val="yellow"/>
        </w:rPr>
      </w:pPr>
      <w:r w:rsidRPr="00DE4CD2">
        <w:rPr>
          <w:rFonts w:asciiTheme="majorHAnsi" w:hAnsiTheme="majorHAnsi" w:cstheme="majorHAnsi"/>
        </w:rPr>
        <w:t xml:space="preserve">In the paper, the authors compare a sample of VICO firms (who have and who have not filed trademarks) to a control group of non-VC backed “twins” collected from </w:t>
      </w:r>
      <w:proofErr w:type="spellStart"/>
      <w:r w:rsidRPr="00DE4CD2">
        <w:rPr>
          <w:rFonts w:asciiTheme="majorHAnsi" w:hAnsiTheme="majorHAnsi" w:cstheme="majorHAnsi"/>
        </w:rPr>
        <w:t>BvD</w:t>
      </w:r>
      <w:proofErr w:type="spellEnd"/>
      <w:r w:rsidRPr="00DE4CD2">
        <w:rPr>
          <w:rFonts w:asciiTheme="majorHAnsi" w:hAnsiTheme="majorHAnsi" w:cstheme="majorHAnsi"/>
        </w:rPr>
        <w:t xml:space="preserve"> Orbis database and matched using PSM methodology based on similar characteristics before the receipt of the first VC investment (e.g. size, age, industry, geographical area). On this basis, a set of regression models was estimated to find out whether VC affects a firm’s innovativeness as measured by different trademark indicators. </w:t>
      </w:r>
    </w:p>
    <w:p w14:paraId="31A458F1" w14:textId="77777777" w:rsidR="006A1757" w:rsidRPr="00DE4CD2" w:rsidRDefault="006A1757" w:rsidP="006A1757">
      <w:pPr>
        <w:rPr>
          <w:rFonts w:asciiTheme="majorHAnsi" w:hAnsiTheme="majorHAnsi" w:cstheme="majorHAnsi"/>
          <w:sz w:val="27"/>
          <w:szCs w:val="27"/>
        </w:rPr>
      </w:pPr>
    </w:p>
    <w:p w14:paraId="287B9956" w14:textId="5D3A0829" w:rsidR="004A00EB" w:rsidRPr="00DE4CD2" w:rsidRDefault="004A00EB" w:rsidP="004A00EB">
      <w:pPr>
        <w:pStyle w:val="berschrift3"/>
        <w:rPr>
          <w:rFonts w:asciiTheme="majorHAnsi" w:hAnsiTheme="majorHAnsi" w:cstheme="majorHAnsi"/>
          <w:color w:val="auto"/>
        </w:rPr>
      </w:pPr>
      <w:bookmarkStart w:id="13" w:name="_Toc153536125"/>
      <w:r w:rsidRPr="00DE4CD2">
        <w:rPr>
          <w:rFonts w:asciiTheme="majorHAnsi" w:hAnsiTheme="majorHAnsi" w:cstheme="majorHAnsi"/>
          <w:color w:val="auto"/>
        </w:rPr>
        <w:lastRenderedPageBreak/>
        <w:t>ESID</w:t>
      </w:r>
      <w:bookmarkEnd w:id="13"/>
    </w:p>
    <w:p w14:paraId="6C482415" w14:textId="77777777" w:rsidR="00FF0B92" w:rsidRPr="00DE4CD2" w:rsidRDefault="00FF0B92" w:rsidP="00FF0B92">
      <w:pPr>
        <w:rPr>
          <w:rFonts w:asciiTheme="majorHAnsi" w:hAnsiTheme="majorHAnsi" w:cstheme="majorHAnsi"/>
        </w:rPr>
      </w:pPr>
    </w:p>
    <w:p w14:paraId="5AADAB59" w14:textId="77777777" w:rsidR="00FC3526" w:rsidRPr="00DE4CD2" w:rsidRDefault="00FC3526" w:rsidP="00FC3526">
      <w:pPr>
        <w:spacing w:after="240"/>
        <w:rPr>
          <w:rFonts w:asciiTheme="majorHAnsi" w:hAnsiTheme="majorHAnsi" w:cstheme="majorHAnsi"/>
          <w:b/>
          <w:bCs/>
          <w:i/>
          <w:iCs/>
        </w:rPr>
      </w:pPr>
      <w:r w:rsidRPr="00DE4CD2">
        <w:rPr>
          <w:rFonts w:asciiTheme="majorHAnsi" w:hAnsiTheme="majorHAnsi" w:cstheme="majorHAnsi"/>
          <w:b/>
          <w:bCs/>
          <w:i/>
          <w:iCs/>
        </w:rPr>
        <w:t xml:space="preserve">Present State and value added </w:t>
      </w:r>
    </w:p>
    <w:p w14:paraId="3A9ACFDD" w14:textId="77777777" w:rsidR="00FC3526" w:rsidRPr="00DE4CD2" w:rsidRDefault="00FC3526" w:rsidP="00FC3526">
      <w:pPr>
        <w:pBdr>
          <w:top w:val="none" w:sz="0" w:space="0" w:color="auto"/>
          <w:left w:val="none" w:sz="0" w:space="0" w:color="auto"/>
          <w:bottom w:val="none" w:sz="0" w:space="0" w:color="auto"/>
          <w:right w:val="none" w:sz="0" w:space="0" w:color="auto"/>
          <w:between w:val="none" w:sz="0" w:space="0" w:color="auto"/>
        </w:pBdr>
        <w:jc w:val="both"/>
        <w:rPr>
          <w:rFonts w:asciiTheme="majorHAnsi" w:hAnsiTheme="majorHAnsi" w:cstheme="majorHAnsi"/>
        </w:rPr>
      </w:pPr>
      <w:r w:rsidRPr="00DE4CD2">
        <w:rPr>
          <w:rFonts w:asciiTheme="majorHAnsi" w:hAnsiTheme="majorHAnsi" w:cstheme="majorHAnsi"/>
        </w:rPr>
        <w:t xml:space="preserve">Social innovation has been gathering scholarly and policy-maker attention to become one of the trending areas in the study of innovation, with over 500 new articles per annum and exceptional attention from the European Commission. ESID is a comprehensive and authoritative source of information on social innovation projects and actors in Europe and beyond (for a definition and discussion the social innovation concept see </w:t>
      </w:r>
      <w:hyperlink r:id="rId35" w:history="1">
        <w:r w:rsidRPr="00DE4CD2">
          <w:rPr>
            <w:rFonts w:asciiTheme="majorHAnsi" w:hAnsiTheme="majorHAnsi" w:cstheme="majorHAnsi"/>
            <w:u w:val="single"/>
          </w:rPr>
          <w:t>https://zenodo.org/record/4605814</w:t>
        </w:r>
      </w:hyperlink>
      <w:r w:rsidRPr="00DE4CD2">
        <w:rPr>
          <w:rFonts w:asciiTheme="majorHAnsi" w:hAnsiTheme="majorHAnsi" w:cstheme="majorHAnsi"/>
        </w:rPr>
        <w:t xml:space="preserve">). It utilizes advanced machine learning and natural language processing techniques to collect information about social innovation projects and actors from the publicly available information on the web. ESID also uses some limited human annotation to train its machine learning models and to ensure the quality and the integrity of the data. </w:t>
      </w:r>
    </w:p>
    <w:p w14:paraId="60253683" w14:textId="77777777" w:rsidR="00FC3526" w:rsidRPr="00DE4CD2" w:rsidRDefault="00FC3526" w:rsidP="00FC3526">
      <w:pPr>
        <w:pBdr>
          <w:top w:val="none" w:sz="0" w:space="0" w:color="auto"/>
          <w:left w:val="none" w:sz="0" w:space="0" w:color="auto"/>
          <w:bottom w:val="none" w:sz="0" w:space="0" w:color="auto"/>
          <w:right w:val="none" w:sz="0" w:space="0" w:color="auto"/>
          <w:between w:val="none" w:sz="0" w:space="0" w:color="auto"/>
        </w:pBdr>
        <w:rPr>
          <w:rFonts w:asciiTheme="majorHAnsi" w:hAnsiTheme="majorHAnsi" w:cstheme="majorHAnsi"/>
        </w:rPr>
      </w:pPr>
    </w:p>
    <w:p w14:paraId="0EA928A5" w14:textId="77777777" w:rsidR="00FC3526" w:rsidRPr="00DE4CD2" w:rsidRDefault="00FC3526" w:rsidP="00FC3526">
      <w:pPr>
        <w:pBdr>
          <w:top w:val="none" w:sz="0" w:space="0" w:color="auto"/>
          <w:left w:val="none" w:sz="0" w:space="0" w:color="auto"/>
          <w:bottom w:val="none" w:sz="0" w:space="0" w:color="auto"/>
          <w:right w:val="none" w:sz="0" w:space="0" w:color="auto"/>
          <w:between w:val="none" w:sz="0" w:space="0" w:color="auto"/>
        </w:pBdr>
        <w:rPr>
          <w:rFonts w:asciiTheme="majorHAnsi" w:hAnsiTheme="majorHAnsi" w:cstheme="majorHAnsi"/>
        </w:rPr>
      </w:pPr>
      <w:r w:rsidRPr="00DE4CD2">
        <w:rPr>
          <w:rFonts w:asciiTheme="majorHAnsi" w:hAnsiTheme="majorHAnsi" w:cstheme="majorHAnsi"/>
        </w:rPr>
        <w:t>Currently ESID contains 12,795 projects from 185 countries. Some of these projects are "negative examples" (e.g. scoring 0 for all four criteria) required for machine learning models. Furthermore, some projects do not have complete information (e.g. location not identified as yet or topics not matched). This app shows 6,640 projects where we have rich information.</w:t>
      </w:r>
    </w:p>
    <w:p w14:paraId="0A88E862" w14:textId="77777777" w:rsidR="00FC3526" w:rsidRPr="00DE4CD2" w:rsidRDefault="00FC3526" w:rsidP="00FC3526">
      <w:pPr>
        <w:pBdr>
          <w:top w:val="none" w:sz="0" w:space="0" w:color="auto"/>
          <w:left w:val="none" w:sz="0" w:space="0" w:color="auto"/>
          <w:bottom w:val="none" w:sz="0" w:space="0" w:color="auto"/>
          <w:right w:val="none" w:sz="0" w:space="0" w:color="auto"/>
          <w:between w:val="none" w:sz="0" w:space="0" w:color="auto"/>
        </w:pBdr>
        <w:rPr>
          <w:rFonts w:asciiTheme="majorHAnsi" w:hAnsiTheme="majorHAnsi" w:cstheme="majorHAnsi"/>
        </w:rPr>
      </w:pPr>
    </w:p>
    <w:p w14:paraId="4147B20C" w14:textId="77777777" w:rsidR="00FC3526" w:rsidRPr="00DE4CD2" w:rsidRDefault="00FC3526" w:rsidP="00FC3526">
      <w:pPr>
        <w:pBdr>
          <w:top w:val="none" w:sz="0" w:space="0" w:color="auto"/>
          <w:left w:val="none" w:sz="0" w:space="0" w:color="auto"/>
          <w:bottom w:val="none" w:sz="0" w:space="0" w:color="auto"/>
          <w:right w:val="none" w:sz="0" w:space="0" w:color="auto"/>
          <w:between w:val="none" w:sz="0" w:space="0" w:color="auto"/>
        </w:pBdr>
        <w:jc w:val="both"/>
        <w:rPr>
          <w:rFonts w:asciiTheme="majorHAnsi" w:hAnsiTheme="majorHAnsi" w:cstheme="majorHAnsi"/>
        </w:rPr>
      </w:pPr>
      <w:r w:rsidRPr="00DE4CD2">
        <w:rPr>
          <w:rFonts w:asciiTheme="majorHAnsi" w:hAnsiTheme="majorHAnsi" w:cstheme="majorHAnsi"/>
        </w:rPr>
        <w:t xml:space="preserve">Full description of the method of and data contained in ESID has recently been published in a peer-reviewed article (see </w:t>
      </w:r>
      <w:hyperlink r:id="rId36" w:history="1">
        <w:r w:rsidRPr="00DE4CD2">
          <w:rPr>
            <w:rFonts w:asciiTheme="majorHAnsi" w:hAnsiTheme="majorHAnsi" w:cstheme="majorHAnsi"/>
            <w:u w:val="single"/>
          </w:rPr>
          <w:t>https://www.nature.com/articles/s41597-022-01818-0</w:t>
        </w:r>
      </w:hyperlink>
      <w:r w:rsidRPr="00DE4CD2">
        <w:rPr>
          <w:rFonts w:asciiTheme="majorHAnsi" w:hAnsiTheme="majorHAnsi" w:cstheme="majorHAnsi"/>
        </w:rPr>
        <w:t xml:space="preserve"> ). This article has attracted more than 5,000 views within one month of publication.</w:t>
      </w:r>
    </w:p>
    <w:p w14:paraId="768643E8" w14:textId="77777777" w:rsidR="00FC3526" w:rsidRPr="00DE4CD2" w:rsidRDefault="00FC3526" w:rsidP="00FC3526">
      <w:pPr>
        <w:rPr>
          <w:rFonts w:asciiTheme="majorHAnsi" w:hAnsiTheme="majorHAnsi" w:cstheme="majorHAnsi"/>
        </w:rPr>
      </w:pPr>
    </w:p>
    <w:p w14:paraId="17E81B69" w14:textId="77777777" w:rsidR="00FC3526" w:rsidRPr="00DE4CD2" w:rsidRDefault="00FC3526" w:rsidP="00FC3526">
      <w:pPr>
        <w:spacing w:after="240"/>
        <w:rPr>
          <w:rFonts w:asciiTheme="majorHAnsi" w:hAnsiTheme="majorHAnsi" w:cstheme="majorHAnsi"/>
          <w:b/>
          <w:bCs/>
          <w:i/>
          <w:iCs/>
        </w:rPr>
      </w:pPr>
      <w:r w:rsidRPr="00DE4CD2">
        <w:rPr>
          <w:rFonts w:asciiTheme="majorHAnsi" w:hAnsiTheme="majorHAnsi" w:cstheme="majorHAnsi"/>
          <w:b/>
          <w:bCs/>
          <w:i/>
          <w:iCs/>
        </w:rPr>
        <w:t>Main achievements</w:t>
      </w:r>
    </w:p>
    <w:p w14:paraId="73A32899" w14:textId="77777777" w:rsidR="00FC3526" w:rsidRPr="00DE4CD2" w:rsidRDefault="00FC3526" w:rsidP="00FC3526">
      <w:pPr>
        <w:rPr>
          <w:rFonts w:asciiTheme="majorHAnsi" w:hAnsiTheme="majorHAnsi" w:cstheme="majorHAnsi"/>
        </w:rPr>
      </w:pPr>
      <w:r w:rsidRPr="00DE4CD2">
        <w:rPr>
          <w:rFonts w:asciiTheme="majorHAnsi" w:hAnsiTheme="majorHAnsi" w:cstheme="majorHAnsi"/>
        </w:rPr>
        <w:t>ESID was initially developed as a protype dataset as part of the EU supported KNOWMAK project. As part of RISIS 2, ESID gained the following capabilities:</w:t>
      </w:r>
    </w:p>
    <w:p w14:paraId="55596C0B" w14:textId="77777777" w:rsidR="00FC3526" w:rsidRPr="00DE4CD2" w:rsidRDefault="00FC3526" w:rsidP="00FC3526">
      <w:pPr>
        <w:pStyle w:val="Listenabsatz"/>
        <w:numPr>
          <w:ilvl w:val="0"/>
          <w:numId w:val="31"/>
        </w:numPr>
        <w:jc w:val="both"/>
        <w:rPr>
          <w:rFonts w:asciiTheme="majorHAnsi" w:hAnsiTheme="majorHAnsi" w:cstheme="majorHAnsi"/>
        </w:rPr>
      </w:pPr>
      <w:r w:rsidRPr="00DE4CD2">
        <w:rPr>
          <w:rFonts w:asciiTheme="majorHAnsi" w:hAnsiTheme="majorHAnsi" w:cstheme="majorHAnsi"/>
        </w:rPr>
        <w:t>Substantial increase in number of observations: the number of social innovation projects increased from about two thousand to over 12,000. While maintaining a European focus, ESID now covers over 185 countries with EU accounting for about 40% of the data.</w:t>
      </w:r>
    </w:p>
    <w:p w14:paraId="6292C294" w14:textId="77777777" w:rsidR="00FC3526" w:rsidRPr="00DE4CD2" w:rsidRDefault="00FC3526" w:rsidP="00FC3526">
      <w:pPr>
        <w:pStyle w:val="Listenabsatz"/>
        <w:numPr>
          <w:ilvl w:val="0"/>
          <w:numId w:val="31"/>
        </w:numPr>
        <w:jc w:val="both"/>
        <w:rPr>
          <w:rFonts w:asciiTheme="majorHAnsi" w:hAnsiTheme="majorHAnsi" w:cstheme="majorHAnsi"/>
        </w:rPr>
      </w:pPr>
      <w:r w:rsidRPr="00DE4CD2">
        <w:rPr>
          <w:rFonts w:asciiTheme="majorHAnsi" w:hAnsiTheme="majorHAnsi" w:cstheme="majorHAnsi"/>
        </w:rPr>
        <w:t>Rich information: Thanks to advanced machine learning and natural language processing capabilities, ESID now has rich and precise information on the social innovation orientations, locations, topics and actors related to social innovation projects.</w:t>
      </w:r>
    </w:p>
    <w:p w14:paraId="333F86C7" w14:textId="77777777" w:rsidR="00FC3526" w:rsidRPr="00DE4CD2" w:rsidRDefault="00FC3526" w:rsidP="00FC3526">
      <w:pPr>
        <w:rPr>
          <w:rFonts w:asciiTheme="majorHAnsi" w:hAnsiTheme="majorHAnsi" w:cstheme="majorHAnsi"/>
        </w:rPr>
      </w:pPr>
    </w:p>
    <w:p w14:paraId="2722400F" w14:textId="77777777" w:rsidR="00FC3526" w:rsidRPr="00DE4CD2" w:rsidRDefault="00FC3526" w:rsidP="00FC3526">
      <w:pPr>
        <w:jc w:val="both"/>
        <w:rPr>
          <w:rFonts w:asciiTheme="majorHAnsi" w:hAnsiTheme="majorHAnsi" w:cstheme="majorHAnsi"/>
        </w:rPr>
      </w:pPr>
      <w:r w:rsidRPr="00DE4CD2">
        <w:rPr>
          <w:rFonts w:asciiTheme="majorHAnsi" w:hAnsiTheme="majorHAnsi" w:cstheme="majorHAnsi"/>
        </w:rPr>
        <w:t xml:space="preserve">Also thanks to RISIS 2 funding, ESID produced an interface for scholar and policy-makers use located at: </w:t>
      </w:r>
      <w:hyperlink r:id="rId37" w:history="1">
        <w:r w:rsidRPr="00DE4CD2">
          <w:rPr>
            <w:rStyle w:val="Hyperlink"/>
            <w:rFonts w:asciiTheme="majorHAnsi" w:hAnsiTheme="majorHAnsi" w:cstheme="majorHAnsi"/>
            <w:color w:val="auto"/>
          </w:rPr>
          <w:t>https://bit.ly/ESIDapp</w:t>
        </w:r>
      </w:hyperlink>
      <w:r w:rsidRPr="00DE4CD2">
        <w:rPr>
          <w:rFonts w:asciiTheme="majorHAnsi" w:hAnsiTheme="majorHAnsi" w:cstheme="majorHAnsi"/>
        </w:rPr>
        <w:t xml:space="preserve"> This dashboard presents the complex and multidimensional data contained in ESID in a simple and </w:t>
      </w:r>
      <w:proofErr w:type="spellStart"/>
      <w:r w:rsidRPr="00DE4CD2">
        <w:rPr>
          <w:rFonts w:asciiTheme="majorHAnsi" w:hAnsiTheme="majorHAnsi" w:cstheme="majorHAnsi"/>
        </w:rPr>
        <w:t>understable</w:t>
      </w:r>
      <w:proofErr w:type="spellEnd"/>
      <w:r w:rsidRPr="00DE4CD2">
        <w:rPr>
          <w:rFonts w:asciiTheme="majorHAnsi" w:hAnsiTheme="majorHAnsi" w:cstheme="majorHAnsi"/>
        </w:rPr>
        <w:t xml:space="preserve"> way. This enables users to explore the data before committing to a costly analysis stage. Users can also browse the underlying data with this interface.</w:t>
      </w:r>
    </w:p>
    <w:p w14:paraId="68004907" w14:textId="77777777" w:rsidR="00FC3526" w:rsidRPr="00DE4CD2" w:rsidRDefault="00FC3526" w:rsidP="00FC3526">
      <w:pPr>
        <w:jc w:val="both"/>
        <w:rPr>
          <w:rFonts w:asciiTheme="majorHAnsi" w:hAnsiTheme="majorHAnsi" w:cstheme="majorHAnsi"/>
        </w:rPr>
      </w:pPr>
    </w:p>
    <w:p w14:paraId="6DFE799E" w14:textId="7EE57039" w:rsidR="00FC3526" w:rsidRPr="00DE4CD2" w:rsidRDefault="00FC3526" w:rsidP="00FC3526">
      <w:pPr>
        <w:jc w:val="both"/>
        <w:rPr>
          <w:rFonts w:asciiTheme="majorHAnsi" w:hAnsiTheme="majorHAnsi" w:cstheme="majorHAnsi"/>
        </w:rPr>
      </w:pPr>
      <w:r w:rsidRPr="00DE4CD2">
        <w:rPr>
          <w:rFonts w:asciiTheme="majorHAnsi" w:hAnsiTheme="majorHAnsi" w:cstheme="majorHAnsi"/>
        </w:rPr>
        <w:t xml:space="preserve">The ESID dashboard launched in November 2022 in its current form and since then there has been 1,352 unique users and 2,142 sessions from all across the world. A map of the users of the dashboard as well as top countries are presented in </w:t>
      </w:r>
      <w:r w:rsidRPr="00DE4CD2">
        <w:rPr>
          <w:rFonts w:asciiTheme="majorHAnsi" w:hAnsiTheme="majorHAnsi" w:cstheme="majorHAnsi"/>
        </w:rPr>
        <w:fldChar w:fldCharType="begin"/>
      </w:r>
      <w:r w:rsidRPr="00DE4CD2">
        <w:rPr>
          <w:rFonts w:asciiTheme="majorHAnsi" w:hAnsiTheme="majorHAnsi" w:cstheme="majorHAnsi"/>
        </w:rPr>
        <w:instrText xml:space="preserve"> REF _Ref153979782 \h  \* MERGEFORMAT </w:instrText>
      </w:r>
      <w:r w:rsidRPr="00DE4CD2">
        <w:rPr>
          <w:rFonts w:asciiTheme="majorHAnsi" w:hAnsiTheme="majorHAnsi" w:cstheme="majorHAnsi"/>
        </w:rPr>
      </w:r>
      <w:r w:rsidRPr="00DE4CD2">
        <w:rPr>
          <w:rFonts w:asciiTheme="majorHAnsi" w:hAnsiTheme="majorHAnsi" w:cstheme="majorHAnsi"/>
        </w:rPr>
        <w:fldChar w:fldCharType="separate"/>
      </w:r>
      <w:r w:rsidRPr="00DE4CD2">
        <w:rPr>
          <w:rFonts w:asciiTheme="majorHAnsi" w:hAnsiTheme="majorHAnsi" w:cstheme="majorHAnsi"/>
        </w:rPr>
        <w:t xml:space="preserve">Figure </w:t>
      </w:r>
      <w:r w:rsidR="00CD3EBC" w:rsidRPr="00DE4CD2">
        <w:rPr>
          <w:rFonts w:asciiTheme="majorHAnsi" w:hAnsiTheme="majorHAnsi" w:cstheme="majorHAnsi"/>
          <w:noProof/>
        </w:rPr>
        <w:t>15</w:t>
      </w:r>
      <w:r w:rsidRPr="00DE4CD2">
        <w:rPr>
          <w:rFonts w:asciiTheme="majorHAnsi" w:hAnsiTheme="majorHAnsi" w:cstheme="majorHAnsi"/>
        </w:rPr>
        <w:fldChar w:fldCharType="end"/>
      </w:r>
      <w:r w:rsidRPr="00DE4CD2">
        <w:rPr>
          <w:rFonts w:asciiTheme="majorHAnsi" w:hAnsiTheme="majorHAnsi" w:cstheme="majorHAnsi"/>
        </w:rPr>
        <w:t xml:space="preserve">. </w:t>
      </w:r>
    </w:p>
    <w:p w14:paraId="568C87B3" w14:textId="77777777" w:rsidR="00FC3526" w:rsidRPr="00DE4CD2" w:rsidRDefault="00FC3526" w:rsidP="00FC3526">
      <w:pPr>
        <w:rPr>
          <w:rFonts w:asciiTheme="majorHAnsi" w:hAnsiTheme="majorHAnsi" w:cstheme="majorHAnsi"/>
        </w:rPr>
      </w:pPr>
    </w:p>
    <w:p w14:paraId="683ECE0B" w14:textId="77777777" w:rsidR="00FC3526" w:rsidRPr="00DE4CD2" w:rsidRDefault="00FC3526" w:rsidP="00FC3526">
      <w:pPr>
        <w:rPr>
          <w:rFonts w:asciiTheme="majorHAnsi" w:hAnsiTheme="majorHAnsi" w:cstheme="majorHAnsi"/>
        </w:rPr>
      </w:pPr>
    </w:p>
    <w:p w14:paraId="4C736B0A" w14:textId="63D19F46" w:rsidR="00FC3526" w:rsidRPr="00DE4CD2" w:rsidRDefault="00FC3526" w:rsidP="00FC3526">
      <w:pPr>
        <w:pStyle w:val="Beschriftung"/>
        <w:keepNext/>
        <w:rPr>
          <w:rFonts w:asciiTheme="majorHAnsi" w:eastAsiaTheme="minorHAnsi" w:hAnsiTheme="majorHAnsi" w:cstheme="majorHAnsi"/>
          <w:color w:val="auto"/>
          <w:sz w:val="24"/>
          <w:szCs w:val="24"/>
          <w:lang w:val="en-US" w:eastAsia="en-US"/>
        </w:rPr>
      </w:pPr>
      <w:bookmarkStart w:id="14" w:name="_Ref153979782"/>
      <w:r w:rsidRPr="00DE4CD2">
        <w:rPr>
          <w:rFonts w:asciiTheme="majorHAnsi" w:eastAsiaTheme="minorHAnsi" w:hAnsiTheme="majorHAnsi" w:cstheme="majorHAnsi"/>
          <w:color w:val="auto"/>
          <w:sz w:val="24"/>
          <w:szCs w:val="24"/>
          <w:lang w:val="en-US" w:eastAsia="en-US"/>
        </w:rPr>
        <w:lastRenderedPageBreak/>
        <w:t>Figure</w:t>
      </w:r>
      <w:bookmarkEnd w:id="14"/>
      <w:r w:rsidRPr="00DE4CD2">
        <w:rPr>
          <w:rFonts w:asciiTheme="majorHAnsi" w:eastAsiaTheme="minorHAnsi" w:hAnsiTheme="majorHAnsi" w:cstheme="majorHAnsi"/>
          <w:color w:val="auto"/>
          <w:sz w:val="24"/>
          <w:szCs w:val="24"/>
          <w:lang w:val="en-US" w:eastAsia="en-US"/>
        </w:rPr>
        <w:t xml:space="preserve"> 15: ESID Dashboard User Geographical Distribution</w:t>
      </w:r>
    </w:p>
    <w:p w14:paraId="02DE3FD2" w14:textId="77777777" w:rsidR="00FC3526" w:rsidRPr="00DE4CD2" w:rsidRDefault="00FC3526" w:rsidP="00FC3526">
      <w:pPr>
        <w:rPr>
          <w:rFonts w:asciiTheme="majorHAnsi" w:hAnsiTheme="majorHAnsi" w:cstheme="majorHAnsi"/>
        </w:rPr>
      </w:pPr>
      <w:r w:rsidRPr="00DE4CD2">
        <w:rPr>
          <w:rFonts w:asciiTheme="majorHAnsi" w:hAnsiTheme="majorHAnsi" w:cstheme="majorHAnsi"/>
          <w:noProof/>
        </w:rPr>
        <w:drawing>
          <wp:inline distT="0" distB="0" distL="0" distR="0" wp14:anchorId="454D4A45" wp14:editId="4127117B">
            <wp:extent cx="6116320" cy="2505075"/>
            <wp:effectExtent l="0" t="0" r="0" b="9525"/>
            <wp:docPr id="1871418840" name="Picture 1" descr="A map of the wor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418840" name="Picture 1" descr="A map of the world&#10;&#10;Description automatically generated"/>
                    <pic:cNvPicPr/>
                  </pic:nvPicPr>
                  <pic:blipFill>
                    <a:blip r:embed="rId38"/>
                    <a:stretch>
                      <a:fillRect/>
                    </a:stretch>
                  </pic:blipFill>
                  <pic:spPr>
                    <a:xfrm>
                      <a:off x="0" y="0"/>
                      <a:ext cx="6116320" cy="2505075"/>
                    </a:xfrm>
                    <a:prstGeom prst="rect">
                      <a:avLst/>
                    </a:prstGeom>
                  </pic:spPr>
                </pic:pic>
              </a:graphicData>
            </a:graphic>
          </wp:inline>
        </w:drawing>
      </w:r>
    </w:p>
    <w:p w14:paraId="2342FEF5" w14:textId="77777777" w:rsidR="00FC3526" w:rsidRPr="00DE4CD2" w:rsidRDefault="00FC3526" w:rsidP="00FC3526">
      <w:pPr>
        <w:rPr>
          <w:rFonts w:asciiTheme="majorHAnsi" w:hAnsiTheme="majorHAnsi" w:cstheme="majorHAnsi"/>
        </w:rPr>
      </w:pPr>
    </w:p>
    <w:p w14:paraId="5C3BC22A" w14:textId="430F4A1F" w:rsidR="00FC3526" w:rsidRPr="00DE4CD2" w:rsidRDefault="00FC3526" w:rsidP="00FC3526">
      <w:pPr>
        <w:rPr>
          <w:rFonts w:asciiTheme="majorHAnsi" w:hAnsiTheme="majorHAnsi" w:cstheme="majorHAnsi"/>
        </w:rPr>
      </w:pPr>
      <w:r w:rsidRPr="00DE4CD2">
        <w:rPr>
          <w:rFonts w:asciiTheme="majorHAnsi" w:hAnsiTheme="majorHAnsi" w:cstheme="majorHAnsi"/>
        </w:rPr>
        <w:t xml:space="preserve">We also organised a policy-maker workshop (details: </w:t>
      </w:r>
      <w:hyperlink r:id="rId39" w:history="1">
        <w:r w:rsidRPr="00DE4CD2">
          <w:rPr>
            <w:rStyle w:val="Hyperlink"/>
            <w:rFonts w:asciiTheme="majorHAnsi" w:hAnsiTheme="majorHAnsi" w:cstheme="majorHAnsi"/>
            <w:color w:val="auto"/>
          </w:rPr>
          <w:t>https://zenodo.org/records/5772776</w:t>
        </w:r>
      </w:hyperlink>
      <w:r w:rsidRPr="00DE4CD2">
        <w:rPr>
          <w:rFonts w:asciiTheme="majorHAnsi" w:hAnsiTheme="majorHAnsi" w:cstheme="majorHAnsi"/>
        </w:rPr>
        <w:t>) with an accompanying policy brief (details: https://zenodo.org/records/5733280). This online workshop held in November 2021 attracted policy-makers, practitioners and scholars from across the world.</w:t>
      </w:r>
    </w:p>
    <w:p w14:paraId="7B94A8D6" w14:textId="77777777" w:rsidR="00FC3526" w:rsidRPr="00DE4CD2" w:rsidRDefault="00FC3526" w:rsidP="00FC3526">
      <w:pPr>
        <w:rPr>
          <w:rFonts w:asciiTheme="majorHAnsi" w:hAnsiTheme="majorHAnsi" w:cstheme="majorHAnsi"/>
        </w:rPr>
      </w:pPr>
    </w:p>
    <w:p w14:paraId="111E02F2" w14:textId="77777777" w:rsidR="00FC3526" w:rsidRPr="00DE4CD2" w:rsidRDefault="00FC3526" w:rsidP="00FC3526">
      <w:pPr>
        <w:rPr>
          <w:rFonts w:asciiTheme="majorHAnsi" w:hAnsiTheme="majorHAnsi" w:cstheme="majorHAnsi"/>
        </w:rPr>
      </w:pPr>
      <w:r w:rsidRPr="00DE4CD2">
        <w:rPr>
          <w:rFonts w:asciiTheme="majorHAnsi" w:hAnsiTheme="majorHAnsi" w:cstheme="majorHAnsi"/>
        </w:rPr>
        <w:t>Finally, the development of ESID created significant methodological knowledge on processing web site text in studying innovation. This knowledge has been presented in various published research articles (details below) as well as the fully open ESID source code presented in GitHub (</w:t>
      </w:r>
      <w:hyperlink r:id="rId40" w:history="1">
        <w:r w:rsidRPr="00DE4CD2">
          <w:rPr>
            <w:rStyle w:val="Hyperlink"/>
            <w:rFonts w:asciiTheme="majorHAnsi" w:hAnsiTheme="majorHAnsi" w:cstheme="majorHAnsi"/>
            <w:color w:val="auto"/>
          </w:rPr>
          <w:t>https://github.com/EuropeanSocialInnovationDatabase/ESID_v2.5</w:t>
        </w:r>
      </w:hyperlink>
      <w:r w:rsidRPr="00DE4CD2">
        <w:rPr>
          <w:rFonts w:asciiTheme="majorHAnsi" w:hAnsiTheme="majorHAnsi" w:cstheme="majorHAnsi"/>
        </w:rPr>
        <w:t xml:space="preserve">) </w:t>
      </w:r>
    </w:p>
    <w:p w14:paraId="4763B24A" w14:textId="77777777" w:rsidR="00FC3526" w:rsidRPr="00DE4CD2" w:rsidRDefault="00FC3526" w:rsidP="00FC3526">
      <w:pPr>
        <w:rPr>
          <w:rFonts w:asciiTheme="majorHAnsi" w:hAnsiTheme="majorHAnsi" w:cstheme="majorHAnsi"/>
        </w:rPr>
      </w:pPr>
    </w:p>
    <w:p w14:paraId="75FA9F13" w14:textId="77777777" w:rsidR="00FC3526" w:rsidRPr="00DE4CD2" w:rsidRDefault="00FC3526" w:rsidP="00FC3526">
      <w:pPr>
        <w:spacing w:after="240"/>
        <w:jc w:val="both"/>
        <w:rPr>
          <w:rFonts w:asciiTheme="majorHAnsi" w:hAnsiTheme="majorHAnsi" w:cstheme="majorHAnsi"/>
          <w:b/>
          <w:bCs/>
          <w:i/>
          <w:iCs/>
        </w:rPr>
      </w:pPr>
      <w:r w:rsidRPr="00DE4CD2">
        <w:rPr>
          <w:rFonts w:asciiTheme="majorHAnsi" w:hAnsiTheme="majorHAnsi" w:cstheme="majorHAnsi"/>
          <w:b/>
          <w:bCs/>
          <w:i/>
          <w:iCs/>
        </w:rPr>
        <w:t>Description of use</w:t>
      </w:r>
    </w:p>
    <w:p w14:paraId="7A6FE331" w14:textId="6400A0C8" w:rsidR="00FC3526" w:rsidRPr="00DE4CD2" w:rsidRDefault="00FC3526" w:rsidP="00FC3526">
      <w:pPr>
        <w:pBdr>
          <w:top w:val="none" w:sz="0" w:space="0" w:color="auto"/>
          <w:left w:val="none" w:sz="0" w:space="0" w:color="auto"/>
          <w:bottom w:val="none" w:sz="0" w:space="0" w:color="auto"/>
          <w:right w:val="none" w:sz="0" w:space="0" w:color="auto"/>
          <w:between w:val="none" w:sz="0" w:space="0" w:color="auto"/>
        </w:pBdr>
        <w:rPr>
          <w:rFonts w:asciiTheme="majorHAnsi" w:hAnsiTheme="majorHAnsi" w:cstheme="majorHAnsi"/>
        </w:rPr>
      </w:pPr>
      <w:r w:rsidRPr="00DE4CD2">
        <w:rPr>
          <w:rFonts w:asciiTheme="majorHAnsi" w:hAnsiTheme="majorHAnsi" w:cstheme="majorHAnsi"/>
        </w:rPr>
        <w:t xml:space="preserve">ESID was opened in 2021 as a new dataset. In November 2021 we released ESID v2.0. Despite its recent history, ESID has attracted significant interest demonstrated by 28 access requests in the RISIS datasets portal (target was 30 until the end of the project). This makes ESID one of the most used datasets in RISIS portfolio. A list of access requests is given in the RISIS report on access. </w:t>
      </w:r>
    </w:p>
    <w:p w14:paraId="0D256B64" w14:textId="77777777" w:rsidR="00FC3526" w:rsidRPr="00DE4CD2" w:rsidRDefault="00FC3526" w:rsidP="00FC3526">
      <w:pPr>
        <w:pBdr>
          <w:top w:val="none" w:sz="0" w:space="0" w:color="auto"/>
          <w:left w:val="none" w:sz="0" w:space="0" w:color="auto"/>
          <w:bottom w:val="none" w:sz="0" w:space="0" w:color="auto"/>
          <w:right w:val="none" w:sz="0" w:space="0" w:color="auto"/>
          <w:between w:val="none" w:sz="0" w:space="0" w:color="auto"/>
        </w:pBdr>
        <w:rPr>
          <w:rFonts w:asciiTheme="majorHAnsi" w:hAnsiTheme="majorHAnsi" w:cstheme="majorHAnsi"/>
        </w:rPr>
      </w:pPr>
    </w:p>
    <w:p w14:paraId="429D9CDD" w14:textId="316BBC59" w:rsidR="00FC3526" w:rsidRPr="00DE4CD2" w:rsidRDefault="00FC3526" w:rsidP="00FC3526">
      <w:pPr>
        <w:pBdr>
          <w:top w:val="none" w:sz="0" w:space="0" w:color="auto"/>
          <w:left w:val="none" w:sz="0" w:space="0" w:color="auto"/>
          <w:bottom w:val="none" w:sz="0" w:space="0" w:color="auto"/>
          <w:right w:val="none" w:sz="0" w:space="0" w:color="auto"/>
          <w:between w:val="none" w:sz="0" w:space="0" w:color="auto"/>
        </w:pBdr>
        <w:rPr>
          <w:rFonts w:asciiTheme="majorHAnsi" w:hAnsiTheme="majorHAnsi" w:cstheme="majorHAnsi"/>
        </w:rPr>
      </w:pPr>
      <w:r w:rsidRPr="00DE4CD2">
        <w:rPr>
          <w:rFonts w:asciiTheme="majorHAnsi" w:hAnsiTheme="majorHAnsi" w:cstheme="majorHAnsi"/>
        </w:rPr>
        <w:t>Usage cases addressed by researchers include a variety of topics, such as</w:t>
      </w:r>
    </w:p>
    <w:p w14:paraId="3397B1B0" w14:textId="77777777" w:rsidR="00FC3526" w:rsidRPr="00DE4CD2" w:rsidRDefault="00FC3526" w:rsidP="00FC3526">
      <w:pPr>
        <w:pBdr>
          <w:top w:val="none" w:sz="0" w:space="0" w:color="auto"/>
          <w:left w:val="none" w:sz="0" w:space="0" w:color="auto"/>
          <w:bottom w:val="none" w:sz="0" w:space="0" w:color="auto"/>
          <w:right w:val="none" w:sz="0" w:space="0" w:color="auto"/>
          <w:between w:val="none" w:sz="0" w:space="0" w:color="auto"/>
        </w:pBdr>
        <w:rPr>
          <w:rFonts w:asciiTheme="majorHAnsi" w:hAnsiTheme="majorHAnsi" w:cstheme="majorHAnsi"/>
        </w:rPr>
      </w:pPr>
    </w:p>
    <w:p w14:paraId="5D8879E3" w14:textId="77777777" w:rsidR="00FC3526" w:rsidRPr="00DE4CD2" w:rsidRDefault="00FC3526" w:rsidP="00FC3526">
      <w:pPr>
        <w:pStyle w:val="Listenabsatz"/>
        <w:numPr>
          <w:ilvl w:val="0"/>
          <w:numId w:val="30"/>
        </w:numPr>
        <w:pBdr>
          <w:top w:val="none" w:sz="0" w:space="0" w:color="auto"/>
          <w:left w:val="none" w:sz="0" w:space="0" w:color="auto"/>
          <w:bottom w:val="none" w:sz="0" w:space="0" w:color="auto"/>
          <w:right w:val="none" w:sz="0" w:space="0" w:color="auto"/>
          <w:between w:val="none" w:sz="0" w:space="0" w:color="auto"/>
        </w:pBdr>
        <w:rPr>
          <w:rFonts w:asciiTheme="majorHAnsi" w:hAnsiTheme="majorHAnsi" w:cstheme="majorHAnsi"/>
        </w:rPr>
      </w:pPr>
      <w:r w:rsidRPr="00DE4CD2">
        <w:rPr>
          <w:rFonts w:asciiTheme="majorHAnsi" w:hAnsiTheme="majorHAnsi" w:cstheme="majorHAnsi"/>
        </w:rPr>
        <w:t xml:space="preserve">Further advancements and contributions to the conceptualization of social innovation, exemplified by empirically observing social innovation activities in specific sectors or territories. </w:t>
      </w:r>
    </w:p>
    <w:p w14:paraId="57B8E835" w14:textId="77777777" w:rsidR="00FC3526" w:rsidRPr="00DE4CD2" w:rsidRDefault="00FC3526" w:rsidP="00FC3526">
      <w:pPr>
        <w:pStyle w:val="Listenabsatz"/>
        <w:numPr>
          <w:ilvl w:val="0"/>
          <w:numId w:val="30"/>
        </w:numPr>
        <w:pBdr>
          <w:top w:val="none" w:sz="0" w:space="0" w:color="auto"/>
          <w:left w:val="none" w:sz="0" w:space="0" w:color="auto"/>
          <w:bottom w:val="none" w:sz="0" w:space="0" w:color="auto"/>
          <w:right w:val="none" w:sz="0" w:space="0" w:color="auto"/>
          <w:between w:val="none" w:sz="0" w:space="0" w:color="auto"/>
        </w:pBdr>
        <w:spacing w:before="120"/>
        <w:ind w:left="714" w:hanging="357"/>
        <w:contextualSpacing w:val="0"/>
        <w:rPr>
          <w:rFonts w:asciiTheme="majorHAnsi" w:hAnsiTheme="majorHAnsi" w:cstheme="majorHAnsi"/>
        </w:rPr>
      </w:pPr>
      <w:r w:rsidRPr="00DE4CD2">
        <w:rPr>
          <w:rFonts w:asciiTheme="majorHAnsi" w:hAnsiTheme="majorHAnsi" w:cstheme="majorHAnsi"/>
          <w:sz w:val="22"/>
          <w:szCs w:val="22"/>
          <w:lang w:eastAsia="en-GB"/>
        </w:rPr>
        <w:t>The relationship between social innovation and – broadly speaking – economic structural change, productivity growth, inequality and entrepreneurship (e.g. social startups)</w:t>
      </w:r>
    </w:p>
    <w:p w14:paraId="6BB124EC" w14:textId="77777777" w:rsidR="00FC3526" w:rsidRPr="00DE4CD2" w:rsidRDefault="00FC3526" w:rsidP="00FC3526">
      <w:pPr>
        <w:pStyle w:val="Listenabsatz"/>
        <w:numPr>
          <w:ilvl w:val="0"/>
          <w:numId w:val="30"/>
        </w:numPr>
        <w:pBdr>
          <w:top w:val="none" w:sz="0" w:space="0" w:color="auto"/>
          <w:left w:val="none" w:sz="0" w:space="0" w:color="auto"/>
          <w:bottom w:val="none" w:sz="0" w:space="0" w:color="auto"/>
          <w:right w:val="none" w:sz="0" w:space="0" w:color="auto"/>
          <w:between w:val="none" w:sz="0" w:space="0" w:color="auto"/>
        </w:pBdr>
        <w:spacing w:before="120"/>
        <w:ind w:left="714" w:hanging="357"/>
        <w:contextualSpacing w:val="0"/>
        <w:rPr>
          <w:rFonts w:asciiTheme="majorHAnsi" w:hAnsiTheme="majorHAnsi" w:cstheme="majorHAnsi"/>
        </w:rPr>
      </w:pPr>
      <w:r w:rsidRPr="00DE4CD2">
        <w:rPr>
          <w:rFonts w:asciiTheme="majorHAnsi" w:hAnsiTheme="majorHAnsi" w:cstheme="majorHAnsi"/>
          <w:sz w:val="22"/>
          <w:szCs w:val="22"/>
          <w:lang w:eastAsia="en-GB"/>
        </w:rPr>
        <w:t xml:space="preserve">Social innovation as an important concept for designing and implementing co-creation arrangements in research and innovation processes, in particular in terms of collaboration between the public and </w:t>
      </w:r>
      <w:proofErr w:type="spellStart"/>
      <w:r w:rsidRPr="00DE4CD2">
        <w:rPr>
          <w:rFonts w:asciiTheme="majorHAnsi" w:hAnsiTheme="majorHAnsi" w:cstheme="majorHAnsi"/>
          <w:sz w:val="22"/>
          <w:szCs w:val="22"/>
          <w:lang w:eastAsia="en-GB"/>
        </w:rPr>
        <w:t>nonprofit</w:t>
      </w:r>
      <w:proofErr w:type="spellEnd"/>
      <w:r w:rsidRPr="00DE4CD2">
        <w:rPr>
          <w:rFonts w:asciiTheme="majorHAnsi" w:hAnsiTheme="majorHAnsi" w:cstheme="majorHAnsi"/>
          <w:sz w:val="22"/>
          <w:szCs w:val="22"/>
          <w:lang w:eastAsia="en-GB"/>
        </w:rPr>
        <w:t xml:space="preserve"> sectors</w:t>
      </w:r>
    </w:p>
    <w:p w14:paraId="05E2729D" w14:textId="77777777" w:rsidR="00FC3526" w:rsidRPr="00DE4CD2" w:rsidRDefault="00FC3526" w:rsidP="00FC3526">
      <w:pPr>
        <w:pStyle w:val="Listenabsatz"/>
        <w:numPr>
          <w:ilvl w:val="0"/>
          <w:numId w:val="30"/>
        </w:numPr>
        <w:pBdr>
          <w:top w:val="none" w:sz="0" w:space="0" w:color="auto"/>
          <w:left w:val="none" w:sz="0" w:space="0" w:color="auto"/>
          <w:bottom w:val="none" w:sz="0" w:space="0" w:color="auto"/>
          <w:right w:val="none" w:sz="0" w:space="0" w:color="auto"/>
          <w:between w:val="none" w:sz="0" w:space="0" w:color="auto"/>
        </w:pBdr>
        <w:spacing w:before="120"/>
        <w:ind w:left="714" w:hanging="357"/>
        <w:contextualSpacing w:val="0"/>
        <w:rPr>
          <w:rFonts w:asciiTheme="majorHAnsi" w:hAnsiTheme="majorHAnsi" w:cstheme="majorHAnsi"/>
        </w:rPr>
      </w:pPr>
      <w:r w:rsidRPr="00DE4CD2">
        <w:rPr>
          <w:rFonts w:asciiTheme="majorHAnsi" w:hAnsiTheme="majorHAnsi" w:cstheme="majorHAnsi"/>
          <w:sz w:val="22"/>
          <w:szCs w:val="22"/>
          <w:lang w:eastAsia="en-GB"/>
        </w:rPr>
        <w:t xml:space="preserve">Social innovation in multinational enterprises as specifically important channel for the diffusion of social innovation concepts </w:t>
      </w:r>
    </w:p>
    <w:p w14:paraId="5B53B4B2" w14:textId="77777777" w:rsidR="00FC3526" w:rsidRPr="00DE4CD2" w:rsidRDefault="00FC3526" w:rsidP="00FC3526">
      <w:pPr>
        <w:pStyle w:val="Listenabsatz"/>
        <w:numPr>
          <w:ilvl w:val="0"/>
          <w:numId w:val="30"/>
        </w:numPr>
        <w:pBdr>
          <w:top w:val="none" w:sz="0" w:space="0" w:color="auto"/>
          <w:left w:val="none" w:sz="0" w:space="0" w:color="auto"/>
          <w:bottom w:val="none" w:sz="0" w:space="0" w:color="auto"/>
          <w:right w:val="none" w:sz="0" w:space="0" w:color="auto"/>
          <w:between w:val="none" w:sz="0" w:space="0" w:color="auto"/>
        </w:pBdr>
        <w:spacing w:before="120"/>
        <w:ind w:left="714" w:hanging="357"/>
        <w:contextualSpacing w:val="0"/>
        <w:rPr>
          <w:rFonts w:asciiTheme="majorHAnsi" w:hAnsiTheme="majorHAnsi" w:cstheme="majorHAnsi"/>
        </w:rPr>
      </w:pPr>
      <w:r w:rsidRPr="00DE4CD2">
        <w:rPr>
          <w:rFonts w:asciiTheme="majorHAnsi" w:hAnsiTheme="majorHAnsi" w:cstheme="majorHAnsi"/>
          <w:sz w:val="22"/>
          <w:szCs w:val="22"/>
          <w:lang w:eastAsia="en-GB"/>
        </w:rPr>
        <w:lastRenderedPageBreak/>
        <w:t>Social innovation as central element of responsible, research and innovation (RRI) policies and their implementation at different levels</w:t>
      </w:r>
    </w:p>
    <w:p w14:paraId="3547EB54" w14:textId="77777777" w:rsidR="00FC3526" w:rsidRPr="00DE4CD2" w:rsidRDefault="00FC3526" w:rsidP="00FC3526">
      <w:pPr>
        <w:pStyle w:val="Listenabsatz"/>
        <w:numPr>
          <w:ilvl w:val="0"/>
          <w:numId w:val="30"/>
        </w:numPr>
        <w:pBdr>
          <w:top w:val="none" w:sz="0" w:space="0" w:color="auto"/>
          <w:left w:val="none" w:sz="0" w:space="0" w:color="auto"/>
          <w:bottom w:val="none" w:sz="0" w:space="0" w:color="auto"/>
          <w:right w:val="none" w:sz="0" w:space="0" w:color="auto"/>
          <w:between w:val="none" w:sz="0" w:space="0" w:color="auto"/>
        </w:pBdr>
        <w:spacing w:before="120"/>
        <w:ind w:left="714" w:hanging="357"/>
        <w:contextualSpacing w:val="0"/>
        <w:rPr>
          <w:rFonts w:asciiTheme="majorHAnsi" w:hAnsiTheme="majorHAnsi" w:cstheme="majorHAnsi"/>
        </w:rPr>
      </w:pPr>
      <w:r w:rsidRPr="00DE4CD2">
        <w:rPr>
          <w:rFonts w:asciiTheme="majorHAnsi" w:hAnsiTheme="majorHAnsi" w:cstheme="majorHAnsi"/>
          <w:sz w:val="22"/>
          <w:szCs w:val="22"/>
          <w:lang w:eastAsia="en-GB"/>
        </w:rPr>
        <w:t>Sustainability transitions and transformative social innovations that can support the transformation of socio-technical systems, including novel ways of meeting demand for food, energy, mobility etc.</w:t>
      </w:r>
    </w:p>
    <w:p w14:paraId="231BC71D" w14:textId="77777777" w:rsidR="00FC3526" w:rsidRPr="00DE4CD2" w:rsidRDefault="00FC3526" w:rsidP="00FC3526">
      <w:pPr>
        <w:pStyle w:val="Listenabsatz"/>
        <w:numPr>
          <w:ilvl w:val="0"/>
          <w:numId w:val="30"/>
        </w:numPr>
        <w:pBdr>
          <w:top w:val="none" w:sz="0" w:space="0" w:color="auto"/>
          <w:left w:val="none" w:sz="0" w:space="0" w:color="auto"/>
          <w:bottom w:val="none" w:sz="0" w:space="0" w:color="auto"/>
          <w:right w:val="none" w:sz="0" w:space="0" w:color="auto"/>
          <w:between w:val="none" w:sz="0" w:space="0" w:color="auto"/>
        </w:pBdr>
        <w:spacing w:before="120"/>
        <w:ind w:left="714" w:hanging="357"/>
        <w:contextualSpacing w:val="0"/>
        <w:rPr>
          <w:rFonts w:asciiTheme="majorHAnsi" w:hAnsiTheme="majorHAnsi" w:cstheme="majorHAnsi"/>
        </w:rPr>
      </w:pPr>
      <w:r w:rsidRPr="00DE4CD2">
        <w:rPr>
          <w:rFonts w:asciiTheme="majorHAnsi" w:hAnsiTheme="majorHAnsi" w:cstheme="majorHAnsi"/>
        </w:rPr>
        <w:t>Characterisation of social innovation actors, specifically contrasting ‘classical’ actors of the innovation process to social entrepreneurs</w:t>
      </w:r>
    </w:p>
    <w:p w14:paraId="7BB275F4" w14:textId="77777777" w:rsidR="00FC3526" w:rsidRPr="00DE4CD2" w:rsidRDefault="00FC3526" w:rsidP="00FC3526">
      <w:pPr>
        <w:pStyle w:val="Listenabsatz"/>
        <w:numPr>
          <w:ilvl w:val="0"/>
          <w:numId w:val="30"/>
        </w:numPr>
        <w:pBdr>
          <w:top w:val="none" w:sz="0" w:space="0" w:color="auto"/>
          <w:left w:val="none" w:sz="0" w:space="0" w:color="auto"/>
          <w:bottom w:val="none" w:sz="0" w:space="0" w:color="auto"/>
          <w:right w:val="none" w:sz="0" w:space="0" w:color="auto"/>
          <w:between w:val="none" w:sz="0" w:space="0" w:color="auto"/>
        </w:pBdr>
        <w:spacing w:before="120"/>
        <w:ind w:left="714" w:hanging="357"/>
        <w:contextualSpacing w:val="0"/>
        <w:rPr>
          <w:rFonts w:asciiTheme="majorHAnsi" w:hAnsiTheme="majorHAnsi" w:cstheme="majorHAnsi"/>
        </w:rPr>
      </w:pPr>
      <w:r w:rsidRPr="00DE4CD2">
        <w:rPr>
          <w:rFonts w:asciiTheme="majorHAnsi" w:hAnsiTheme="majorHAnsi" w:cstheme="majorHAnsi"/>
        </w:rPr>
        <w:t xml:space="preserve">Impacts of technological change, e.g. digitalisation, on social innovation in times of crisis (e.g. pandemic) </w:t>
      </w:r>
    </w:p>
    <w:p w14:paraId="08640A5B" w14:textId="77777777" w:rsidR="00FC3526" w:rsidRPr="00DE4CD2" w:rsidRDefault="00FC3526" w:rsidP="00FC3526">
      <w:pPr>
        <w:pBdr>
          <w:top w:val="none" w:sz="0" w:space="0" w:color="auto"/>
          <w:left w:val="none" w:sz="0" w:space="0" w:color="auto"/>
          <w:bottom w:val="none" w:sz="0" w:space="0" w:color="auto"/>
          <w:right w:val="none" w:sz="0" w:space="0" w:color="auto"/>
          <w:between w:val="none" w:sz="0" w:space="0" w:color="auto"/>
        </w:pBdr>
        <w:rPr>
          <w:rFonts w:asciiTheme="majorHAnsi" w:hAnsiTheme="majorHAnsi" w:cstheme="majorHAnsi"/>
        </w:rPr>
      </w:pPr>
    </w:p>
    <w:p w14:paraId="423C8A46" w14:textId="2DFA8A5D" w:rsidR="00FC3526" w:rsidRPr="00DE4CD2" w:rsidRDefault="00FC3526" w:rsidP="00FC3526">
      <w:pPr>
        <w:rPr>
          <w:rFonts w:asciiTheme="majorHAnsi" w:hAnsiTheme="majorHAnsi" w:cstheme="majorHAnsi"/>
        </w:rPr>
      </w:pPr>
      <w:r w:rsidRPr="00DE4CD2">
        <w:rPr>
          <w:rFonts w:asciiTheme="majorHAnsi" w:hAnsiTheme="majorHAnsi" w:cstheme="majorHAnsi"/>
        </w:rPr>
        <w:t xml:space="preserve">Among these use cases, currently published articles are presented in </w:t>
      </w:r>
      <w:r w:rsidRPr="00DE4CD2">
        <w:rPr>
          <w:rFonts w:asciiTheme="majorHAnsi" w:hAnsiTheme="majorHAnsi" w:cstheme="majorHAnsi"/>
        </w:rPr>
        <w:fldChar w:fldCharType="begin"/>
      </w:r>
      <w:r w:rsidRPr="00DE4CD2">
        <w:rPr>
          <w:rFonts w:asciiTheme="majorHAnsi" w:hAnsiTheme="majorHAnsi" w:cstheme="majorHAnsi"/>
        </w:rPr>
        <w:instrText xml:space="preserve"> REF _Ref153980834 \h  \* MERGEFORMAT </w:instrText>
      </w:r>
      <w:r w:rsidRPr="00DE4CD2">
        <w:rPr>
          <w:rFonts w:asciiTheme="majorHAnsi" w:hAnsiTheme="majorHAnsi" w:cstheme="majorHAnsi"/>
        </w:rPr>
      </w:r>
      <w:r w:rsidRPr="00DE4CD2">
        <w:rPr>
          <w:rFonts w:asciiTheme="majorHAnsi" w:hAnsiTheme="majorHAnsi" w:cstheme="majorHAnsi"/>
        </w:rPr>
        <w:fldChar w:fldCharType="separate"/>
      </w:r>
      <w:r w:rsidRPr="00DE4CD2">
        <w:rPr>
          <w:rFonts w:asciiTheme="majorHAnsi" w:hAnsiTheme="majorHAnsi" w:cstheme="majorHAnsi"/>
        </w:rPr>
        <w:t xml:space="preserve">Table </w:t>
      </w:r>
      <w:r w:rsidR="00CD3EBC" w:rsidRPr="00DE4CD2">
        <w:rPr>
          <w:rFonts w:asciiTheme="majorHAnsi" w:hAnsiTheme="majorHAnsi" w:cstheme="majorHAnsi"/>
          <w:noProof/>
        </w:rPr>
        <w:t>8</w:t>
      </w:r>
      <w:r w:rsidRPr="00DE4CD2">
        <w:rPr>
          <w:rFonts w:asciiTheme="majorHAnsi" w:hAnsiTheme="majorHAnsi" w:cstheme="majorHAnsi"/>
        </w:rPr>
        <w:fldChar w:fldCharType="end"/>
      </w:r>
      <w:r w:rsidRPr="00DE4CD2">
        <w:rPr>
          <w:rFonts w:asciiTheme="majorHAnsi" w:hAnsiTheme="majorHAnsi" w:cstheme="majorHAnsi"/>
        </w:rPr>
        <w:t>.</w:t>
      </w:r>
    </w:p>
    <w:p w14:paraId="27916A70" w14:textId="77777777" w:rsidR="00FC3526" w:rsidRPr="00DE4CD2" w:rsidRDefault="00FC3526" w:rsidP="00FC3526">
      <w:pPr>
        <w:rPr>
          <w:rFonts w:asciiTheme="majorHAnsi" w:hAnsiTheme="majorHAnsi" w:cstheme="majorHAnsi"/>
        </w:rPr>
      </w:pPr>
    </w:p>
    <w:p w14:paraId="10AD02D0" w14:textId="7F9AD717" w:rsidR="00FC3526" w:rsidRPr="00DE4CD2" w:rsidRDefault="00FC3526" w:rsidP="00FC3526">
      <w:pPr>
        <w:pStyle w:val="Beschriftung"/>
        <w:keepNext/>
        <w:rPr>
          <w:rFonts w:asciiTheme="majorHAnsi" w:eastAsiaTheme="minorHAnsi" w:hAnsiTheme="majorHAnsi" w:cstheme="majorHAnsi"/>
          <w:color w:val="auto"/>
          <w:sz w:val="24"/>
          <w:szCs w:val="24"/>
          <w:lang w:val="en-US" w:eastAsia="en-US"/>
        </w:rPr>
      </w:pPr>
      <w:bookmarkStart w:id="15" w:name="_Ref153980834"/>
      <w:r w:rsidRPr="00DE4CD2">
        <w:rPr>
          <w:rFonts w:asciiTheme="majorHAnsi" w:eastAsiaTheme="minorHAnsi" w:hAnsiTheme="majorHAnsi" w:cstheme="majorHAnsi"/>
          <w:color w:val="auto"/>
          <w:sz w:val="24"/>
          <w:szCs w:val="24"/>
          <w:lang w:val="en-US" w:eastAsia="en-US"/>
        </w:rPr>
        <w:t>Table</w:t>
      </w:r>
      <w:bookmarkEnd w:id="15"/>
      <w:r w:rsidRPr="00DE4CD2">
        <w:rPr>
          <w:rFonts w:asciiTheme="majorHAnsi" w:eastAsiaTheme="minorHAnsi" w:hAnsiTheme="majorHAnsi" w:cstheme="majorHAnsi"/>
          <w:color w:val="auto"/>
          <w:sz w:val="24"/>
          <w:szCs w:val="24"/>
          <w:lang w:val="en-US" w:eastAsia="en-US"/>
        </w:rPr>
        <w:t xml:space="preserve"> </w:t>
      </w:r>
      <w:r w:rsidR="00CD3EBC" w:rsidRPr="00DE4CD2">
        <w:rPr>
          <w:rFonts w:asciiTheme="majorHAnsi" w:eastAsiaTheme="minorHAnsi" w:hAnsiTheme="majorHAnsi" w:cstheme="majorHAnsi"/>
          <w:color w:val="auto"/>
          <w:sz w:val="24"/>
          <w:szCs w:val="24"/>
          <w:lang w:val="en-US" w:eastAsia="en-US"/>
        </w:rPr>
        <w:t>8</w:t>
      </w:r>
      <w:r w:rsidRPr="00DE4CD2">
        <w:rPr>
          <w:rFonts w:asciiTheme="majorHAnsi" w:eastAsiaTheme="minorHAnsi" w:hAnsiTheme="majorHAnsi" w:cstheme="majorHAnsi"/>
          <w:color w:val="auto"/>
          <w:sz w:val="24"/>
          <w:szCs w:val="24"/>
          <w:lang w:val="en-US" w:eastAsia="en-US"/>
        </w:rPr>
        <w:t xml:space="preserve">: Publications </w:t>
      </w:r>
      <w:proofErr w:type="spellStart"/>
      <w:r w:rsidRPr="00DE4CD2">
        <w:rPr>
          <w:rFonts w:asciiTheme="majorHAnsi" w:eastAsiaTheme="minorHAnsi" w:hAnsiTheme="majorHAnsi" w:cstheme="majorHAnsi"/>
          <w:color w:val="auto"/>
          <w:sz w:val="24"/>
          <w:szCs w:val="24"/>
          <w:lang w:val="en-US" w:eastAsia="en-US"/>
        </w:rPr>
        <w:t>Utilising</w:t>
      </w:r>
      <w:proofErr w:type="spellEnd"/>
      <w:r w:rsidRPr="00DE4CD2">
        <w:rPr>
          <w:rFonts w:asciiTheme="majorHAnsi" w:eastAsiaTheme="minorHAnsi" w:hAnsiTheme="majorHAnsi" w:cstheme="majorHAnsi"/>
          <w:color w:val="auto"/>
          <w:sz w:val="24"/>
          <w:szCs w:val="24"/>
          <w:lang w:val="en-US" w:eastAsia="en-US"/>
        </w:rPr>
        <w:t xml:space="preserve"> ESID</w:t>
      </w:r>
    </w:p>
    <w:tbl>
      <w:tblPr>
        <w:tblStyle w:val="Gitternetztabelle1hell"/>
        <w:tblW w:w="5000" w:type="pct"/>
        <w:tblLook w:val="04A0" w:firstRow="1" w:lastRow="0" w:firstColumn="1" w:lastColumn="0" w:noHBand="0" w:noVBand="1"/>
      </w:tblPr>
      <w:tblGrid>
        <w:gridCol w:w="642"/>
        <w:gridCol w:w="3610"/>
        <w:gridCol w:w="3017"/>
        <w:gridCol w:w="1736"/>
        <w:gridCol w:w="617"/>
      </w:tblGrid>
      <w:tr w:rsidR="00FC3526" w:rsidRPr="00DE4CD2" w14:paraId="2E1283ED" w14:textId="77777777" w:rsidTr="007F0A1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9" w:type="pct"/>
            <w:hideMark/>
          </w:tcPr>
          <w:p w14:paraId="58519AE9" w14:textId="77777777" w:rsidR="00FC3526" w:rsidRPr="00DE4CD2" w:rsidRDefault="00FC3526" w:rsidP="007F0A1F">
            <w:pPr>
              <w:jc w:val="right"/>
              <w:rPr>
                <w:rFonts w:asciiTheme="majorHAnsi" w:hAnsiTheme="majorHAnsi" w:cstheme="majorHAnsi"/>
                <w:sz w:val="21"/>
                <w:szCs w:val="21"/>
              </w:rPr>
            </w:pPr>
            <w:r w:rsidRPr="00DE4CD2">
              <w:rPr>
                <w:rFonts w:asciiTheme="majorHAnsi" w:hAnsiTheme="majorHAnsi" w:cstheme="majorHAnsi"/>
                <w:sz w:val="21"/>
                <w:szCs w:val="21"/>
              </w:rPr>
              <w:t>Year</w:t>
            </w:r>
          </w:p>
        </w:tc>
        <w:tc>
          <w:tcPr>
            <w:tcW w:w="1877" w:type="pct"/>
            <w:hideMark/>
          </w:tcPr>
          <w:p w14:paraId="4DB0C312" w14:textId="77777777" w:rsidR="00FC3526" w:rsidRPr="00DE4CD2" w:rsidRDefault="00FC3526" w:rsidP="007F0A1F">
            <w:pP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bCs w:val="0"/>
                <w:sz w:val="21"/>
                <w:szCs w:val="21"/>
              </w:rPr>
            </w:pPr>
            <w:r w:rsidRPr="00DE4CD2">
              <w:rPr>
                <w:rFonts w:asciiTheme="majorHAnsi" w:hAnsiTheme="majorHAnsi" w:cstheme="majorHAnsi"/>
                <w:b w:val="0"/>
                <w:bCs w:val="0"/>
                <w:sz w:val="21"/>
                <w:szCs w:val="21"/>
              </w:rPr>
              <w:t>Title</w:t>
            </w:r>
          </w:p>
        </w:tc>
        <w:tc>
          <w:tcPr>
            <w:tcW w:w="1569" w:type="pct"/>
            <w:hideMark/>
          </w:tcPr>
          <w:p w14:paraId="11386EFF" w14:textId="77777777" w:rsidR="00FC3526" w:rsidRPr="00DE4CD2" w:rsidRDefault="00FC3526" w:rsidP="007F0A1F">
            <w:pP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 w:val="21"/>
                <w:szCs w:val="21"/>
              </w:rPr>
            </w:pPr>
            <w:r w:rsidRPr="00DE4CD2">
              <w:rPr>
                <w:rFonts w:asciiTheme="majorHAnsi" w:hAnsiTheme="majorHAnsi" w:cstheme="majorHAnsi"/>
                <w:sz w:val="21"/>
                <w:szCs w:val="21"/>
              </w:rPr>
              <w:t>Authors</w:t>
            </w:r>
          </w:p>
        </w:tc>
        <w:tc>
          <w:tcPr>
            <w:tcW w:w="903" w:type="pct"/>
            <w:hideMark/>
          </w:tcPr>
          <w:p w14:paraId="3D06DDDD" w14:textId="77777777" w:rsidR="00FC3526" w:rsidRPr="00DE4CD2" w:rsidRDefault="00FC3526" w:rsidP="007F0A1F">
            <w:pP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 w:val="21"/>
                <w:szCs w:val="21"/>
              </w:rPr>
            </w:pPr>
            <w:r w:rsidRPr="00DE4CD2">
              <w:rPr>
                <w:rFonts w:asciiTheme="majorHAnsi" w:hAnsiTheme="majorHAnsi" w:cstheme="majorHAnsi"/>
                <w:sz w:val="21"/>
                <w:szCs w:val="21"/>
              </w:rPr>
              <w:t>Journal</w:t>
            </w:r>
          </w:p>
        </w:tc>
        <w:tc>
          <w:tcPr>
            <w:tcW w:w="321" w:type="pct"/>
            <w:hideMark/>
          </w:tcPr>
          <w:p w14:paraId="4B7A4E16" w14:textId="77777777" w:rsidR="00FC3526" w:rsidRPr="00DE4CD2" w:rsidRDefault="00FC3526" w:rsidP="007F0A1F">
            <w:pP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 w:val="21"/>
                <w:szCs w:val="21"/>
              </w:rPr>
            </w:pPr>
            <w:r w:rsidRPr="00DE4CD2">
              <w:rPr>
                <w:rFonts w:asciiTheme="majorHAnsi" w:hAnsiTheme="majorHAnsi" w:cstheme="majorHAnsi"/>
                <w:sz w:val="21"/>
                <w:szCs w:val="21"/>
              </w:rPr>
              <w:t>Link</w:t>
            </w:r>
          </w:p>
        </w:tc>
      </w:tr>
      <w:tr w:rsidR="00FC3526" w:rsidRPr="00DE4CD2" w14:paraId="2EA840BB" w14:textId="77777777" w:rsidTr="007F0A1F">
        <w:tc>
          <w:tcPr>
            <w:cnfStyle w:val="001000000000" w:firstRow="0" w:lastRow="0" w:firstColumn="1" w:lastColumn="0" w:oddVBand="0" w:evenVBand="0" w:oddHBand="0" w:evenHBand="0" w:firstRowFirstColumn="0" w:firstRowLastColumn="0" w:lastRowFirstColumn="0" w:lastRowLastColumn="0"/>
            <w:tcW w:w="329" w:type="pct"/>
            <w:hideMark/>
          </w:tcPr>
          <w:p w14:paraId="175BDE16" w14:textId="77777777" w:rsidR="00FC3526" w:rsidRPr="00DE4CD2" w:rsidRDefault="00FC3526" w:rsidP="007F0A1F">
            <w:pPr>
              <w:jc w:val="right"/>
              <w:rPr>
                <w:rFonts w:asciiTheme="majorHAnsi" w:hAnsiTheme="majorHAnsi" w:cstheme="majorHAnsi"/>
                <w:sz w:val="21"/>
                <w:szCs w:val="21"/>
              </w:rPr>
            </w:pPr>
            <w:r w:rsidRPr="00DE4CD2">
              <w:rPr>
                <w:rFonts w:asciiTheme="majorHAnsi" w:hAnsiTheme="majorHAnsi" w:cstheme="majorHAnsi"/>
                <w:sz w:val="21"/>
                <w:szCs w:val="21"/>
              </w:rPr>
              <w:t>2023</w:t>
            </w:r>
          </w:p>
        </w:tc>
        <w:tc>
          <w:tcPr>
            <w:tcW w:w="1877" w:type="pct"/>
            <w:hideMark/>
          </w:tcPr>
          <w:p w14:paraId="3A63B44E" w14:textId="77777777" w:rsidR="00FC3526" w:rsidRPr="00DE4CD2" w:rsidRDefault="00FC3526" w:rsidP="007F0A1F">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1"/>
                <w:szCs w:val="21"/>
              </w:rPr>
            </w:pPr>
            <w:r w:rsidRPr="00DE4CD2">
              <w:rPr>
                <w:rFonts w:asciiTheme="majorHAnsi" w:hAnsiTheme="majorHAnsi" w:cstheme="majorHAnsi"/>
                <w:sz w:val="21"/>
                <w:szCs w:val="21"/>
              </w:rPr>
              <w:t>What makes social innovation more innovative?</w:t>
            </w:r>
          </w:p>
        </w:tc>
        <w:tc>
          <w:tcPr>
            <w:tcW w:w="1569" w:type="pct"/>
            <w:hideMark/>
          </w:tcPr>
          <w:p w14:paraId="1E08E4A9" w14:textId="77777777" w:rsidR="00FC3526" w:rsidRPr="00DE4CD2" w:rsidRDefault="00FC3526" w:rsidP="007F0A1F">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1"/>
                <w:szCs w:val="21"/>
              </w:rPr>
            </w:pPr>
            <w:proofErr w:type="spellStart"/>
            <w:r w:rsidRPr="00DE4CD2">
              <w:rPr>
                <w:rFonts w:asciiTheme="majorHAnsi" w:hAnsiTheme="majorHAnsi" w:cstheme="majorHAnsi"/>
                <w:sz w:val="21"/>
                <w:szCs w:val="21"/>
              </w:rPr>
              <w:t>Gök</w:t>
            </w:r>
            <w:proofErr w:type="spellEnd"/>
            <w:r w:rsidRPr="00DE4CD2">
              <w:rPr>
                <w:rFonts w:asciiTheme="majorHAnsi" w:hAnsiTheme="majorHAnsi" w:cstheme="majorHAnsi"/>
                <w:sz w:val="21"/>
                <w:szCs w:val="21"/>
              </w:rPr>
              <w:t>, Abdullah</w:t>
            </w:r>
            <w:r w:rsidRPr="00DE4CD2">
              <w:rPr>
                <w:rFonts w:asciiTheme="majorHAnsi" w:hAnsiTheme="majorHAnsi" w:cstheme="majorHAnsi"/>
                <w:sz w:val="21"/>
                <w:szCs w:val="21"/>
              </w:rPr>
              <w:br/>
              <w:t>Kruse, Philip</w:t>
            </w:r>
          </w:p>
        </w:tc>
        <w:tc>
          <w:tcPr>
            <w:tcW w:w="903" w:type="pct"/>
            <w:hideMark/>
          </w:tcPr>
          <w:p w14:paraId="5638F671" w14:textId="77777777" w:rsidR="00FC3526" w:rsidRPr="00DE4CD2" w:rsidRDefault="00FC3526" w:rsidP="007F0A1F">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1"/>
                <w:szCs w:val="21"/>
              </w:rPr>
            </w:pPr>
            <w:r w:rsidRPr="00DE4CD2">
              <w:rPr>
                <w:rFonts w:asciiTheme="majorHAnsi" w:hAnsiTheme="majorHAnsi" w:cstheme="majorHAnsi"/>
                <w:sz w:val="21"/>
                <w:szCs w:val="21"/>
              </w:rPr>
              <w:t>SSRN (pre-print)</w:t>
            </w:r>
          </w:p>
        </w:tc>
        <w:tc>
          <w:tcPr>
            <w:tcW w:w="321" w:type="pct"/>
            <w:hideMark/>
          </w:tcPr>
          <w:p w14:paraId="62533F17" w14:textId="77777777" w:rsidR="00FC3526" w:rsidRPr="00DE4CD2" w:rsidRDefault="00057971" w:rsidP="007F0A1F">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1"/>
                <w:szCs w:val="21"/>
              </w:rPr>
            </w:pPr>
            <w:hyperlink r:id="rId41" w:tgtFrame="_blank" w:history="1">
              <w:r w:rsidR="00FC3526" w:rsidRPr="00DE4CD2">
                <w:rPr>
                  <w:rStyle w:val="Hyperlink"/>
                  <w:rFonts w:asciiTheme="majorHAnsi" w:eastAsia="Arial" w:hAnsiTheme="majorHAnsi" w:cstheme="majorHAnsi"/>
                  <w:color w:val="auto"/>
                  <w:sz w:val="21"/>
                  <w:szCs w:val="21"/>
                </w:rPr>
                <w:t>Link</w:t>
              </w:r>
            </w:hyperlink>
          </w:p>
        </w:tc>
      </w:tr>
      <w:tr w:rsidR="00FC3526" w:rsidRPr="00DE4CD2" w14:paraId="3E89E846" w14:textId="77777777" w:rsidTr="007F0A1F">
        <w:tc>
          <w:tcPr>
            <w:cnfStyle w:val="001000000000" w:firstRow="0" w:lastRow="0" w:firstColumn="1" w:lastColumn="0" w:oddVBand="0" w:evenVBand="0" w:oddHBand="0" w:evenHBand="0" w:firstRowFirstColumn="0" w:firstRowLastColumn="0" w:lastRowFirstColumn="0" w:lastRowLastColumn="0"/>
            <w:tcW w:w="329" w:type="pct"/>
            <w:hideMark/>
          </w:tcPr>
          <w:p w14:paraId="07C80494" w14:textId="77777777" w:rsidR="00FC3526" w:rsidRPr="00DE4CD2" w:rsidRDefault="00FC3526" w:rsidP="007F0A1F">
            <w:pPr>
              <w:jc w:val="right"/>
              <w:rPr>
                <w:rFonts w:asciiTheme="majorHAnsi" w:hAnsiTheme="majorHAnsi" w:cstheme="majorHAnsi"/>
                <w:sz w:val="21"/>
                <w:szCs w:val="21"/>
              </w:rPr>
            </w:pPr>
            <w:r w:rsidRPr="00DE4CD2">
              <w:rPr>
                <w:rFonts w:asciiTheme="majorHAnsi" w:hAnsiTheme="majorHAnsi" w:cstheme="majorHAnsi"/>
                <w:sz w:val="21"/>
                <w:szCs w:val="21"/>
              </w:rPr>
              <w:t>2023</w:t>
            </w:r>
          </w:p>
        </w:tc>
        <w:tc>
          <w:tcPr>
            <w:tcW w:w="1877" w:type="pct"/>
            <w:hideMark/>
          </w:tcPr>
          <w:p w14:paraId="1F644F8D" w14:textId="77777777" w:rsidR="00FC3526" w:rsidRPr="00DE4CD2" w:rsidRDefault="00FC3526" w:rsidP="007F0A1F">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1"/>
                <w:szCs w:val="21"/>
              </w:rPr>
            </w:pPr>
            <w:r w:rsidRPr="00DE4CD2">
              <w:rPr>
                <w:rFonts w:asciiTheme="majorHAnsi" w:hAnsiTheme="majorHAnsi" w:cstheme="majorHAnsi"/>
                <w:sz w:val="21"/>
                <w:szCs w:val="21"/>
              </w:rPr>
              <w:t>From Myriad Definitions to a Typology of Social Innovation</w:t>
            </w:r>
          </w:p>
        </w:tc>
        <w:tc>
          <w:tcPr>
            <w:tcW w:w="1569" w:type="pct"/>
            <w:hideMark/>
          </w:tcPr>
          <w:p w14:paraId="664C8706" w14:textId="77777777" w:rsidR="00FC3526" w:rsidRPr="00DE4CD2" w:rsidRDefault="00FC3526" w:rsidP="007F0A1F">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1"/>
                <w:szCs w:val="21"/>
              </w:rPr>
            </w:pPr>
            <w:proofErr w:type="spellStart"/>
            <w:r w:rsidRPr="00DE4CD2">
              <w:rPr>
                <w:rFonts w:asciiTheme="majorHAnsi" w:hAnsiTheme="majorHAnsi" w:cstheme="majorHAnsi"/>
                <w:sz w:val="21"/>
                <w:szCs w:val="21"/>
              </w:rPr>
              <w:t>Gök</w:t>
            </w:r>
            <w:proofErr w:type="spellEnd"/>
            <w:r w:rsidRPr="00DE4CD2">
              <w:rPr>
                <w:rFonts w:asciiTheme="majorHAnsi" w:hAnsiTheme="majorHAnsi" w:cstheme="majorHAnsi"/>
                <w:sz w:val="21"/>
                <w:szCs w:val="21"/>
              </w:rPr>
              <w:t>, Abdullah</w:t>
            </w:r>
            <w:r w:rsidRPr="00DE4CD2">
              <w:rPr>
                <w:rFonts w:asciiTheme="majorHAnsi" w:hAnsiTheme="majorHAnsi" w:cstheme="majorHAnsi"/>
                <w:sz w:val="21"/>
                <w:szCs w:val="21"/>
              </w:rPr>
              <w:br/>
              <w:t>McMillan, Carolyn</w:t>
            </w:r>
            <w:r w:rsidRPr="00DE4CD2">
              <w:rPr>
                <w:rFonts w:asciiTheme="majorHAnsi" w:hAnsiTheme="majorHAnsi" w:cstheme="majorHAnsi"/>
                <w:sz w:val="21"/>
                <w:szCs w:val="21"/>
              </w:rPr>
              <w:br/>
              <w:t>Laredo, Philippe</w:t>
            </w:r>
          </w:p>
        </w:tc>
        <w:tc>
          <w:tcPr>
            <w:tcW w:w="903" w:type="pct"/>
            <w:hideMark/>
          </w:tcPr>
          <w:p w14:paraId="20E4D0DE" w14:textId="77777777" w:rsidR="00FC3526" w:rsidRPr="00DE4CD2" w:rsidRDefault="00FC3526" w:rsidP="007F0A1F">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1"/>
                <w:szCs w:val="21"/>
              </w:rPr>
            </w:pPr>
            <w:r w:rsidRPr="00DE4CD2">
              <w:rPr>
                <w:rFonts w:asciiTheme="majorHAnsi" w:hAnsiTheme="majorHAnsi" w:cstheme="majorHAnsi"/>
                <w:sz w:val="21"/>
                <w:szCs w:val="21"/>
              </w:rPr>
              <w:t>SSRN (pre-print)</w:t>
            </w:r>
          </w:p>
        </w:tc>
        <w:tc>
          <w:tcPr>
            <w:tcW w:w="321" w:type="pct"/>
            <w:hideMark/>
          </w:tcPr>
          <w:p w14:paraId="052D8668" w14:textId="77777777" w:rsidR="00FC3526" w:rsidRPr="00DE4CD2" w:rsidRDefault="00057971" w:rsidP="007F0A1F">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1"/>
                <w:szCs w:val="21"/>
              </w:rPr>
            </w:pPr>
            <w:hyperlink r:id="rId42" w:tgtFrame="_blank" w:history="1">
              <w:r w:rsidR="00FC3526" w:rsidRPr="00DE4CD2">
                <w:rPr>
                  <w:rStyle w:val="Hyperlink"/>
                  <w:rFonts w:asciiTheme="majorHAnsi" w:eastAsia="Arial" w:hAnsiTheme="majorHAnsi" w:cstheme="majorHAnsi"/>
                  <w:color w:val="auto"/>
                  <w:sz w:val="21"/>
                  <w:szCs w:val="21"/>
                </w:rPr>
                <w:t>Link</w:t>
              </w:r>
            </w:hyperlink>
          </w:p>
        </w:tc>
      </w:tr>
      <w:tr w:rsidR="00FC3526" w:rsidRPr="00DE4CD2" w14:paraId="4545AECD" w14:textId="77777777" w:rsidTr="007F0A1F">
        <w:tc>
          <w:tcPr>
            <w:cnfStyle w:val="001000000000" w:firstRow="0" w:lastRow="0" w:firstColumn="1" w:lastColumn="0" w:oddVBand="0" w:evenVBand="0" w:oddHBand="0" w:evenHBand="0" w:firstRowFirstColumn="0" w:firstRowLastColumn="0" w:lastRowFirstColumn="0" w:lastRowLastColumn="0"/>
            <w:tcW w:w="329" w:type="pct"/>
            <w:hideMark/>
          </w:tcPr>
          <w:p w14:paraId="4BA08A83" w14:textId="77777777" w:rsidR="00FC3526" w:rsidRPr="00DE4CD2" w:rsidRDefault="00FC3526" w:rsidP="007F0A1F">
            <w:pPr>
              <w:jc w:val="right"/>
              <w:rPr>
                <w:rFonts w:asciiTheme="majorHAnsi" w:hAnsiTheme="majorHAnsi" w:cstheme="majorHAnsi"/>
                <w:sz w:val="21"/>
                <w:szCs w:val="21"/>
              </w:rPr>
            </w:pPr>
            <w:r w:rsidRPr="00DE4CD2">
              <w:rPr>
                <w:rFonts w:asciiTheme="majorHAnsi" w:hAnsiTheme="majorHAnsi" w:cstheme="majorHAnsi"/>
                <w:sz w:val="21"/>
                <w:szCs w:val="21"/>
              </w:rPr>
              <w:t>2022</w:t>
            </w:r>
          </w:p>
        </w:tc>
        <w:tc>
          <w:tcPr>
            <w:tcW w:w="1877" w:type="pct"/>
            <w:hideMark/>
          </w:tcPr>
          <w:p w14:paraId="68EEAF8F" w14:textId="77777777" w:rsidR="00FC3526" w:rsidRPr="00DE4CD2" w:rsidRDefault="00FC3526" w:rsidP="007F0A1F">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1"/>
                <w:szCs w:val="21"/>
              </w:rPr>
            </w:pPr>
            <w:r w:rsidRPr="00DE4CD2">
              <w:rPr>
                <w:rFonts w:asciiTheme="majorHAnsi" w:hAnsiTheme="majorHAnsi" w:cstheme="majorHAnsi"/>
                <w:sz w:val="21"/>
                <w:szCs w:val="21"/>
              </w:rPr>
              <w:t>Building the European Social Innovation Database with Natural Language Processing and Machine Learning</w:t>
            </w:r>
          </w:p>
        </w:tc>
        <w:tc>
          <w:tcPr>
            <w:tcW w:w="1569" w:type="pct"/>
            <w:hideMark/>
          </w:tcPr>
          <w:p w14:paraId="27D1F756" w14:textId="77777777" w:rsidR="00FC3526" w:rsidRPr="00DE4CD2" w:rsidRDefault="00FC3526" w:rsidP="007F0A1F">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1"/>
                <w:szCs w:val="21"/>
              </w:rPr>
            </w:pPr>
            <w:proofErr w:type="spellStart"/>
            <w:r w:rsidRPr="00DE4CD2">
              <w:rPr>
                <w:rFonts w:asciiTheme="majorHAnsi" w:hAnsiTheme="majorHAnsi" w:cstheme="majorHAnsi"/>
                <w:sz w:val="21"/>
                <w:szCs w:val="21"/>
              </w:rPr>
              <w:t>Gök</w:t>
            </w:r>
            <w:proofErr w:type="spellEnd"/>
            <w:r w:rsidRPr="00DE4CD2">
              <w:rPr>
                <w:rFonts w:asciiTheme="majorHAnsi" w:hAnsiTheme="majorHAnsi" w:cstheme="majorHAnsi"/>
                <w:sz w:val="21"/>
                <w:szCs w:val="21"/>
              </w:rPr>
              <w:t>, Abdullah</w:t>
            </w:r>
            <w:r w:rsidRPr="00DE4CD2">
              <w:rPr>
                <w:rFonts w:asciiTheme="majorHAnsi" w:hAnsiTheme="majorHAnsi" w:cstheme="majorHAnsi"/>
                <w:sz w:val="21"/>
                <w:szCs w:val="21"/>
              </w:rPr>
              <w:br/>
              <w:t>Antai, Roseline</w:t>
            </w:r>
            <w:r w:rsidRPr="00DE4CD2">
              <w:rPr>
                <w:rFonts w:asciiTheme="majorHAnsi" w:hAnsiTheme="majorHAnsi" w:cstheme="majorHAnsi"/>
                <w:sz w:val="21"/>
                <w:szCs w:val="21"/>
              </w:rPr>
              <w:br/>
            </w:r>
            <w:proofErr w:type="spellStart"/>
            <w:r w:rsidRPr="00DE4CD2">
              <w:rPr>
                <w:rFonts w:asciiTheme="majorHAnsi" w:hAnsiTheme="majorHAnsi" w:cstheme="majorHAnsi"/>
                <w:sz w:val="21"/>
                <w:szCs w:val="21"/>
              </w:rPr>
              <w:t>Milošević</w:t>
            </w:r>
            <w:proofErr w:type="spellEnd"/>
            <w:r w:rsidRPr="00DE4CD2">
              <w:rPr>
                <w:rFonts w:asciiTheme="majorHAnsi" w:hAnsiTheme="majorHAnsi" w:cstheme="majorHAnsi"/>
                <w:sz w:val="21"/>
                <w:szCs w:val="21"/>
              </w:rPr>
              <w:t>, Nikola</w:t>
            </w:r>
            <w:r w:rsidRPr="00DE4CD2">
              <w:rPr>
                <w:rFonts w:asciiTheme="majorHAnsi" w:hAnsiTheme="majorHAnsi" w:cstheme="majorHAnsi"/>
                <w:sz w:val="21"/>
                <w:szCs w:val="21"/>
              </w:rPr>
              <w:br/>
              <w:t>Al-</w:t>
            </w:r>
            <w:proofErr w:type="spellStart"/>
            <w:r w:rsidRPr="00DE4CD2">
              <w:rPr>
                <w:rFonts w:asciiTheme="majorHAnsi" w:hAnsiTheme="majorHAnsi" w:cstheme="majorHAnsi"/>
                <w:sz w:val="21"/>
                <w:szCs w:val="21"/>
              </w:rPr>
              <w:t>Nabki</w:t>
            </w:r>
            <w:proofErr w:type="spellEnd"/>
            <w:r w:rsidRPr="00DE4CD2">
              <w:rPr>
                <w:rFonts w:asciiTheme="majorHAnsi" w:hAnsiTheme="majorHAnsi" w:cstheme="majorHAnsi"/>
                <w:sz w:val="21"/>
                <w:szCs w:val="21"/>
              </w:rPr>
              <w:t xml:space="preserve">, </w:t>
            </w:r>
            <w:proofErr w:type="spellStart"/>
            <w:r w:rsidRPr="00DE4CD2">
              <w:rPr>
                <w:rFonts w:asciiTheme="majorHAnsi" w:hAnsiTheme="majorHAnsi" w:cstheme="majorHAnsi"/>
                <w:sz w:val="21"/>
                <w:szCs w:val="21"/>
              </w:rPr>
              <w:t>Wesam</w:t>
            </w:r>
            <w:proofErr w:type="spellEnd"/>
          </w:p>
        </w:tc>
        <w:tc>
          <w:tcPr>
            <w:tcW w:w="903" w:type="pct"/>
            <w:hideMark/>
          </w:tcPr>
          <w:p w14:paraId="3D0A77C8" w14:textId="77777777" w:rsidR="00FC3526" w:rsidRPr="00DE4CD2" w:rsidRDefault="00FC3526" w:rsidP="007F0A1F">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1"/>
                <w:szCs w:val="21"/>
              </w:rPr>
            </w:pPr>
            <w:r w:rsidRPr="00DE4CD2">
              <w:rPr>
                <w:rFonts w:asciiTheme="majorHAnsi" w:hAnsiTheme="majorHAnsi" w:cstheme="majorHAnsi"/>
                <w:sz w:val="21"/>
                <w:szCs w:val="21"/>
              </w:rPr>
              <w:t>Scientific Data</w:t>
            </w:r>
          </w:p>
        </w:tc>
        <w:tc>
          <w:tcPr>
            <w:tcW w:w="321" w:type="pct"/>
            <w:hideMark/>
          </w:tcPr>
          <w:p w14:paraId="55A20FD1" w14:textId="77777777" w:rsidR="00FC3526" w:rsidRPr="00DE4CD2" w:rsidRDefault="00057971" w:rsidP="007F0A1F">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1"/>
                <w:szCs w:val="21"/>
              </w:rPr>
            </w:pPr>
            <w:hyperlink r:id="rId43" w:tgtFrame="_blank" w:history="1">
              <w:r w:rsidR="00FC3526" w:rsidRPr="00DE4CD2">
                <w:rPr>
                  <w:rStyle w:val="Hyperlink"/>
                  <w:rFonts w:asciiTheme="majorHAnsi" w:eastAsia="Arial" w:hAnsiTheme="majorHAnsi" w:cstheme="majorHAnsi"/>
                  <w:color w:val="auto"/>
                  <w:sz w:val="21"/>
                  <w:szCs w:val="21"/>
                </w:rPr>
                <w:t>Link</w:t>
              </w:r>
            </w:hyperlink>
          </w:p>
        </w:tc>
      </w:tr>
      <w:tr w:rsidR="00FC3526" w:rsidRPr="00DE4CD2" w14:paraId="0FCB6A71" w14:textId="77777777" w:rsidTr="007F0A1F">
        <w:tc>
          <w:tcPr>
            <w:cnfStyle w:val="001000000000" w:firstRow="0" w:lastRow="0" w:firstColumn="1" w:lastColumn="0" w:oddVBand="0" w:evenVBand="0" w:oddHBand="0" w:evenHBand="0" w:firstRowFirstColumn="0" w:firstRowLastColumn="0" w:lastRowFirstColumn="0" w:lastRowLastColumn="0"/>
            <w:tcW w:w="329" w:type="pct"/>
            <w:hideMark/>
          </w:tcPr>
          <w:p w14:paraId="1D4FBB34" w14:textId="77777777" w:rsidR="00FC3526" w:rsidRPr="00DE4CD2" w:rsidRDefault="00FC3526" w:rsidP="007F0A1F">
            <w:pPr>
              <w:jc w:val="right"/>
              <w:rPr>
                <w:rFonts w:asciiTheme="majorHAnsi" w:hAnsiTheme="majorHAnsi" w:cstheme="majorHAnsi"/>
                <w:sz w:val="21"/>
                <w:szCs w:val="21"/>
              </w:rPr>
            </w:pPr>
            <w:r w:rsidRPr="00DE4CD2">
              <w:rPr>
                <w:rFonts w:asciiTheme="majorHAnsi" w:hAnsiTheme="majorHAnsi" w:cstheme="majorHAnsi"/>
                <w:sz w:val="21"/>
                <w:szCs w:val="21"/>
              </w:rPr>
              <w:t>2019</w:t>
            </w:r>
          </w:p>
        </w:tc>
        <w:tc>
          <w:tcPr>
            <w:tcW w:w="1877" w:type="pct"/>
            <w:hideMark/>
          </w:tcPr>
          <w:p w14:paraId="16CD6D5F" w14:textId="77777777" w:rsidR="00FC3526" w:rsidRPr="00DE4CD2" w:rsidRDefault="00FC3526" w:rsidP="007F0A1F">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1"/>
                <w:szCs w:val="21"/>
              </w:rPr>
            </w:pPr>
            <w:r w:rsidRPr="00DE4CD2">
              <w:rPr>
                <w:rFonts w:asciiTheme="majorHAnsi" w:hAnsiTheme="majorHAnsi" w:cstheme="majorHAnsi"/>
                <w:sz w:val="21"/>
                <w:szCs w:val="21"/>
              </w:rPr>
              <w:t>From web crawled text to project descriptions: automatic summarizing of social innovation projects</w:t>
            </w:r>
          </w:p>
        </w:tc>
        <w:tc>
          <w:tcPr>
            <w:tcW w:w="1569" w:type="pct"/>
            <w:hideMark/>
          </w:tcPr>
          <w:p w14:paraId="61E980D2" w14:textId="77777777" w:rsidR="00FC3526" w:rsidRPr="00DE4CD2" w:rsidRDefault="00FC3526" w:rsidP="007F0A1F">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1"/>
                <w:szCs w:val="21"/>
              </w:rPr>
            </w:pPr>
            <w:proofErr w:type="spellStart"/>
            <w:r w:rsidRPr="00DE4CD2">
              <w:rPr>
                <w:rFonts w:asciiTheme="majorHAnsi" w:hAnsiTheme="majorHAnsi" w:cstheme="majorHAnsi"/>
                <w:sz w:val="21"/>
                <w:szCs w:val="21"/>
              </w:rPr>
              <w:t>Milošević</w:t>
            </w:r>
            <w:proofErr w:type="spellEnd"/>
            <w:r w:rsidRPr="00DE4CD2">
              <w:rPr>
                <w:rFonts w:asciiTheme="majorHAnsi" w:hAnsiTheme="majorHAnsi" w:cstheme="majorHAnsi"/>
                <w:sz w:val="21"/>
                <w:szCs w:val="21"/>
              </w:rPr>
              <w:t>, Nikola</w:t>
            </w:r>
            <w:r w:rsidRPr="00DE4CD2">
              <w:rPr>
                <w:rFonts w:asciiTheme="majorHAnsi" w:hAnsiTheme="majorHAnsi" w:cstheme="majorHAnsi"/>
                <w:sz w:val="21"/>
                <w:szCs w:val="21"/>
              </w:rPr>
              <w:br/>
            </w:r>
            <w:proofErr w:type="spellStart"/>
            <w:r w:rsidRPr="00DE4CD2">
              <w:rPr>
                <w:rFonts w:asciiTheme="majorHAnsi" w:hAnsiTheme="majorHAnsi" w:cstheme="majorHAnsi"/>
                <w:sz w:val="21"/>
                <w:szCs w:val="21"/>
              </w:rPr>
              <w:t>Marinov</w:t>
            </w:r>
            <w:proofErr w:type="spellEnd"/>
            <w:r w:rsidRPr="00DE4CD2">
              <w:rPr>
                <w:rFonts w:asciiTheme="majorHAnsi" w:hAnsiTheme="majorHAnsi" w:cstheme="majorHAnsi"/>
                <w:sz w:val="21"/>
                <w:szCs w:val="21"/>
              </w:rPr>
              <w:t xml:space="preserve">, </w:t>
            </w:r>
            <w:proofErr w:type="spellStart"/>
            <w:r w:rsidRPr="00DE4CD2">
              <w:rPr>
                <w:rFonts w:asciiTheme="majorHAnsi" w:hAnsiTheme="majorHAnsi" w:cstheme="majorHAnsi"/>
                <w:sz w:val="21"/>
                <w:szCs w:val="21"/>
              </w:rPr>
              <w:t>Dimitar</w:t>
            </w:r>
            <w:proofErr w:type="spellEnd"/>
            <w:r w:rsidRPr="00DE4CD2">
              <w:rPr>
                <w:rFonts w:asciiTheme="majorHAnsi" w:hAnsiTheme="majorHAnsi" w:cstheme="majorHAnsi"/>
                <w:sz w:val="21"/>
                <w:szCs w:val="21"/>
              </w:rPr>
              <w:br/>
            </w:r>
            <w:proofErr w:type="spellStart"/>
            <w:r w:rsidRPr="00DE4CD2">
              <w:rPr>
                <w:rFonts w:asciiTheme="majorHAnsi" w:hAnsiTheme="majorHAnsi" w:cstheme="majorHAnsi"/>
                <w:sz w:val="21"/>
                <w:szCs w:val="21"/>
              </w:rPr>
              <w:t>Gök</w:t>
            </w:r>
            <w:proofErr w:type="spellEnd"/>
            <w:r w:rsidRPr="00DE4CD2">
              <w:rPr>
                <w:rFonts w:asciiTheme="majorHAnsi" w:hAnsiTheme="majorHAnsi" w:cstheme="majorHAnsi"/>
                <w:sz w:val="21"/>
                <w:szCs w:val="21"/>
              </w:rPr>
              <w:t>, Abdullah</w:t>
            </w:r>
            <w:r w:rsidRPr="00DE4CD2">
              <w:rPr>
                <w:rFonts w:asciiTheme="majorHAnsi" w:hAnsiTheme="majorHAnsi" w:cstheme="majorHAnsi"/>
                <w:sz w:val="21"/>
                <w:szCs w:val="21"/>
              </w:rPr>
              <w:br/>
            </w:r>
            <w:proofErr w:type="spellStart"/>
            <w:r w:rsidRPr="00DE4CD2">
              <w:rPr>
                <w:rFonts w:asciiTheme="majorHAnsi" w:hAnsiTheme="majorHAnsi" w:cstheme="majorHAnsi"/>
                <w:sz w:val="21"/>
                <w:szCs w:val="21"/>
              </w:rPr>
              <w:t>Nenadić</w:t>
            </w:r>
            <w:proofErr w:type="spellEnd"/>
            <w:r w:rsidRPr="00DE4CD2">
              <w:rPr>
                <w:rFonts w:asciiTheme="majorHAnsi" w:hAnsiTheme="majorHAnsi" w:cstheme="majorHAnsi"/>
                <w:sz w:val="21"/>
                <w:szCs w:val="21"/>
              </w:rPr>
              <w:t>, Goran</w:t>
            </w:r>
          </w:p>
        </w:tc>
        <w:tc>
          <w:tcPr>
            <w:tcW w:w="903" w:type="pct"/>
            <w:hideMark/>
          </w:tcPr>
          <w:p w14:paraId="55FFD1AD" w14:textId="77777777" w:rsidR="00FC3526" w:rsidRPr="00DE4CD2" w:rsidRDefault="00FC3526" w:rsidP="007F0A1F">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1"/>
                <w:szCs w:val="21"/>
              </w:rPr>
            </w:pPr>
            <w:r w:rsidRPr="00DE4CD2">
              <w:rPr>
                <w:rFonts w:asciiTheme="majorHAnsi" w:hAnsiTheme="majorHAnsi" w:cstheme="majorHAnsi"/>
                <w:sz w:val="21"/>
                <w:szCs w:val="21"/>
              </w:rPr>
              <w:t>Lecture Notes in Computer Science</w:t>
            </w:r>
          </w:p>
        </w:tc>
        <w:tc>
          <w:tcPr>
            <w:tcW w:w="321" w:type="pct"/>
            <w:hideMark/>
          </w:tcPr>
          <w:p w14:paraId="521BCE6F" w14:textId="77777777" w:rsidR="00FC3526" w:rsidRPr="00DE4CD2" w:rsidRDefault="00057971" w:rsidP="007F0A1F">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1"/>
                <w:szCs w:val="21"/>
              </w:rPr>
            </w:pPr>
            <w:hyperlink r:id="rId44" w:tgtFrame="_blank" w:history="1">
              <w:r w:rsidR="00FC3526" w:rsidRPr="00DE4CD2">
                <w:rPr>
                  <w:rStyle w:val="Hyperlink"/>
                  <w:rFonts w:asciiTheme="majorHAnsi" w:eastAsia="Arial" w:hAnsiTheme="majorHAnsi" w:cstheme="majorHAnsi"/>
                  <w:color w:val="auto"/>
                  <w:sz w:val="21"/>
                  <w:szCs w:val="21"/>
                </w:rPr>
                <w:t>Link</w:t>
              </w:r>
            </w:hyperlink>
          </w:p>
        </w:tc>
      </w:tr>
      <w:tr w:rsidR="00FC3526" w:rsidRPr="00DE4CD2" w14:paraId="57856064" w14:textId="77777777" w:rsidTr="007F0A1F">
        <w:tc>
          <w:tcPr>
            <w:cnfStyle w:val="001000000000" w:firstRow="0" w:lastRow="0" w:firstColumn="1" w:lastColumn="0" w:oddVBand="0" w:evenVBand="0" w:oddHBand="0" w:evenHBand="0" w:firstRowFirstColumn="0" w:firstRowLastColumn="0" w:lastRowFirstColumn="0" w:lastRowLastColumn="0"/>
            <w:tcW w:w="329" w:type="pct"/>
            <w:hideMark/>
          </w:tcPr>
          <w:p w14:paraId="09BF3D08" w14:textId="77777777" w:rsidR="00FC3526" w:rsidRPr="00DE4CD2" w:rsidRDefault="00FC3526" w:rsidP="007F0A1F">
            <w:pPr>
              <w:jc w:val="right"/>
              <w:rPr>
                <w:rFonts w:asciiTheme="majorHAnsi" w:hAnsiTheme="majorHAnsi" w:cstheme="majorHAnsi"/>
                <w:sz w:val="21"/>
                <w:szCs w:val="21"/>
              </w:rPr>
            </w:pPr>
            <w:r w:rsidRPr="00DE4CD2">
              <w:rPr>
                <w:rFonts w:asciiTheme="majorHAnsi" w:hAnsiTheme="majorHAnsi" w:cstheme="majorHAnsi"/>
                <w:sz w:val="21"/>
                <w:szCs w:val="21"/>
              </w:rPr>
              <w:t>2018</w:t>
            </w:r>
          </w:p>
        </w:tc>
        <w:tc>
          <w:tcPr>
            <w:tcW w:w="1877" w:type="pct"/>
            <w:hideMark/>
          </w:tcPr>
          <w:p w14:paraId="0895166E" w14:textId="77777777" w:rsidR="00FC3526" w:rsidRPr="00DE4CD2" w:rsidRDefault="00FC3526" w:rsidP="007F0A1F">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1"/>
                <w:szCs w:val="21"/>
              </w:rPr>
            </w:pPr>
            <w:r w:rsidRPr="00DE4CD2">
              <w:rPr>
                <w:rFonts w:asciiTheme="majorHAnsi" w:hAnsiTheme="majorHAnsi" w:cstheme="majorHAnsi"/>
                <w:sz w:val="21"/>
                <w:szCs w:val="21"/>
              </w:rPr>
              <w:t>Classification of intangible social innovation concepts</w:t>
            </w:r>
          </w:p>
        </w:tc>
        <w:tc>
          <w:tcPr>
            <w:tcW w:w="1569" w:type="pct"/>
            <w:hideMark/>
          </w:tcPr>
          <w:p w14:paraId="5A8A281E" w14:textId="77777777" w:rsidR="00FC3526" w:rsidRPr="00DE4CD2" w:rsidRDefault="00FC3526" w:rsidP="007F0A1F">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1"/>
                <w:szCs w:val="21"/>
              </w:rPr>
            </w:pPr>
            <w:proofErr w:type="spellStart"/>
            <w:r w:rsidRPr="00DE4CD2">
              <w:rPr>
                <w:rFonts w:asciiTheme="majorHAnsi" w:hAnsiTheme="majorHAnsi" w:cstheme="majorHAnsi"/>
                <w:sz w:val="21"/>
                <w:szCs w:val="21"/>
              </w:rPr>
              <w:t>Milošević</w:t>
            </w:r>
            <w:proofErr w:type="spellEnd"/>
            <w:r w:rsidRPr="00DE4CD2">
              <w:rPr>
                <w:rFonts w:asciiTheme="majorHAnsi" w:hAnsiTheme="majorHAnsi" w:cstheme="majorHAnsi"/>
                <w:sz w:val="21"/>
                <w:szCs w:val="21"/>
              </w:rPr>
              <w:t>, Nikola</w:t>
            </w:r>
            <w:r w:rsidRPr="00DE4CD2">
              <w:rPr>
                <w:rFonts w:asciiTheme="majorHAnsi" w:hAnsiTheme="majorHAnsi" w:cstheme="majorHAnsi"/>
                <w:sz w:val="21"/>
                <w:szCs w:val="21"/>
              </w:rPr>
              <w:br/>
            </w:r>
            <w:proofErr w:type="spellStart"/>
            <w:r w:rsidRPr="00DE4CD2">
              <w:rPr>
                <w:rFonts w:asciiTheme="majorHAnsi" w:hAnsiTheme="majorHAnsi" w:cstheme="majorHAnsi"/>
                <w:sz w:val="21"/>
                <w:szCs w:val="21"/>
              </w:rPr>
              <w:t>Gök</w:t>
            </w:r>
            <w:proofErr w:type="spellEnd"/>
            <w:r w:rsidRPr="00DE4CD2">
              <w:rPr>
                <w:rFonts w:asciiTheme="majorHAnsi" w:hAnsiTheme="majorHAnsi" w:cstheme="majorHAnsi"/>
                <w:sz w:val="21"/>
                <w:szCs w:val="21"/>
              </w:rPr>
              <w:t>, Abdullah</w:t>
            </w:r>
            <w:r w:rsidRPr="00DE4CD2">
              <w:rPr>
                <w:rFonts w:asciiTheme="majorHAnsi" w:hAnsiTheme="majorHAnsi" w:cstheme="majorHAnsi"/>
                <w:sz w:val="21"/>
                <w:szCs w:val="21"/>
              </w:rPr>
              <w:br/>
            </w:r>
            <w:proofErr w:type="spellStart"/>
            <w:r w:rsidRPr="00DE4CD2">
              <w:rPr>
                <w:rFonts w:asciiTheme="majorHAnsi" w:hAnsiTheme="majorHAnsi" w:cstheme="majorHAnsi"/>
                <w:sz w:val="21"/>
                <w:szCs w:val="21"/>
              </w:rPr>
              <w:t>Nenadić</w:t>
            </w:r>
            <w:proofErr w:type="spellEnd"/>
            <w:r w:rsidRPr="00DE4CD2">
              <w:rPr>
                <w:rFonts w:asciiTheme="majorHAnsi" w:hAnsiTheme="majorHAnsi" w:cstheme="majorHAnsi"/>
                <w:sz w:val="21"/>
                <w:szCs w:val="21"/>
              </w:rPr>
              <w:t>, Goran</w:t>
            </w:r>
          </w:p>
        </w:tc>
        <w:tc>
          <w:tcPr>
            <w:tcW w:w="903" w:type="pct"/>
            <w:hideMark/>
          </w:tcPr>
          <w:p w14:paraId="0131DC8C" w14:textId="77777777" w:rsidR="00FC3526" w:rsidRPr="00DE4CD2" w:rsidRDefault="00FC3526" w:rsidP="007F0A1F">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1"/>
                <w:szCs w:val="21"/>
              </w:rPr>
            </w:pPr>
            <w:r w:rsidRPr="00DE4CD2">
              <w:rPr>
                <w:rFonts w:asciiTheme="majorHAnsi" w:hAnsiTheme="majorHAnsi" w:cstheme="majorHAnsi"/>
                <w:sz w:val="21"/>
                <w:szCs w:val="21"/>
              </w:rPr>
              <w:t>Lecture Notes in Computer Science</w:t>
            </w:r>
          </w:p>
        </w:tc>
        <w:tc>
          <w:tcPr>
            <w:tcW w:w="321" w:type="pct"/>
            <w:hideMark/>
          </w:tcPr>
          <w:p w14:paraId="70E68B92" w14:textId="77777777" w:rsidR="00FC3526" w:rsidRPr="00DE4CD2" w:rsidRDefault="00057971" w:rsidP="007F0A1F">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1"/>
                <w:szCs w:val="21"/>
              </w:rPr>
            </w:pPr>
            <w:hyperlink r:id="rId45" w:tgtFrame="_blank" w:history="1">
              <w:r w:rsidR="00FC3526" w:rsidRPr="00DE4CD2">
                <w:rPr>
                  <w:rStyle w:val="Hyperlink"/>
                  <w:rFonts w:asciiTheme="majorHAnsi" w:eastAsia="Arial" w:hAnsiTheme="majorHAnsi" w:cstheme="majorHAnsi"/>
                  <w:color w:val="auto"/>
                  <w:sz w:val="21"/>
                  <w:szCs w:val="21"/>
                </w:rPr>
                <w:t>Link</w:t>
              </w:r>
            </w:hyperlink>
          </w:p>
        </w:tc>
      </w:tr>
    </w:tbl>
    <w:p w14:paraId="32CFC78D" w14:textId="77777777" w:rsidR="00FC3526" w:rsidRPr="00DE4CD2" w:rsidRDefault="00FC3526" w:rsidP="00FC3526">
      <w:pPr>
        <w:rPr>
          <w:rFonts w:asciiTheme="majorHAnsi" w:hAnsiTheme="majorHAnsi" w:cstheme="majorHAnsi"/>
        </w:rPr>
      </w:pPr>
    </w:p>
    <w:p w14:paraId="0B0C63F8" w14:textId="0B223F5E" w:rsidR="005C3960" w:rsidRPr="00DE4CD2" w:rsidRDefault="005C3960" w:rsidP="005C3960">
      <w:pPr>
        <w:rPr>
          <w:rFonts w:asciiTheme="majorHAnsi" w:hAnsiTheme="majorHAnsi" w:cstheme="majorHAnsi"/>
        </w:rPr>
      </w:pPr>
    </w:p>
    <w:p w14:paraId="09087FE3" w14:textId="612E3EE7" w:rsidR="005B3E1A" w:rsidRPr="00DE4CD2" w:rsidRDefault="005B3E1A" w:rsidP="005B3E1A">
      <w:pPr>
        <w:pStyle w:val="berschrift2"/>
        <w:rPr>
          <w:rFonts w:asciiTheme="majorHAnsi" w:hAnsiTheme="majorHAnsi" w:cstheme="majorHAnsi"/>
          <w:color w:val="auto"/>
        </w:rPr>
      </w:pPr>
      <w:bookmarkStart w:id="16" w:name="_Toc153536126"/>
      <w:r w:rsidRPr="00DE4CD2">
        <w:rPr>
          <w:rFonts w:asciiTheme="majorHAnsi" w:hAnsiTheme="majorHAnsi" w:cstheme="majorHAnsi"/>
          <w:color w:val="auto"/>
        </w:rPr>
        <w:t xml:space="preserve">Group </w:t>
      </w:r>
      <w:r w:rsidR="00FF0B92" w:rsidRPr="00DE4CD2">
        <w:rPr>
          <w:rFonts w:asciiTheme="majorHAnsi" w:hAnsiTheme="majorHAnsi" w:cstheme="majorHAnsi"/>
          <w:color w:val="auto"/>
        </w:rPr>
        <w:t>2</w:t>
      </w:r>
      <w:r w:rsidRPr="00DE4CD2">
        <w:rPr>
          <w:rFonts w:asciiTheme="majorHAnsi" w:hAnsiTheme="majorHAnsi" w:cstheme="majorHAnsi"/>
          <w:color w:val="auto"/>
        </w:rPr>
        <w:t xml:space="preserve"> – Firm Level Datasets</w:t>
      </w:r>
      <w:bookmarkEnd w:id="16"/>
    </w:p>
    <w:p w14:paraId="3BE5A8E1" w14:textId="77777777" w:rsidR="005B3E1A" w:rsidRPr="00DE4CD2" w:rsidRDefault="005B3E1A" w:rsidP="005C3960">
      <w:pPr>
        <w:rPr>
          <w:rFonts w:asciiTheme="majorHAnsi" w:hAnsiTheme="majorHAnsi" w:cstheme="majorHAnsi"/>
        </w:rPr>
      </w:pPr>
    </w:p>
    <w:p w14:paraId="0EB05562" w14:textId="49CFC4B2" w:rsidR="005C3960" w:rsidRPr="00DE4CD2" w:rsidRDefault="005C3960" w:rsidP="00FF0B92">
      <w:pPr>
        <w:pStyle w:val="berschrift3"/>
        <w:rPr>
          <w:rFonts w:asciiTheme="majorHAnsi" w:hAnsiTheme="majorHAnsi" w:cstheme="majorHAnsi"/>
          <w:color w:val="auto"/>
        </w:rPr>
      </w:pPr>
      <w:bookmarkStart w:id="17" w:name="_Toc153536127"/>
      <w:r w:rsidRPr="00DE4CD2">
        <w:rPr>
          <w:rFonts w:asciiTheme="majorHAnsi" w:hAnsiTheme="majorHAnsi" w:cstheme="majorHAnsi"/>
          <w:color w:val="auto"/>
        </w:rPr>
        <w:t>Cheetah</w:t>
      </w:r>
      <w:bookmarkEnd w:id="17"/>
    </w:p>
    <w:p w14:paraId="447F176B" w14:textId="77777777" w:rsidR="005C3960" w:rsidRPr="00DE4CD2" w:rsidRDefault="005C3960" w:rsidP="005C3960">
      <w:pPr>
        <w:rPr>
          <w:rFonts w:asciiTheme="majorHAnsi" w:hAnsiTheme="majorHAnsi" w:cstheme="majorHAnsi"/>
        </w:rPr>
      </w:pPr>
    </w:p>
    <w:p w14:paraId="62B0F5D0" w14:textId="77777777" w:rsidR="00065EEA" w:rsidRPr="00DE4CD2" w:rsidRDefault="00065EEA" w:rsidP="00065EEA">
      <w:pPr>
        <w:rPr>
          <w:rFonts w:asciiTheme="majorHAnsi" w:hAnsiTheme="majorHAnsi" w:cstheme="majorHAnsi"/>
          <w:b/>
          <w:bCs/>
          <w:i/>
          <w:iCs/>
        </w:rPr>
      </w:pPr>
      <w:r w:rsidRPr="00DE4CD2">
        <w:rPr>
          <w:rFonts w:asciiTheme="majorHAnsi" w:hAnsiTheme="majorHAnsi" w:cstheme="majorHAnsi"/>
          <w:b/>
          <w:bCs/>
          <w:i/>
          <w:iCs/>
        </w:rPr>
        <w:t xml:space="preserve">Present State and value added </w:t>
      </w:r>
    </w:p>
    <w:p w14:paraId="39D32353" w14:textId="77777777" w:rsidR="00065EEA" w:rsidRPr="00DE4CD2" w:rsidRDefault="00065EEA" w:rsidP="00065EEA">
      <w:pPr>
        <w:jc w:val="both"/>
        <w:rPr>
          <w:rFonts w:asciiTheme="majorHAnsi" w:hAnsiTheme="majorHAnsi" w:cstheme="majorHAnsi"/>
          <w:lang w:val="en-US"/>
        </w:rPr>
      </w:pPr>
      <w:r w:rsidRPr="00DE4CD2">
        <w:rPr>
          <w:rFonts w:asciiTheme="majorHAnsi" w:hAnsiTheme="majorHAnsi" w:cstheme="majorHAnsi"/>
          <w:lang w:val="en-US"/>
        </w:rPr>
        <w:t>The rapid expansion of firms has garnered increased attention in recent years due to its implications for general economic growth (Coad et al., 2014; Demir et al., 2017). Examining the growth patterns of exceptionally successful firms could offer valuable insights into the factors influencing business dynamism, thereby informing the development of public policies aimed at sustaining system dynamics. Policy analysts have also begun considering fast-growth firms as potential targets for specific measures, and scholars have empirically explored the determinants of rapid growth episodes across countries and sectors.</w:t>
      </w:r>
    </w:p>
    <w:p w14:paraId="73FEFD2B" w14:textId="77777777" w:rsidR="00065EEA" w:rsidRPr="00DE4CD2" w:rsidRDefault="00065EEA" w:rsidP="00065EEA">
      <w:pPr>
        <w:jc w:val="both"/>
        <w:rPr>
          <w:rFonts w:asciiTheme="majorHAnsi" w:hAnsiTheme="majorHAnsi" w:cstheme="majorHAnsi"/>
          <w:lang w:val="en-US"/>
        </w:rPr>
      </w:pPr>
    </w:p>
    <w:p w14:paraId="1843488B" w14:textId="77777777" w:rsidR="00065EEA" w:rsidRPr="00DE4CD2" w:rsidRDefault="00065EEA" w:rsidP="00065EEA">
      <w:pPr>
        <w:jc w:val="both"/>
        <w:rPr>
          <w:rFonts w:asciiTheme="majorHAnsi" w:hAnsiTheme="majorHAnsi" w:cstheme="majorHAnsi"/>
          <w:lang w:val="en-US"/>
        </w:rPr>
      </w:pPr>
      <w:r w:rsidRPr="00DE4CD2">
        <w:rPr>
          <w:rFonts w:asciiTheme="majorHAnsi" w:hAnsiTheme="majorHAnsi" w:cstheme="majorHAnsi"/>
          <w:lang w:val="en-US"/>
        </w:rPr>
        <w:lastRenderedPageBreak/>
        <w:t xml:space="preserve">Cheetah is a unique source of data that offers to researchers new opportunities to study the growth dynamics of a relevant category of firms (i.e. mid-sized firms), which however has been almost neglected by the current academic literature on firm growth. From a policy perspective, FGMFs can contribute substantially to foster employment creation and general economic growth. The European dimension of Cheetah makes the data infrastructure well suited to address research questions concerning the institutional determinants of firm growth across countries, the existence of geographical agglomeration effect, as well as evaluating the performance of fast-growing mid-sized firms (FGMFs) over time. </w:t>
      </w:r>
    </w:p>
    <w:p w14:paraId="6842C1F4" w14:textId="77777777" w:rsidR="00065EEA" w:rsidRPr="00DE4CD2" w:rsidRDefault="00065EEA" w:rsidP="00065EEA">
      <w:pPr>
        <w:rPr>
          <w:rFonts w:asciiTheme="majorHAnsi" w:hAnsiTheme="majorHAnsi" w:cstheme="majorHAnsi"/>
          <w:lang w:val="en-US"/>
        </w:rPr>
      </w:pPr>
    </w:p>
    <w:p w14:paraId="64179617" w14:textId="77777777" w:rsidR="00065EEA" w:rsidRPr="00DE4CD2" w:rsidRDefault="00065EEA" w:rsidP="00065EEA">
      <w:pPr>
        <w:rPr>
          <w:rFonts w:asciiTheme="majorHAnsi" w:hAnsiTheme="majorHAnsi" w:cstheme="majorHAnsi"/>
        </w:rPr>
      </w:pPr>
      <w:r w:rsidRPr="00DE4CD2">
        <w:rPr>
          <w:rFonts w:asciiTheme="majorHAnsi" w:hAnsiTheme="majorHAnsi" w:cstheme="majorHAnsi"/>
        </w:rPr>
        <w:t>Cheetah (version 3.0) includes 129,752 FGMFs that experienced fast-growth rates either in terms of three-years employment growth or three-years turnover growth in at least one of the growth periods of 2008-11, 2009-12, 2010-13, 2011-14, 2012-15, 2013-16, 2014-17, 2015-18, 2016-19 and 2017-20, and are located in 30 European countries. The inclusion criteria for a firm to be included in the current version of the Cheetah dataset are as follows:</w:t>
      </w:r>
    </w:p>
    <w:p w14:paraId="77E5D222" w14:textId="77777777" w:rsidR="00065EEA" w:rsidRPr="00DE4CD2" w:rsidRDefault="00065EEA" w:rsidP="00065EEA">
      <w:pPr>
        <w:pStyle w:val="Listenabsatz"/>
        <w:numPr>
          <w:ilvl w:val="0"/>
          <w:numId w:val="24"/>
        </w:numPr>
        <w:rPr>
          <w:rFonts w:asciiTheme="majorHAnsi" w:hAnsiTheme="majorHAnsi" w:cstheme="majorHAnsi"/>
        </w:rPr>
      </w:pPr>
      <w:r w:rsidRPr="00DE4CD2">
        <w:rPr>
          <w:rFonts w:asciiTheme="majorHAnsi" w:hAnsiTheme="majorHAnsi" w:cstheme="majorHAnsi"/>
        </w:rPr>
        <w:t>firms must be located in Europe (EU27, Norway, Switzerland and the UK);</w:t>
      </w:r>
    </w:p>
    <w:p w14:paraId="46BB6421" w14:textId="77777777" w:rsidR="00065EEA" w:rsidRPr="00DE4CD2" w:rsidRDefault="00065EEA" w:rsidP="00065EEA">
      <w:pPr>
        <w:pStyle w:val="Listenabsatz"/>
        <w:numPr>
          <w:ilvl w:val="0"/>
          <w:numId w:val="24"/>
        </w:numPr>
        <w:rPr>
          <w:rFonts w:asciiTheme="majorHAnsi" w:hAnsiTheme="majorHAnsi" w:cstheme="majorHAnsi"/>
        </w:rPr>
      </w:pPr>
      <w:r w:rsidRPr="00DE4CD2">
        <w:rPr>
          <w:rFonts w:asciiTheme="majorHAnsi" w:hAnsiTheme="majorHAnsi" w:cstheme="majorHAnsi"/>
        </w:rPr>
        <w:t>firms are medium-sized at the beginning of each observation period (2008, 2009, 2010, 2011, 2012, 2013, 2014, 2015, 2016, 2017);</w:t>
      </w:r>
    </w:p>
    <w:p w14:paraId="1DFD108B" w14:textId="77777777" w:rsidR="00065EEA" w:rsidRPr="00DE4CD2" w:rsidRDefault="00065EEA" w:rsidP="00065EEA">
      <w:pPr>
        <w:pStyle w:val="Listenabsatz"/>
        <w:numPr>
          <w:ilvl w:val="0"/>
          <w:numId w:val="24"/>
        </w:numPr>
        <w:rPr>
          <w:rFonts w:asciiTheme="majorHAnsi" w:hAnsiTheme="majorHAnsi" w:cstheme="majorHAnsi"/>
          <w:lang w:val="en-US"/>
        </w:rPr>
      </w:pPr>
      <w:r w:rsidRPr="00DE4CD2">
        <w:rPr>
          <w:rFonts w:asciiTheme="majorHAnsi" w:hAnsiTheme="majorHAnsi" w:cstheme="majorHAnsi"/>
        </w:rPr>
        <w:t>firms experienced fast-growth (either in the number of employees or in turnover) in at least one of the ten observation periods (2008-11; 2009-12; 2010-13; 2011-14; 2012-15; 2013-16; 2014-17; 2015-18; 2016-19; 2017-20).</w:t>
      </w:r>
    </w:p>
    <w:p w14:paraId="10707413" w14:textId="77777777" w:rsidR="00065EEA" w:rsidRPr="00DE4CD2" w:rsidRDefault="00065EEA" w:rsidP="00065EEA">
      <w:pPr>
        <w:rPr>
          <w:rFonts w:asciiTheme="majorHAnsi" w:hAnsiTheme="majorHAnsi" w:cstheme="majorHAnsi"/>
        </w:rPr>
      </w:pPr>
    </w:p>
    <w:p w14:paraId="4521ACA2" w14:textId="0A5E47B2" w:rsidR="00065EEA" w:rsidRPr="00DE4CD2" w:rsidRDefault="00065EEA" w:rsidP="00065EEA">
      <w:pPr>
        <w:rPr>
          <w:rFonts w:asciiTheme="majorHAnsi" w:hAnsiTheme="majorHAnsi" w:cstheme="majorHAnsi"/>
        </w:rPr>
      </w:pPr>
      <w:r w:rsidRPr="00DE4CD2">
        <w:rPr>
          <w:rFonts w:asciiTheme="majorHAnsi" w:hAnsiTheme="majorHAnsi" w:cstheme="majorHAnsi"/>
        </w:rPr>
        <w:t xml:space="preserve">Figure </w:t>
      </w:r>
      <w:r w:rsidR="0063329C" w:rsidRPr="00DE4CD2">
        <w:rPr>
          <w:rFonts w:asciiTheme="majorHAnsi" w:hAnsiTheme="majorHAnsi" w:cstheme="majorHAnsi"/>
        </w:rPr>
        <w:t>16</w:t>
      </w:r>
      <w:r w:rsidRPr="00DE4CD2">
        <w:rPr>
          <w:rFonts w:asciiTheme="majorHAnsi" w:hAnsiTheme="majorHAnsi" w:cstheme="majorHAnsi"/>
        </w:rPr>
        <w:t xml:space="preserve"> shows the number of FGMFs identified on the basis of the inclusion criteria defined above, for each of the periods 2008-11, 2009-12, 2010-13, 2011-14, 2012-15, 2013-16, 2014-17, 2015-18, 2016-19 and 2017-20. </w:t>
      </w:r>
    </w:p>
    <w:p w14:paraId="37E89161" w14:textId="77777777" w:rsidR="00065EEA" w:rsidRPr="00DE4CD2" w:rsidRDefault="00065EEA" w:rsidP="00065EEA">
      <w:pPr>
        <w:rPr>
          <w:rFonts w:asciiTheme="majorHAnsi" w:hAnsiTheme="majorHAnsi" w:cstheme="majorHAnsi"/>
        </w:rPr>
      </w:pPr>
    </w:p>
    <w:p w14:paraId="701DF780" w14:textId="00ADDE5B" w:rsidR="00065EEA" w:rsidRPr="00DE4CD2" w:rsidRDefault="00065EEA" w:rsidP="00065EEA">
      <w:pPr>
        <w:rPr>
          <w:rFonts w:asciiTheme="majorHAnsi" w:hAnsiTheme="majorHAnsi" w:cstheme="majorHAnsi"/>
          <w:i/>
          <w:iCs/>
        </w:rPr>
      </w:pPr>
      <w:r w:rsidRPr="00DE4CD2">
        <w:rPr>
          <w:rFonts w:asciiTheme="majorHAnsi" w:hAnsiTheme="majorHAnsi" w:cstheme="majorHAnsi"/>
          <w:i/>
          <w:iCs/>
        </w:rPr>
        <w:t xml:space="preserve">Figure </w:t>
      </w:r>
      <w:r w:rsidR="0063329C" w:rsidRPr="00DE4CD2">
        <w:rPr>
          <w:rFonts w:asciiTheme="majorHAnsi" w:hAnsiTheme="majorHAnsi" w:cstheme="majorHAnsi"/>
          <w:i/>
          <w:iCs/>
        </w:rPr>
        <w:t>16</w:t>
      </w:r>
      <w:r w:rsidRPr="00DE4CD2">
        <w:rPr>
          <w:rFonts w:asciiTheme="majorHAnsi" w:hAnsiTheme="majorHAnsi" w:cstheme="majorHAnsi"/>
          <w:i/>
          <w:iCs/>
        </w:rPr>
        <w:t xml:space="preserve">. European FGMFs </w:t>
      </w:r>
    </w:p>
    <w:p w14:paraId="48ACCB5B" w14:textId="77777777" w:rsidR="00065EEA" w:rsidRPr="00DE4CD2" w:rsidRDefault="00065EEA" w:rsidP="00065EEA">
      <w:pPr>
        <w:rPr>
          <w:rFonts w:asciiTheme="majorHAnsi" w:hAnsiTheme="majorHAnsi" w:cstheme="majorHAnsi"/>
          <w:i/>
          <w:iCs/>
        </w:rPr>
      </w:pPr>
      <w:r w:rsidRPr="00DE4CD2">
        <w:rPr>
          <w:rFonts w:asciiTheme="majorHAnsi" w:hAnsiTheme="majorHAnsi" w:cstheme="majorHAnsi"/>
          <w:i/>
          <w:iCs/>
          <w:noProof/>
        </w:rPr>
        <w:drawing>
          <wp:inline distT="0" distB="0" distL="0" distR="0" wp14:anchorId="4904A8AA" wp14:editId="52C762B7">
            <wp:extent cx="5240216" cy="2323438"/>
            <wp:effectExtent l="0" t="0" r="0" b="0"/>
            <wp:docPr id="14342" name="Immagine 2" descr="Immagine che contiene testo, schermata, diagramma, Carattere&#10;&#10;Descrizione generata automaticamente">
              <a:extLst xmlns:a="http://schemas.openxmlformats.org/drawingml/2006/main">
                <a:ext uri="{FF2B5EF4-FFF2-40B4-BE49-F238E27FC236}">
                  <a16:creationId xmlns:a16="http://schemas.microsoft.com/office/drawing/2014/main" id="{F79D4964-9294-B49C-409C-C78DE792BC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2" name="Immagine 2" descr="Immagine che contiene testo, schermata, diagramma, Carattere&#10;&#10;Descrizione generata automaticamente">
                      <a:extLst>
                        <a:ext uri="{FF2B5EF4-FFF2-40B4-BE49-F238E27FC236}">
                          <a16:creationId xmlns:a16="http://schemas.microsoft.com/office/drawing/2014/main" id="{F79D4964-9294-B49C-409C-C78DE792BCC5}"/>
                        </a:ext>
                      </a:extLst>
                    </pic:cNvPr>
                    <pic:cNvPicPr>
                      <a:picLocks noChangeAspect="1" noChangeArrowheads="1"/>
                    </pic:cNvPicPr>
                  </pic:nvPicPr>
                  <pic:blipFill rotWithShape="1">
                    <a:blip r:embed="rId46">
                      <a:extLst>
                        <a:ext uri="{28A0092B-C50C-407E-A947-70E740481C1C}">
                          <a14:useLocalDpi xmlns:a14="http://schemas.microsoft.com/office/drawing/2010/main" val="0"/>
                        </a:ext>
                      </a:extLst>
                    </a:blip>
                    <a:srcRect t="11758" b="7294"/>
                    <a:stretch/>
                  </pic:blipFill>
                  <pic:spPr bwMode="auto">
                    <a:xfrm>
                      <a:off x="0" y="0"/>
                      <a:ext cx="5250212" cy="2327870"/>
                    </a:xfrm>
                    <a:prstGeom prst="rect">
                      <a:avLst/>
                    </a:prstGeom>
                    <a:noFill/>
                    <a:ln>
                      <a:noFill/>
                    </a:ln>
                    <a:extLst>
                      <a:ext uri="{53640926-AAD7-44D8-BBD7-CCE9431645EC}">
                        <a14:shadowObscured xmlns:a14="http://schemas.microsoft.com/office/drawing/2010/main"/>
                      </a:ext>
                    </a:extLst>
                  </pic:spPr>
                </pic:pic>
              </a:graphicData>
            </a:graphic>
          </wp:inline>
        </w:drawing>
      </w:r>
    </w:p>
    <w:p w14:paraId="143F418E" w14:textId="77777777" w:rsidR="00065EEA" w:rsidRPr="00DE4CD2" w:rsidRDefault="00065EEA" w:rsidP="00065EEA">
      <w:pPr>
        <w:rPr>
          <w:rFonts w:asciiTheme="majorHAnsi" w:hAnsiTheme="majorHAnsi" w:cstheme="majorHAnsi"/>
        </w:rPr>
      </w:pPr>
    </w:p>
    <w:p w14:paraId="28024497" w14:textId="05B50B9F" w:rsidR="00065EEA" w:rsidRPr="00DE4CD2" w:rsidRDefault="00065EEA" w:rsidP="00065EEA">
      <w:pPr>
        <w:rPr>
          <w:rFonts w:asciiTheme="majorHAnsi" w:hAnsiTheme="majorHAnsi" w:cstheme="majorHAnsi"/>
        </w:rPr>
      </w:pPr>
      <w:r w:rsidRPr="00DE4CD2">
        <w:rPr>
          <w:rFonts w:asciiTheme="majorHAnsi" w:hAnsiTheme="majorHAnsi" w:cstheme="majorHAnsi"/>
        </w:rPr>
        <w:t xml:space="preserve">The Cheetah dataset is composed by three tables, as depicted in Figure </w:t>
      </w:r>
      <w:r w:rsidR="0063329C" w:rsidRPr="00DE4CD2">
        <w:rPr>
          <w:rFonts w:asciiTheme="majorHAnsi" w:hAnsiTheme="majorHAnsi" w:cstheme="majorHAnsi"/>
        </w:rPr>
        <w:t>17</w:t>
      </w:r>
      <w:r w:rsidRPr="00DE4CD2">
        <w:rPr>
          <w:rFonts w:asciiTheme="majorHAnsi" w:hAnsiTheme="majorHAnsi" w:cstheme="majorHAnsi"/>
        </w:rPr>
        <w:t>:</w:t>
      </w:r>
    </w:p>
    <w:p w14:paraId="7A0E2939" w14:textId="77777777" w:rsidR="00065EEA" w:rsidRPr="00DE4CD2" w:rsidRDefault="00065EEA" w:rsidP="00065EEA">
      <w:pPr>
        <w:pStyle w:val="Listenabsatz"/>
        <w:numPr>
          <w:ilvl w:val="0"/>
          <w:numId w:val="23"/>
        </w:numPr>
        <w:rPr>
          <w:rFonts w:asciiTheme="majorHAnsi" w:hAnsiTheme="majorHAnsi" w:cstheme="majorHAnsi"/>
        </w:rPr>
      </w:pPr>
      <w:r w:rsidRPr="00DE4CD2">
        <w:rPr>
          <w:rFonts w:asciiTheme="majorHAnsi" w:hAnsiTheme="majorHAnsi" w:cstheme="majorHAnsi"/>
        </w:rPr>
        <w:t xml:space="preserve">Main Table, which contains information on basic firm characteristics, fast-growth indicators, and accounting information. The unit of observation is the FGMF; </w:t>
      </w:r>
    </w:p>
    <w:p w14:paraId="0C505DC8" w14:textId="77777777" w:rsidR="00065EEA" w:rsidRPr="00DE4CD2" w:rsidRDefault="00065EEA" w:rsidP="00065EEA">
      <w:pPr>
        <w:pStyle w:val="Listenabsatz"/>
        <w:numPr>
          <w:ilvl w:val="0"/>
          <w:numId w:val="23"/>
        </w:numPr>
        <w:rPr>
          <w:rFonts w:asciiTheme="majorHAnsi" w:hAnsiTheme="majorHAnsi" w:cstheme="majorHAnsi"/>
        </w:rPr>
      </w:pPr>
      <w:r w:rsidRPr="00DE4CD2">
        <w:rPr>
          <w:rFonts w:asciiTheme="majorHAnsi" w:hAnsiTheme="majorHAnsi" w:cstheme="majorHAnsi"/>
        </w:rPr>
        <w:t>Ownership Table, which contains information on the ownership structure (shareholder information) of FGMFs. The main unit of observation is the shareholder-FGMF dyad;</w:t>
      </w:r>
    </w:p>
    <w:p w14:paraId="022A6EB1" w14:textId="77777777" w:rsidR="00065EEA" w:rsidRPr="00DE4CD2" w:rsidRDefault="00065EEA" w:rsidP="00065EEA">
      <w:pPr>
        <w:pStyle w:val="Listenabsatz"/>
        <w:numPr>
          <w:ilvl w:val="0"/>
          <w:numId w:val="23"/>
        </w:numPr>
        <w:rPr>
          <w:rFonts w:asciiTheme="majorHAnsi" w:hAnsiTheme="majorHAnsi" w:cstheme="majorHAnsi"/>
        </w:rPr>
      </w:pPr>
      <w:r w:rsidRPr="00DE4CD2">
        <w:rPr>
          <w:rFonts w:asciiTheme="majorHAnsi" w:hAnsiTheme="majorHAnsi" w:cstheme="majorHAnsi"/>
        </w:rPr>
        <w:t>M&amp;A Table, which contains information on M&amp;A deals conducted by FGMFs. The main unit of observation is the M&amp;A deal (i.e. the FGMF-target firm-date triad).</w:t>
      </w:r>
    </w:p>
    <w:p w14:paraId="30E53626" w14:textId="77777777" w:rsidR="00065EEA" w:rsidRPr="00DE4CD2" w:rsidRDefault="00065EEA" w:rsidP="00065EEA">
      <w:pPr>
        <w:rPr>
          <w:rFonts w:asciiTheme="majorHAnsi" w:hAnsiTheme="majorHAnsi" w:cstheme="majorHAnsi"/>
        </w:rPr>
      </w:pPr>
    </w:p>
    <w:p w14:paraId="645B0BF9" w14:textId="1814AEE7" w:rsidR="00065EEA" w:rsidRPr="00DE4CD2" w:rsidRDefault="00065EEA" w:rsidP="00065EEA">
      <w:pPr>
        <w:rPr>
          <w:rFonts w:asciiTheme="majorHAnsi" w:hAnsiTheme="majorHAnsi" w:cstheme="majorHAnsi"/>
          <w:i/>
          <w:iCs/>
        </w:rPr>
      </w:pPr>
      <w:r w:rsidRPr="00DE4CD2">
        <w:rPr>
          <w:rFonts w:asciiTheme="majorHAnsi" w:hAnsiTheme="majorHAnsi" w:cstheme="majorHAnsi"/>
          <w:i/>
          <w:iCs/>
        </w:rPr>
        <w:t xml:space="preserve">Figure </w:t>
      </w:r>
      <w:r w:rsidR="0063329C" w:rsidRPr="00DE4CD2">
        <w:rPr>
          <w:rFonts w:asciiTheme="majorHAnsi" w:hAnsiTheme="majorHAnsi" w:cstheme="majorHAnsi"/>
          <w:i/>
          <w:iCs/>
        </w:rPr>
        <w:t>17</w:t>
      </w:r>
      <w:r w:rsidRPr="00DE4CD2">
        <w:rPr>
          <w:rFonts w:asciiTheme="majorHAnsi" w:hAnsiTheme="majorHAnsi" w:cstheme="majorHAnsi"/>
          <w:i/>
          <w:iCs/>
        </w:rPr>
        <w:t xml:space="preserve">. Structure of Cheetah (version 3.0) </w:t>
      </w:r>
    </w:p>
    <w:p w14:paraId="13E73AD5" w14:textId="77777777" w:rsidR="00065EEA" w:rsidRPr="00DE4CD2" w:rsidRDefault="00065EEA" w:rsidP="00065EEA">
      <w:pPr>
        <w:jc w:val="both"/>
        <w:rPr>
          <w:rFonts w:asciiTheme="majorHAnsi" w:hAnsiTheme="majorHAnsi" w:cstheme="majorHAnsi"/>
          <w:lang w:val="en-US"/>
        </w:rPr>
      </w:pPr>
      <w:r w:rsidRPr="00DE4CD2">
        <w:rPr>
          <w:rFonts w:asciiTheme="majorHAnsi" w:hAnsiTheme="majorHAnsi" w:cstheme="majorHAnsi"/>
          <w:noProof/>
        </w:rPr>
        <w:drawing>
          <wp:inline distT="0" distB="0" distL="0" distR="0" wp14:anchorId="4622E1F8" wp14:editId="4343B89E">
            <wp:extent cx="5805923" cy="2869809"/>
            <wp:effectExtent l="0" t="0" r="0" b="0"/>
            <wp:docPr id="13319" name="Immagine 13318" descr="Immagine che contiene schermata, oscurità, nero&#10;&#10;Descrizione generata automaticamente">
              <a:extLst xmlns:a="http://schemas.openxmlformats.org/drawingml/2006/main">
                <a:ext uri="{FF2B5EF4-FFF2-40B4-BE49-F238E27FC236}">
                  <a16:creationId xmlns:a16="http://schemas.microsoft.com/office/drawing/2014/main" id="{8F1C923E-2533-5AD8-BB01-AAB18EC98F7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9" name="Immagine 13318" descr="Immagine che contiene schermata, oscurità, nero&#10;&#10;Descrizione generata automaticamente">
                      <a:extLst>
                        <a:ext uri="{FF2B5EF4-FFF2-40B4-BE49-F238E27FC236}">
                          <a16:creationId xmlns:a16="http://schemas.microsoft.com/office/drawing/2014/main" id="{8F1C923E-2533-5AD8-BB01-AAB18EC98F7B}"/>
                        </a:ext>
                      </a:extLst>
                    </pic:cNvPr>
                    <pic:cNvPicPr>
                      <a:picLocks noChangeAspect="1"/>
                    </pic:cNvPicPr>
                  </pic:nvPicPr>
                  <pic:blipFill>
                    <a:blip r:embed="rId47"/>
                    <a:stretch>
                      <a:fillRect/>
                    </a:stretch>
                  </pic:blipFill>
                  <pic:spPr>
                    <a:xfrm>
                      <a:off x="0" y="0"/>
                      <a:ext cx="5840709" cy="2887003"/>
                    </a:xfrm>
                    <a:prstGeom prst="rect">
                      <a:avLst/>
                    </a:prstGeom>
                  </pic:spPr>
                </pic:pic>
              </a:graphicData>
            </a:graphic>
          </wp:inline>
        </w:drawing>
      </w:r>
    </w:p>
    <w:p w14:paraId="28C8BC05" w14:textId="77777777" w:rsidR="00065EEA" w:rsidRPr="00DE4CD2" w:rsidRDefault="00065EEA" w:rsidP="00065EEA">
      <w:pPr>
        <w:jc w:val="both"/>
        <w:rPr>
          <w:rFonts w:asciiTheme="majorHAnsi" w:hAnsiTheme="majorHAnsi" w:cstheme="majorHAnsi"/>
          <w:lang w:val="en-US"/>
        </w:rPr>
      </w:pPr>
    </w:p>
    <w:p w14:paraId="37E1DFF6" w14:textId="77777777" w:rsidR="00065EEA" w:rsidRPr="00DE4CD2" w:rsidRDefault="00065EEA" w:rsidP="00065EEA">
      <w:pPr>
        <w:rPr>
          <w:rFonts w:asciiTheme="majorHAnsi" w:hAnsiTheme="majorHAnsi" w:cstheme="majorHAnsi"/>
          <w:b/>
          <w:bCs/>
          <w:i/>
          <w:iCs/>
        </w:rPr>
      </w:pPr>
      <w:r w:rsidRPr="00DE4CD2">
        <w:rPr>
          <w:rFonts w:asciiTheme="majorHAnsi" w:hAnsiTheme="majorHAnsi" w:cstheme="majorHAnsi"/>
          <w:b/>
          <w:bCs/>
          <w:i/>
          <w:iCs/>
        </w:rPr>
        <w:t>Main achievements</w:t>
      </w:r>
    </w:p>
    <w:p w14:paraId="6F59B987" w14:textId="23821399" w:rsidR="00065EEA" w:rsidRPr="00DE4CD2" w:rsidRDefault="00065EEA" w:rsidP="00065EEA">
      <w:pPr>
        <w:jc w:val="both"/>
        <w:rPr>
          <w:rFonts w:asciiTheme="majorHAnsi" w:hAnsiTheme="majorHAnsi" w:cstheme="majorHAnsi"/>
          <w:bCs/>
          <w:iCs/>
          <w:lang w:val="en-US"/>
        </w:rPr>
      </w:pPr>
      <w:r w:rsidRPr="00DE4CD2">
        <w:rPr>
          <w:rFonts w:asciiTheme="majorHAnsi" w:hAnsiTheme="majorHAnsi" w:cstheme="majorHAnsi"/>
          <w:bCs/>
          <w:iCs/>
          <w:lang w:val="en-US"/>
        </w:rPr>
        <w:t xml:space="preserve">The first version of Cheetah has been developed under the first RISIS project, providing information on three cohorts of European FGMFs that experienced fast growth in the periods </w:t>
      </w:r>
      <w:r w:rsidRPr="00DE4CD2">
        <w:rPr>
          <w:rFonts w:asciiTheme="majorHAnsi" w:hAnsiTheme="majorHAnsi" w:cstheme="majorHAnsi"/>
        </w:rPr>
        <w:t xml:space="preserve">2008-11, 2009-12, and 2010-13, for a total of around 45,000 firms. </w:t>
      </w:r>
      <w:r w:rsidRPr="00DE4CD2">
        <w:rPr>
          <w:rFonts w:asciiTheme="majorHAnsi" w:hAnsiTheme="majorHAnsi" w:cstheme="majorHAnsi"/>
          <w:bCs/>
          <w:iCs/>
          <w:lang w:val="en-US"/>
        </w:rPr>
        <w:t xml:space="preserve">Under the RISIS2 project, Cheetah has been updated twice and extended with new modules and variables. A first updated and extended release of Cheetah (version 2.0) has been made available on M22, with information on 95,407 FGMFs that experienced fast growth in the periods </w:t>
      </w:r>
      <w:r w:rsidRPr="00DE4CD2">
        <w:rPr>
          <w:rFonts w:asciiTheme="majorHAnsi" w:hAnsiTheme="majorHAnsi" w:cstheme="majorHAnsi"/>
        </w:rPr>
        <w:t xml:space="preserve">2008-11, 2009-12, 2010-13, 2011-14, 2012-15, 2013-16, 2014-17 (so with the addition of four new cohorts compared to version 1.0). </w:t>
      </w:r>
      <w:r w:rsidRPr="00DE4CD2">
        <w:rPr>
          <w:rFonts w:asciiTheme="majorHAnsi" w:hAnsiTheme="majorHAnsi" w:cstheme="majorHAnsi"/>
          <w:bCs/>
          <w:iCs/>
          <w:lang w:val="en-US"/>
        </w:rPr>
        <w:t xml:space="preserve">The current version of Cheetah (version 3.0) provides information on ten cohorts of FGMFs (129,752 firms) and has been made available on M42.  Main achievements under the RISIS2 project are summarized in Table </w:t>
      </w:r>
      <w:r w:rsidR="0063329C" w:rsidRPr="00DE4CD2">
        <w:rPr>
          <w:rFonts w:asciiTheme="majorHAnsi" w:hAnsiTheme="majorHAnsi" w:cstheme="majorHAnsi"/>
          <w:bCs/>
          <w:iCs/>
          <w:lang w:val="en-US"/>
        </w:rPr>
        <w:t>9</w:t>
      </w:r>
      <w:r w:rsidRPr="00DE4CD2">
        <w:rPr>
          <w:rFonts w:asciiTheme="majorHAnsi" w:hAnsiTheme="majorHAnsi" w:cstheme="majorHAnsi"/>
          <w:bCs/>
          <w:iCs/>
          <w:lang w:val="en-US"/>
        </w:rPr>
        <w:t>.</w:t>
      </w:r>
    </w:p>
    <w:p w14:paraId="602F7617" w14:textId="77777777" w:rsidR="00065EEA" w:rsidRPr="00DE4CD2" w:rsidRDefault="00065EEA" w:rsidP="00065EEA">
      <w:pPr>
        <w:pStyle w:val="Listenabsatz"/>
        <w:jc w:val="both"/>
        <w:rPr>
          <w:rFonts w:asciiTheme="majorHAnsi" w:hAnsiTheme="majorHAnsi" w:cstheme="majorHAnsi"/>
          <w:lang w:val="en-US"/>
        </w:rPr>
      </w:pPr>
    </w:p>
    <w:p w14:paraId="17D2288D" w14:textId="3C17216C" w:rsidR="00065EEA" w:rsidRPr="00DE4CD2" w:rsidRDefault="00065EEA" w:rsidP="00065EEA">
      <w:pPr>
        <w:rPr>
          <w:rFonts w:asciiTheme="majorHAnsi" w:hAnsiTheme="majorHAnsi" w:cstheme="majorHAnsi"/>
          <w:i/>
          <w:iCs/>
        </w:rPr>
      </w:pPr>
      <w:r w:rsidRPr="00DE4CD2">
        <w:rPr>
          <w:rFonts w:asciiTheme="majorHAnsi" w:hAnsiTheme="majorHAnsi" w:cstheme="majorHAnsi"/>
          <w:i/>
          <w:iCs/>
        </w:rPr>
        <w:t xml:space="preserve">Table </w:t>
      </w:r>
      <w:r w:rsidR="0063329C" w:rsidRPr="00DE4CD2">
        <w:rPr>
          <w:rFonts w:asciiTheme="majorHAnsi" w:hAnsiTheme="majorHAnsi" w:cstheme="majorHAnsi"/>
          <w:i/>
          <w:iCs/>
        </w:rPr>
        <w:t>9</w:t>
      </w:r>
      <w:r w:rsidRPr="00DE4CD2">
        <w:rPr>
          <w:rFonts w:asciiTheme="majorHAnsi" w:hAnsiTheme="majorHAnsi" w:cstheme="majorHAnsi"/>
          <w:i/>
          <w:iCs/>
        </w:rPr>
        <w:t xml:space="preserve">. Main achievements under the RISIS2 project </w:t>
      </w:r>
    </w:p>
    <w:tbl>
      <w:tblPr>
        <w:tblStyle w:val="Tabellenraster"/>
        <w:tblW w:w="0" w:type="auto"/>
        <w:jc w:val="center"/>
        <w:tblLook w:val="04A0" w:firstRow="1" w:lastRow="0" w:firstColumn="1" w:lastColumn="0" w:noHBand="0" w:noVBand="1"/>
      </w:tblPr>
      <w:tblGrid>
        <w:gridCol w:w="2540"/>
        <w:gridCol w:w="6975"/>
      </w:tblGrid>
      <w:tr w:rsidR="00FC3526" w:rsidRPr="00DE4CD2" w14:paraId="54E63A31" w14:textId="77777777" w:rsidTr="00DE6428">
        <w:trPr>
          <w:jc w:val="center"/>
        </w:trPr>
        <w:tc>
          <w:tcPr>
            <w:tcW w:w="2540" w:type="dxa"/>
          </w:tcPr>
          <w:p w14:paraId="746A54AE" w14:textId="77777777" w:rsidR="00065EEA" w:rsidRPr="00DE4CD2" w:rsidRDefault="00065EEA" w:rsidP="00DE6428">
            <w:pPr>
              <w:pBdr>
                <w:top w:val="none" w:sz="0" w:space="0" w:color="auto"/>
                <w:left w:val="none" w:sz="0" w:space="0" w:color="auto"/>
                <w:bottom w:val="none" w:sz="0" w:space="0" w:color="auto"/>
                <w:right w:val="none" w:sz="0" w:space="0" w:color="auto"/>
                <w:between w:val="none" w:sz="0" w:space="0" w:color="auto"/>
              </w:pBdr>
              <w:rPr>
                <w:rFonts w:asciiTheme="majorHAnsi" w:hAnsiTheme="majorHAnsi" w:cstheme="majorHAnsi"/>
                <w:b/>
                <w:iCs/>
                <w:lang w:val="en-US"/>
              </w:rPr>
            </w:pPr>
            <w:r w:rsidRPr="00DE4CD2">
              <w:rPr>
                <w:rFonts w:asciiTheme="majorHAnsi" w:hAnsiTheme="majorHAnsi" w:cstheme="majorHAnsi"/>
                <w:b/>
                <w:iCs/>
                <w:lang w:val="en-US"/>
              </w:rPr>
              <w:t>Achievement</w:t>
            </w:r>
          </w:p>
        </w:tc>
        <w:tc>
          <w:tcPr>
            <w:tcW w:w="6975" w:type="dxa"/>
          </w:tcPr>
          <w:p w14:paraId="2E3F7E8A" w14:textId="77777777" w:rsidR="00065EEA" w:rsidRPr="00DE4CD2" w:rsidRDefault="00065EEA" w:rsidP="00DE6428">
            <w:pPr>
              <w:pBdr>
                <w:top w:val="none" w:sz="0" w:space="0" w:color="auto"/>
                <w:left w:val="none" w:sz="0" w:space="0" w:color="auto"/>
                <w:bottom w:val="none" w:sz="0" w:space="0" w:color="auto"/>
                <w:right w:val="none" w:sz="0" w:space="0" w:color="auto"/>
                <w:between w:val="none" w:sz="0" w:space="0" w:color="auto"/>
              </w:pBdr>
              <w:rPr>
                <w:rFonts w:asciiTheme="majorHAnsi" w:hAnsiTheme="majorHAnsi" w:cstheme="majorHAnsi"/>
                <w:b/>
                <w:iCs/>
                <w:lang w:val="en-US"/>
              </w:rPr>
            </w:pPr>
            <w:r w:rsidRPr="00DE4CD2">
              <w:rPr>
                <w:rFonts w:asciiTheme="majorHAnsi" w:hAnsiTheme="majorHAnsi" w:cstheme="majorHAnsi"/>
                <w:b/>
                <w:iCs/>
                <w:lang w:val="en-US"/>
              </w:rPr>
              <w:t>Description</w:t>
            </w:r>
          </w:p>
        </w:tc>
      </w:tr>
      <w:tr w:rsidR="00FC3526" w:rsidRPr="00DE4CD2" w14:paraId="751F93EE" w14:textId="77777777" w:rsidTr="00DE6428">
        <w:trPr>
          <w:trHeight w:val="719"/>
          <w:jc w:val="center"/>
        </w:trPr>
        <w:tc>
          <w:tcPr>
            <w:tcW w:w="2540" w:type="dxa"/>
            <w:vAlign w:val="center"/>
          </w:tcPr>
          <w:p w14:paraId="1F533D46" w14:textId="77777777" w:rsidR="00065EEA" w:rsidRPr="00DE4CD2" w:rsidRDefault="00065EEA" w:rsidP="00DE6428">
            <w:pPr>
              <w:pBdr>
                <w:top w:val="none" w:sz="0" w:space="0" w:color="auto"/>
                <w:left w:val="none" w:sz="0" w:space="0" w:color="auto"/>
                <w:bottom w:val="none" w:sz="0" w:space="0" w:color="auto"/>
                <w:right w:val="none" w:sz="0" w:space="0" w:color="auto"/>
                <w:between w:val="none" w:sz="0" w:space="0" w:color="auto"/>
              </w:pBdr>
              <w:rPr>
                <w:rFonts w:asciiTheme="majorHAnsi" w:hAnsiTheme="majorHAnsi" w:cstheme="majorHAnsi"/>
                <w:bCs/>
                <w:iCs/>
                <w:lang w:val="en-US"/>
              </w:rPr>
            </w:pPr>
            <w:r w:rsidRPr="00DE4CD2">
              <w:rPr>
                <w:rFonts w:asciiTheme="majorHAnsi" w:hAnsiTheme="majorHAnsi" w:cstheme="majorHAnsi"/>
                <w:bCs/>
                <w:iCs/>
                <w:lang w:val="en-US"/>
              </w:rPr>
              <w:t>Temporal coverage</w:t>
            </w:r>
          </w:p>
        </w:tc>
        <w:tc>
          <w:tcPr>
            <w:tcW w:w="6975" w:type="dxa"/>
            <w:vAlign w:val="center"/>
          </w:tcPr>
          <w:p w14:paraId="5762673E" w14:textId="77777777" w:rsidR="00065EEA" w:rsidRPr="00DE4CD2" w:rsidRDefault="00065EEA" w:rsidP="00DE6428">
            <w:pPr>
              <w:rPr>
                <w:rFonts w:asciiTheme="majorHAnsi" w:hAnsiTheme="majorHAnsi" w:cstheme="majorHAnsi"/>
              </w:rPr>
            </w:pPr>
            <w:r w:rsidRPr="00DE4CD2">
              <w:rPr>
                <w:rFonts w:asciiTheme="majorHAnsi" w:hAnsiTheme="majorHAnsi" w:cstheme="majorHAnsi"/>
                <w:bCs/>
                <w:iCs/>
                <w:lang w:val="en-US"/>
              </w:rPr>
              <w:t>Seven new cohorts of FGMFs (</w:t>
            </w:r>
            <w:r w:rsidRPr="00DE4CD2">
              <w:rPr>
                <w:rFonts w:asciiTheme="majorHAnsi" w:hAnsiTheme="majorHAnsi" w:cstheme="majorHAnsi"/>
              </w:rPr>
              <w:t>2011-14, 2012-15, 2013-16, 2014-17, 2015-18, 2016-19 and 2017-20</w:t>
            </w:r>
            <w:r w:rsidRPr="00DE4CD2">
              <w:rPr>
                <w:rFonts w:asciiTheme="majorHAnsi" w:hAnsiTheme="majorHAnsi" w:cstheme="majorHAnsi"/>
                <w:bCs/>
                <w:iCs/>
                <w:lang w:val="en-US"/>
              </w:rPr>
              <w:t>).</w:t>
            </w:r>
          </w:p>
        </w:tc>
      </w:tr>
      <w:tr w:rsidR="00FC3526" w:rsidRPr="00DE4CD2" w14:paraId="16A4ACA9" w14:textId="77777777" w:rsidTr="00DE6428">
        <w:trPr>
          <w:trHeight w:val="719"/>
          <w:jc w:val="center"/>
        </w:trPr>
        <w:tc>
          <w:tcPr>
            <w:tcW w:w="2540" w:type="dxa"/>
            <w:vAlign w:val="center"/>
          </w:tcPr>
          <w:p w14:paraId="577B0C91" w14:textId="77777777" w:rsidR="00065EEA" w:rsidRPr="00DE4CD2" w:rsidRDefault="00065EEA" w:rsidP="00DE6428">
            <w:pPr>
              <w:pBdr>
                <w:top w:val="none" w:sz="0" w:space="0" w:color="auto"/>
                <w:left w:val="none" w:sz="0" w:space="0" w:color="auto"/>
                <w:bottom w:val="none" w:sz="0" w:space="0" w:color="auto"/>
                <w:right w:val="none" w:sz="0" w:space="0" w:color="auto"/>
                <w:between w:val="none" w:sz="0" w:space="0" w:color="auto"/>
              </w:pBdr>
              <w:rPr>
                <w:rFonts w:asciiTheme="majorHAnsi" w:hAnsiTheme="majorHAnsi" w:cstheme="majorHAnsi"/>
                <w:bCs/>
                <w:iCs/>
                <w:lang w:val="en-US"/>
              </w:rPr>
            </w:pPr>
            <w:r w:rsidRPr="00DE4CD2">
              <w:rPr>
                <w:rFonts w:asciiTheme="majorHAnsi" w:hAnsiTheme="majorHAnsi" w:cstheme="majorHAnsi"/>
                <w:bCs/>
                <w:iCs/>
                <w:lang w:val="en-US"/>
              </w:rPr>
              <w:t xml:space="preserve">Ownership and governance </w:t>
            </w:r>
          </w:p>
        </w:tc>
        <w:tc>
          <w:tcPr>
            <w:tcW w:w="6975" w:type="dxa"/>
            <w:vAlign w:val="center"/>
          </w:tcPr>
          <w:p w14:paraId="269E014D" w14:textId="77777777" w:rsidR="00065EEA" w:rsidRPr="00DE4CD2" w:rsidRDefault="00065EEA" w:rsidP="00DE6428">
            <w:pPr>
              <w:pBdr>
                <w:top w:val="none" w:sz="0" w:space="0" w:color="auto"/>
                <w:left w:val="none" w:sz="0" w:space="0" w:color="auto"/>
                <w:bottom w:val="none" w:sz="0" w:space="0" w:color="auto"/>
                <w:right w:val="none" w:sz="0" w:space="0" w:color="auto"/>
                <w:between w:val="none" w:sz="0" w:space="0" w:color="auto"/>
              </w:pBdr>
              <w:rPr>
                <w:rFonts w:asciiTheme="majorHAnsi" w:hAnsiTheme="majorHAnsi" w:cstheme="majorHAnsi"/>
                <w:bCs/>
                <w:iCs/>
                <w:lang w:val="en-US"/>
              </w:rPr>
            </w:pPr>
            <w:r w:rsidRPr="00DE4CD2">
              <w:rPr>
                <w:rFonts w:asciiTheme="majorHAnsi" w:hAnsiTheme="majorHAnsi" w:cstheme="majorHAnsi"/>
                <w:bCs/>
                <w:iCs/>
                <w:lang w:val="en-US"/>
              </w:rPr>
              <w:t>New module with information on more than 600,000 shareholders of the FGMFs (Ownership Table).</w:t>
            </w:r>
          </w:p>
        </w:tc>
      </w:tr>
      <w:tr w:rsidR="00FC3526" w:rsidRPr="00DE4CD2" w14:paraId="3247391F" w14:textId="77777777" w:rsidTr="00DE6428">
        <w:trPr>
          <w:trHeight w:val="719"/>
          <w:jc w:val="center"/>
        </w:trPr>
        <w:tc>
          <w:tcPr>
            <w:tcW w:w="2540" w:type="dxa"/>
            <w:vAlign w:val="center"/>
          </w:tcPr>
          <w:p w14:paraId="46808006" w14:textId="77777777" w:rsidR="00065EEA" w:rsidRPr="00DE4CD2" w:rsidRDefault="00065EEA" w:rsidP="00DE6428">
            <w:pPr>
              <w:pBdr>
                <w:top w:val="none" w:sz="0" w:space="0" w:color="auto"/>
                <w:left w:val="none" w:sz="0" w:space="0" w:color="auto"/>
                <w:bottom w:val="none" w:sz="0" w:space="0" w:color="auto"/>
                <w:right w:val="none" w:sz="0" w:space="0" w:color="auto"/>
                <w:between w:val="none" w:sz="0" w:space="0" w:color="auto"/>
              </w:pBdr>
              <w:rPr>
                <w:rFonts w:asciiTheme="majorHAnsi" w:hAnsiTheme="majorHAnsi" w:cstheme="majorHAnsi"/>
                <w:bCs/>
                <w:iCs/>
                <w:lang w:val="en-US"/>
              </w:rPr>
            </w:pPr>
            <w:r w:rsidRPr="00DE4CD2">
              <w:rPr>
                <w:rFonts w:asciiTheme="majorHAnsi" w:hAnsiTheme="majorHAnsi" w:cstheme="majorHAnsi"/>
                <w:bCs/>
                <w:iCs/>
                <w:lang w:val="en-US"/>
              </w:rPr>
              <w:t>M&amp;A activity</w:t>
            </w:r>
          </w:p>
        </w:tc>
        <w:tc>
          <w:tcPr>
            <w:tcW w:w="6975" w:type="dxa"/>
            <w:vAlign w:val="center"/>
          </w:tcPr>
          <w:p w14:paraId="4ABC3B99" w14:textId="77777777" w:rsidR="00065EEA" w:rsidRPr="00DE4CD2" w:rsidRDefault="00065EEA" w:rsidP="00DE6428">
            <w:pPr>
              <w:pBdr>
                <w:top w:val="none" w:sz="0" w:space="0" w:color="auto"/>
                <w:left w:val="none" w:sz="0" w:space="0" w:color="auto"/>
                <w:bottom w:val="none" w:sz="0" w:space="0" w:color="auto"/>
                <w:right w:val="none" w:sz="0" w:space="0" w:color="auto"/>
                <w:between w:val="none" w:sz="0" w:space="0" w:color="auto"/>
              </w:pBdr>
              <w:rPr>
                <w:rFonts w:asciiTheme="majorHAnsi" w:hAnsiTheme="majorHAnsi" w:cstheme="majorHAnsi"/>
                <w:bCs/>
                <w:iCs/>
                <w:lang w:val="en-US"/>
              </w:rPr>
            </w:pPr>
            <w:r w:rsidRPr="00DE4CD2">
              <w:rPr>
                <w:rFonts w:asciiTheme="majorHAnsi" w:hAnsiTheme="majorHAnsi" w:cstheme="majorHAnsi"/>
                <w:bCs/>
                <w:iCs/>
                <w:lang w:val="en-US"/>
              </w:rPr>
              <w:t>New module with information on more than 30,000 M&amp;A deals made by the FGMFs (M&amp;A Table).</w:t>
            </w:r>
          </w:p>
        </w:tc>
      </w:tr>
      <w:tr w:rsidR="00FC3526" w:rsidRPr="00DE4CD2" w14:paraId="55D4F315" w14:textId="77777777" w:rsidTr="00DE6428">
        <w:trPr>
          <w:trHeight w:val="719"/>
          <w:jc w:val="center"/>
        </w:trPr>
        <w:tc>
          <w:tcPr>
            <w:tcW w:w="2540" w:type="dxa"/>
            <w:vAlign w:val="center"/>
          </w:tcPr>
          <w:p w14:paraId="71671A3F" w14:textId="77777777" w:rsidR="00065EEA" w:rsidRPr="00DE4CD2" w:rsidRDefault="00065EEA" w:rsidP="00DE6428">
            <w:pPr>
              <w:pBdr>
                <w:top w:val="none" w:sz="0" w:space="0" w:color="auto"/>
                <w:left w:val="none" w:sz="0" w:space="0" w:color="auto"/>
                <w:bottom w:val="none" w:sz="0" w:space="0" w:color="auto"/>
                <w:right w:val="none" w:sz="0" w:space="0" w:color="auto"/>
                <w:between w:val="none" w:sz="0" w:space="0" w:color="auto"/>
              </w:pBdr>
              <w:rPr>
                <w:rFonts w:asciiTheme="majorHAnsi" w:hAnsiTheme="majorHAnsi" w:cstheme="majorHAnsi"/>
                <w:bCs/>
                <w:iCs/>
                <w:lang w:val="en-US"/>
              </w:rPr>
            </w:pPr>
            <w:r w:rsidRPr="00DE4CD2">
              <w:rPr>
                <w:rFonts w:asciiTheme="majorHAnsi" w:hAnsiTheme="majorHAnsi" w:cstheme="majorHAnsi"/>
                <w:bCs/>
                <w:iCs/>
                <w:lang w:val="en-US"/>
              </w:rPr>
              <w:t>Innovation patterns</w:t>
            </w:r>
          </w:p>
        </w:tc>
        <w:tc>
          <w:tcPr>
            <w:tcW w:w="6975" w:type="dxa"/>
            <w:vAlign w:val="center"/>
          </w:tcPr>
          <w:p w14:paraId="1B66E7BD" w14:textId="77777777" w:rsidR="00065EEA" w:rsidRPr="00DE4CD2" w:rsidRDefault="00065EEA" w:rsidP="00DE6428">
            <w:pPr>
              <w:pBdr>
                <w:top w:val="none" w:sz="0" w:space="0" w:color="auto"/>
                <w:left w:val="none" w:sz="0" w:space="0" w:color="auto"/>
                <w:bottom w:val="none" w:sz="0" w:space="0" w:color="auto"/>
                <w:right w:val="none" w:sz="0" w:space="0" w:color="auto"/>
                <w:between w:val="none" w:sz="0" w:space="0" w:color="auto"/>
              </w:pBdr>
              <w:rPr>
                <w:rFonts w:asciiTheme="majorHAnsi" w:hAnsiTheme="majorHAnsi" w:cstheme="majorHAnsi"/>
                <w:bCs/>
                <w:iCs/>
                <w:lang w:val="en-US"/>
              </w:rPr>
            </w:pPr>
            <w:r w:rsidRPr="00DE4CD2">
              <w:rPr>
                <w:rFonts w:asciiTheme="majorHAnsi" w:hAnsiTheme="majorHAnsi" w:cstheme="majorHAnsi"/>
                <w:bCs/>
                <w:iCs/>
                <w:lang w:val="en-US"/>
              </w:rPr>
              <w:t>New business model classification of FGMFs based on the development of an algorithm to identify platform-based businesses.</w:t>
            </w:r>
          </w:p>
        </w:tc>
      </w:tr>
      <w:tr w:rsidR="00065EEA" w:rsidRPr="00DE4CD2" w14:paraId="19526E8F" w14:textId="77777777" w:rsidTr="00DE6428">
        <w:trPr>
          <w:trHeight w:val="719"/>
          <w:jc w:val="center"/>
        </w:trPr>
        <w:tc>
          <w:tcPr>
            <w:tcW w:w="2540" w:type="dxa"/>
            <w:vAlign w:val="center"/>
          </w:tcPr>
          <w:p w14:paraId="657E5A06" w14:textId="77777777" w:rsidR="00065EEA" w:rsidRPr="00DE4CD2" w:rsidRDefault="00065EEA" w:rsidP="00DE6428">
            <w:pPr>
              <w:pBdr>
                <w:top w:val="none" w:sz="0" w:space="0" w:color="auto"/>
                <w:left w:val="none" w:sz="0" w:space="0" w:color="auto"/>
                <w:bottom w:val="none" w:sz="0" w:space="0" w:color="auto"/>
                <w:right w:val="none" w:sz="0" w:space="0" w:color="auto"/>
                <w:between w:val="none" w:sz="0" w:space="0" w:color="auto"/>
              </w:pBdr>
              <w:rPr>
                <w:rFonts w:asciiTheme="majorHAnsi" w:hAnsiTheme="majorHAnsi" w:cstheme="majorHAnsi"/>
                <w:bCs/>
                <w:iCs/>
                <w:lang w:val="en-US"/>
              </w:rPr>
            </w:pPr>
            <w:r w:rsidRPr="00DE4CD2">
              <w:rPr>
                <w:rFonts w:asciiTheme="majorHAnsi" w:hAnsiTheme="majorHAnsi" w:cstheme="majorHAnsi"/>
                <w:bCs/>
                <w:iCs/>
                <w:lang w:val="en-US"/>
              </w:rPr>
              <w:t xml:space="preserve">Integration with </w:t>
            </w:r>
            <w:proofErr w:type="spellStart"/>
            <w:r w:rsidRPr="00DE4CD2">
              <w:rPr>
                <w:rFonts w:asciiTheme="majorHAnsi" w:hAnsiTheme="majorHAnsi" w:cstheme="majorHAnsi"/>
                <w:bCs/>
                <w:iCs/>
                <w:lang w:val="en-US"/>
              </w:rPr>
              <w:t>FirmReg</w:t>
            </w:r>
            <w:proofErr w:type="spellEnd"/>
          </w:p>
        </w:tc>
        <w:tc>
          <w:tcPr>
            <w:tcW w:w="6975" w:type="dxa"/>
            <w:vAlign w:val="center"/>
          </w:tcPr>
          <w:p w14:paraId="3B507983" w14:textId="77777777" w:rsidR="00065EEA" w:rsidRPr="00DE4CD2" w:rsidRDefault="00065EEA" w:rsidP="00DE6428">
            <w:pPr>
              <w:pBdr>
                <w:top w:val="none" w:sz="0" w:space="0" w:color="auto"/>
                <w:left w:val="none" w:sz="0" w:space="0" w:color="auto"/>
                <w:bottom w:val="none" w:sz="0" w:space="0" w:color="auto"/>
                <w:right w:val="none" w:sz="0" w:space="0" w:color="auto"/>
                <w:between w:val="none" w:sz="0" w:space="0" w:color="auto"/>
              </w:pBdr>
              <w:rPr>
                <w:rFonts w:asciiTheme="majorHAnsi" w:hAnsiTheme="majorHAnsi" w:cstheme="majorHAnsi"/>
                <w:bCs/>
                <w:iCs/>
                <w:lang w:val="en-US"/>
              </w:rPr>
            </w:pPr>
            <w:r w:rsidRPr="00DE4CD2">
              <w:rPr>
                <w:rFonts w:asciiTheme="majorHAnsi" w:hAnsiTheme="majorHAnsi" w:cstheme="majorHAnsi"/>
                <w:bCs/>
                <w:iCs/>
                <w:lang w:val="en-US"/>
              </w:rPr>
              <w:t xml:space="preserve">Full integration of Cheetah with </w:t>
            </w:r>
            <w:proofErr w:type="spellStart"/>
            <w:r w:rsidRPr="00DE4CD2">
              <w:rPr>
                <w:rFonts w:asciiTheme="majorHAnsi" w:hAnsiTheme="majorHAnsi" w:cstheme="majorHAnsi"/>
                <w:bCs/>
                <w:iCs/>
                <w:lang w:val="en-US"/>
              </w:rPr>
              <w:t>FirmReg</w:t>
            </w:r>
            <w:proofErr w:type="spellEnd"/>
            <w:r w:rsidRPr="00DE4CD2">
              <w:rPr>
                <w:rFonts w:asciiTheme="majorHAnsi" w:hAnsiTheme="majorHAnsi" w:cstheme="majorHAnsi"/>
                <w:bCs/>
                <w:iCs/>
                <w:lang w:val="en-US"/>
              </w:rPr>
              <w:t>, allowing the matching of company-level information with information of patents, scientific publications, trademarks and EU-funded projects.</w:t>
            </w:r>
          </w:p>
        </w:tc>
      </w:tr>
    </w:tbl>
    <w:p w14:paraId="0A6820DF" w14:textId="77777777" w:rsidR="00065EEA" w:rsidRPr="00DE4CD2" w:rsidRDefault="00065EEA" w:rsidP="00065EEA">
      <w:pPr>
        <w:jc w:val="both"/>
        <w:rPr>
          <w:rFonts w:asciiTheme="majorHAnsi" w:hAnsiTheme="majorHAnsi" w:cstheme="majorHAnsi"/>
          <w:bCs/>
          <w:iCs/>
          <w:lang w:val="en-US"/>
        </w:rPr>
      </w:pPr>
    </w:p>
    <w:p w14:paraId="57C1B1F9" w14:textId="77777777" w:rsidR="00065EEA" w:rsidRPr="00DE4CD2" w:rsidRDefault="00065EEA" w:rsidP="00065EEA">
      <w:pPr>
        <w:jc w:val="both"/>
        <w:rPr>
          <w:rFonts w:asciiTheme="majorHAnsi" w:hAnsiTheme="majorHAnsi" w:cstheme="majorHAnsi"/>
          <w:bCs/>
          <w:iCs/>
          <w:lang w:val="en-US"/>
        </w:rPr>
      </w:pPr>
      <w:r w:rsidRPr="00DE4CD2">
        <w:rPr>
          <w:rFonts w:asciiTheme="majorHAnsi" w:hAnsiTheme="majorHAnsi" w:cstheme="majorHAnsi"/>
          <w:bCs/>
          <w:iCs/>
          <w:lang w:val="en-US"/>
        </w:rPr>
        <w:lastRenderedPageBreak/>
        <w:t xml:space="preserve">Thanks to the support of RISIS2, Cheetah has also been used to produce a policy brief on the factors that are associated to the emergence of FGMFs in Europe (Camerani &amp; Guerini, 2019). </w:t>
      </w:r>
    </w:p>
    <w:p w14:paraId="3CD588AE" w14:textId="77777777" w:rsidR="00065EEA" w:rsidRPr="00DE4CD2" w:rsidRDefault="00065EEA" w:rsidP="00065EEA">
      <w:pPr>
        <w:rPr>
          <w:rFonts w:asciiTheme="majorHAnsi" w:hAnsiTheme="majorHAnsi" w:cstheme="majorHAnsi"/>
          <w:b/>
          <w:bCs/>
          <w:i/>
          <w:iCs/>
          <w:lang w:val="en-US"/>
        </w:rPr>
      </w:pPr>
    </w:p>
    <w:p w14:paraId="66E95247" w14:textId="77777777" w:rsidR="00065EEA" w:rsidRPr="00DE4CD2" w:rsidRDefault="00065EEA" w:rsidP="00065EEA">
      <w:pPr>
        <w:jc w:val="both"/>
        <w:rPr>
          <w:rFonts w:asciiTheme="majorHAnsi" w:hAnsiTheme="majorHAnsi" w:cstheme="majorHAnsi"/>
          <w:b/>
          <w:bCs/>
          <w:i/>
          <w:iCs/>
        </w:rPr>
      </w:pPr>
      <w:r w:rsidRPr="00DE4CD2">
        <w:rPr>
          <w:rFonts w:asciiTheme="majorHAnsi" w:hAnsiTheme="majorHAnsi" w:cstheme="majorHAnsi"/>
          <w:b/>
          <w:bCs/>
          <w:i/>
          <w:iCs/>
        </w:rPr>
        <w:t>Description of use</w:t>
      </w:r>
    </w:p>
    <w:p w14:paraId="20064A2F" w14:textId="77777777" w:rsidR="00065EEA" w:rsidRPr="00DE4CD2" w:rsidRDefault="00065EEA" w:rsidP="00065EEA">
      <w:pPr>
        <w:jc w:val="both"/>
        <w:rPr>
          <w:rFonts w:asciiTheme="majorHAnsi" w:hAnsiTheme="majorHAnsi" w:cstheme="majorHAnsi"/>
        </w:rPr>
      </w:pPr>
      <w:r w:rsidRPr="00DE4CD2">
        <w:rPr>
          <w:rFonts w:asciiTheme="majorHAnsi" w:hAnsiTheme="majorHAnsi" w:cstheme="majorHAnsi"/>
        </w:rPr>
        <w:t xml:space="preserve">Overall, 15 data requests for Cheetah were received since the starting of the RISIS2 project. Main projects using the Cheetah dataset relate to: </w:t>
      </w:r>
    </w:p>
    <w:p w14:paraId="2C589F21" w14:textId="77777777" w:rsidR="00065EEA" w:rsidRPr="00DE4CD2" w:rsidRDefault="00065EEA" w:rsidP="00065EEA">
      <w:pPr>
        <w:pStyle w:val="Listenabsatz"/>
        <w:numPr>
          <w:ilvl w:val="0"/>
          <w:numId w:val="25"/>
        </w:numPr>
        <w:jc w:val="both"/>
        <w:rPr>
          <w:rFonts w:asciiTheme="majorHAnsi" w:hAnsiTheme="majorHAnsi" w:cstheme="majorHAnsi"/>
        </w:rPr>
      </w:pPr>
      <w:r w:rsidRPr="00DE4CD2">
        <w:rPr>
          <w:rFonts w:asciiTheme="majorHAnsi" w:hAnsiTheme="majorHAnsi" w:cstheme="majorHAnsi"/>
        </w:rPr>
        <w:t xml:space="preserve">The impact of mid-sized firms' fast growth on the traditional sectoral specialization, proxied in terms of employment, of Italian NUTS3 regions; </w:t>
      </w:r>
    </w:p>
    <w:p w14:paraId="5EDD755A" w14:textId="77777777" w:rsidR="00065EEA" w:rsidRPr="00DE4CD2" w:rsidRDefault="00065EEA" w:rsidP="00065EEA">
      <w:pPr>
        <w:pStyle w:val="Listenabsatz"/>
        <w:numPr>
          <w:ilvl w:val="0"/>
          <w:numId w:val="25"/>
        </w:numPr>
        <w:jc w:val="both"/>
        <w:rPr>
          <w:rFonts w:asciiTheme="majorHAnsi" w:hAnsiTheme="majorHAnsi" w:cstheme="majorHAnsi"/>
        </w:rPr>
      </w:pPr>
      <w:r w:rsidRPr="00DE4CD2">
        <w:rPr>
          <w:rFonts w:asciiTheme="majorHAnsi" w:hAnsiTheme="majorHAnsi" w:cstheme="majorHAnsi"/>
        </w:rPr>
        <w:t>The analysis of growth determinants in mid-sized fast-growing firms;</w:t>
      </w:r>
    </w:p>
    <w:p w14:paraId="70EBD8A8" w14:textId="77777777" w:rsidR="00065EEA" w:rsidRPr="00DE4CD2" w:rsidRDefault="00065EEA" w:rsidP="00065EEA">
      <w:pPr>
        <w:pStyle w:val="Listenabsatz"/>
        <w:numPr>
          <w:ilvl w:val="0"/>
          <w:numId w:val="25"/>
        </w:numPr>
        <w:jc w:val="both"/>
        <w:rPr>
          <w:rFonts w:asciiTheme="majorHAnsi" w:hAnsiTheme="majorHAnsi" w:cstheme="majorHAnsi"/>
        </w:rPr>
      </w:pPr>
      <w:r w:rsidRPr="00DE4CD2">
        <w:rPr>
          <w:rFonts w:asciiTheme="majorHAnsi" w:hAnsiTheme="majorHAnsi" w:cstheme="majorHAnsi"/>
        </w:rPr>
        <w:t>The regional variation in the emergence of mid-sized fast-growing firms;</w:t>
      </w:r>
    </w:p>
    <w:p w14:paraId="22E39281" w14:textId="77777777" w:rsidR="00065EEA" w:rsidRPr="00DE4CD2" w:rsidRDefault="00065EEA" w:rsidP="00065EEA">
      <w:pPr>
        <w:pStyle w:val="Listenabsatz"/>
        <w:numPr>
          <w:ilvl w:val="0"/>
          <w:numId w:val="25"/>
        </w:numPr>
        <w:jc w:val="both"/>
        <w:rPr>
          <w:rFonts w:asciiTheme="majorHAnsi" w:hAnsiTheme="majorHAnsi" w:cstheme="majorHAnsi"/>
        </w:rPr>
      </w:pPr>
      <w:r w:rsidRPr="00DE4CD2">
        <w:rPr>
          <w:rFonts w:asciiTheme="majorHAnsi" w:hAnsiTheme="majorHAnsi" w:cstheme="majorHAnsi"/>
        </w:rPr>
        <w:t>The analysis of the efficiency of economic sectors, aimed at providing suggestions for increasing productivity and the formation of smart specialization strategies;</w:t>
      </w:r>
    </w:p>
    <w:p w14:paraId="0F7820E1" w14:textId="77777777" w:rsidR="00065EEA" w:rsidRPr="00DE4CD2" w:rsidRDefault="00065EEA" w:rsidP="00065EEA">
      <w:pPr>
        <w:pStyle w:val="Listenabsatz"/>
        <w:numPr>
          <w:ilvl w:val="0"/>
          <w:numId w:val="25"/>
        </w:numPr>
        <w:jc w:val="both"/>
        <w:rPr>
          <w:rFonts w:asciiTheme="majorHAnsi" w:hAnsiTheme="majorHAnsi" w:cstheme="majorHAnsi"/>
        </w:rPr>
      </w:pPr>
      <w:r w:rsidRPr="00DE4CD2">
        <w:rPr>
          <w:rFonts w:asciiTheme="majorHAnsi" w:hAnsiTheme="majorHAnsi" w:cstheme="majorHAnsi"/>
        </w:rPr>
        <w:t>The analysis of the medium-term effects of the intensity of past growth episodes on the current growth and profitability of firms by comparing the situation of four firms.</w:t>
      </w:r>
    </w:p>
    <w:p w14:paraId="0E920C31" w14:textId="77777777" w:rsidR="00065EEA" w:rsidRPr="00DE4CD2" w:rsidRDefault="00065EEA" w:rsidP="00065EEA">
      <w:pPr>
        <w:pStyle w:val="Listenabsatz"/>
        <w:numPr>
          <w:ilvl w:val="0"/>
          <w:numId w:val="25"/>
        </w:numPr>
        <w:jc w:val="both"/>
        <w:rPr>
          <w:rFonts w:asciiTheme="majorHAnsi" w:hAnsiTheme="majorHAnsi" w:cstheme="majorHAnsi"/>
        </w:rPr>
      </w:pPr>
      <w:r w:rsidRPr="00DE4CD2">
        <w:rPr>
          <w:rFonts w:asciiTheme="majorHAnsi" w:hAnsiTheme="majorHAnsi" w:cstheme="majorHAnsi"/>
        </w:rPr>
        <w:t>Public policy on basic and applied research on R&amp;D networks.</w:t>
      </w:r>
    </w:p>
    <w:p w14:paraId="13EA6CF9" w14:textId="77777777" w:rsidR="00065EEA" w:rsidRPr="00DE4CD2" w:rsidRDefault="00065EEA" w:rsidP="00065EEA">
      <w:pPr>
        <w:jc w:val="both"/>
        <w:rPr>
          <w:rFonts w:asciiTheme="majorHAnsi" w:hAnsiTheme="majorHAnsi" w:cstheme="majorHAnsi"/>
        </w:rPr>
      </w:pPr>
    </w:p>
    <w:p w14:paraId="236356A3" w14:textId="155AC198" w:rsidR="00065EEA" w:rsidRPr="00DE4CD2" w:rsidRDefault="00065EEA" w:rsidP="00065EEA">
      <w:pPr>
        <w:jc w:val="both"/>
        <w:rPr>
          <w:rFonts w:asciiTheme="majorHAnsi" w:hAnsiTheme="majorHAnsi" w:cstheme="majorHAnsi"/>
        </w:rPr>
      </w:pPr>
      <w:r w:rsidRPr="00DE4CD2">
        <w:rPr>
          <w:rFonts w:asciiTheme="majorHAnsi" w:hAnsiTheme="majorHAnsi" w:cstheme="majorHAnsi"/>
        </w:rPr>
        <w:t xml:space="preserve">Available empirical evidence from Cheetah has been presented during a policy event in Brussels at the end of 2019 (Camerani &amp; Guerini, 2019). Results suggest that FGMFs are quite widespread but not evenly distributed both across European countries (Figure </w:t>
      </w:r>
      <w:r w:rsidR="0063329C" w:rsidRPr="00DE4CD2">
        <w:rPr>
          <w:rFonts w:asciiTheme="majorHAnsi" w:hAnsiTheme="majorHAnsi" w:cstheme="majorHAnsi"/>
        </w:rPr>
        <w:t>18</w:t>
      </w:r>
      <w:r w:rsidRPr="00DE4CD2">
        <w:rPr>
          <w:rFonts w:asciiTheme="majorHAnsi" w:hAnsiTheme="majorHAnsi" w:cstheme="majorHAnsi"/>
        </w:rPr>
        <w:t>).</w:t>
      </w:r>
    </w:p>
    <w:p w14:paraId="34FF7E50" w14:textId="77777777" w:rsidR="00065EEA" w:rsidRPr="00DE4CD2" w:rsidRDefault="00065EEA" w:rsidP="00065EEA">
      <w:pPr>
        <w:rPr>
          <w:rFonts w:asciiTheme="majorHAnsi" w:hAnsiTheme="majorHAnsi" w:cstheme="majorHAnsi"/>
        </w:rPr>
      </w:pPr>
    </w:p>
    <w:p w14:paraId="489D8766" w14:textId="0810F6D1" w:rsidR="00065EEA" w:rsidRPr="00DE4CD2" w:rsidRDefault="00065EEA" w:rsidP="00065EEA">
      <w:pPr>
        <w:rPr>
          <w:rFonts w:asciiTheme="majorHAnsi" w:hAnsiTheme="majorHAnsi" w:cstheme="majorHAnsi"/>
          <w:i/>
          <w:iCs/>
        </w:rPr>
      </w:pPr>
      <w:r w:rsidRPr="00DE4CD2">
        <w:rPr>
          <w:rFonts w:asciiTheme="majorHAnsi" w:hAnsiTheme="majorHAnsi" w:cstheme="majorHAnsi"/>
          <w:i/>
          <w:iCs/>
        </w:rPr>
        <w:t xml:space="preserve">Figure </w:t>
      </w:r>
      <w:r w:rsidR="0063329C" w:rsidRPr="00DE4CD2">
        <w:rPr>
          <w:rFonts w:asciiTheme="majorHAnsi" w:hAnsiTheme="majorHAnsi" w:cstheme="majorHAnsi"/>
          <w:i/>
          <w:iCs/>
        </w:rPr>
        <w:t>18</w:t>
      </w:r>
      <w:r w:rsidRPr="00DE4CD2">
        <w:rPr>
          <w:rFonts w:asciiTheme="majorHAnsi" w:hAnsiTheme="majorHAnsi" w:cstheme="majorHAnsi"/>
          <w:i/>
          <w:iCs/>
        </w:rPr>
        <w:t xml:space="preserve">. Number and incidence of FGMFs by country </w:t>
      </w:r>
    </w:p>
    <w:p w14:paraId="5E6020B4" w14:textId="77777777" w:rsidR="00065EEA" w:rsidRPr="00DE4CD2" w:rsidRDefault="00065EEA" w:rsidP="00065EEA">
      <w:pPr>
        <w:rPr>
          <w:rFonts w:asciiTheme="majorHAnsi" w:hAnsiTheme="majorHAnsi" w:cstheme="majorHAnsi"/>
        </w:rPr>
      </w:pPr>
      <w:r w:rsidRPr="00DE4CD2">
        <w:rPr>
          <w:rFonts w:asciiTheme="majorHAnsi" w:hAnsiTheme="majorHAnsi" w:cstheme="majorHAnsi"/>
          <w:noProof/>
          <w:lang w:val="en-US" w:eastAsia="en-US"/>
        </w:rPr>
        <w:drawing>
          <wp:inline distT="0" distB="0" distL="0" distR="0" wp14:anchorId="180E50DB" wp14:editId="784091A9">
            <wp:extent cx="5018839" cy="3157268"/>
            <wp:effectExtent l="0" t="0" r="0" b="5080"/>
            <wp:docPr id="9" name="Grafik 9" descr="Immagine che contiene mappa, testo, atlant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magine 32" descr="Immagine che contiene mappa, testo, atlante&#10;&#10;Descrizione generata automaticament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023033" cy="3159907"/>
                    </a:xfrm>
                    <a:prstGeom prst="rect">
                      <a:avLst/>
                    </a:prstGeom>
                    <a:noFill/>
                  </pic:spPr>
                </pic:pic>
              </a:graphicData>
            </a:graphic>
          </wp:inline>
        </w:drawing>
      </w:r>
    </w:p>
    <w:p w14:paraId="28D392A0" w14:textId="77777777" w:rsidR="00065EEA" w:rsidRPr="00DE4CD2" w:rsidRDefault="00065EEA" w:rsidP="00065EEA">
      <w:pPr>
        <w:rPr>
          <w:rFonts w:asciiTheme="majorHAnsi" w:hAnsiTheme="majorHAnsi" w:cstheme="majorHAnsi"/>
        </w:rPr>
      </w:pPr>
    </w:p>
    <w:p w14:paraId="57ACD9EB" w14:textId="77777777" w:rsidR="00065EEA" w:rsidRPr="00DE4CD2" w:rsidRDefault="00065EEA" w:rsidP="00065EEA">
      <w:pPr>
        <w:rPr>
          <w:rFonts w:asciiTheme="majorHAnsi" w:hAnsiTheme="majorHAnsi" w:cstheme="majorHAnsi"/>
        </w:rPr>
      </w:pPr>
    </w:p>
    <w:p w14:paraId="1D30E563" w14:textId="77777777" w:rsidR="00065EEA" w:rsidRPr="00DE4CD2" w:rsidRDefault="00065EEA" w:rsidP="00065EEA">
      <w:pPr>
        <w:jc w:val="both"/>
        <w:rPr>
          <w:rFonts w:asciiTheme="majorHAnsi" w:hAnsiTheme="majorHAnsi" w:cstheme="majorHAnsi"/>
        </w:rPr>
      </w:pPr>
      <w:r w:rsidRPr="00DE4CD2">
        <w:rPr>
          <w:rFonts w:asciiTheme="majorHAnsi" w:hAnsiTheme="majorHAnsi" w:cstheme="majorHAnsi"/>
        </w:rPr>
        <w:t xml:space="preserve">Camerani and Guerini (2019) also analysed the factors that might be associated to the emergence of FGMFs using multivariate econometric analysis, by relating the number of FGMFs in a certain region/sector to country-, regional- and sector-level factors.  These explanatory factors (source of data: EUROSTAT) include regional size (area in square km), density of mid-sized firms in the region/sector, regional population density, regional GDP per capita, regional human capital (share of people with a higher education degree), private and public regional R&amp;D spending, and fixed </w:t>
      </w:r>
      <w:r w:rsidRPr="00DE4CD2">
        <w:rPr>
          <w:rFonts w:asciiTheme="majorHAnsi" w:hAnsiTheme="majorHAnsi" w:cstheme="majorHAnsi"/>
        </w:rPr>
        <w:lastRenderedPageBreak/>
        <w:t xml:space="preserve">effects at sectoral and country level (Northern countries, Southern countries, Eastern countries, UK). </w:t>
      </w:r>
    </w:p>
    <w:p w14:paraId="77DCD8B5" w14:textId="77777777" w:rsidR="00065EEA" w:rsidRPr="00DE4CD2" w:rsidRDefault="00065EEA" w:rsidP="00065EEA">
      <w:pPr>
        <w:jc w:val="both"/>
        <w:rPr>
          <w:rFonts w:asciiTheme="majorHAnsi" w:hAnsiTheme="majorHAnsi" w:cstheme="majorHAnsi"/>
        </w:rPr>
      </w:pPr>
    </w:p>
    <w:p w14:paraId="6E729E79" w14:textId="77777777" w:rsidR="00065EEA" w:rsidRPr="00DE4CD2" w:rsidRDefault="00065EEA" w:rsidP="00065EEA">
      <w:pPr>
        <w:jc w:val="both"/>
        <w:rPr>
          <w:rFonts w:asciiTheme="majorHAnsi" w:hAnsiTheme="majorHAnsi" w:cstheme="majorHAnsi"/>
        </w:rPr>
      </w:pPr>
      <w:r w:rsidRPr="00DE4CD2">
        <w:rPr>
          <w:rFonts w:asciiTheme="majorHAnsi" w:hAnsiTheme="majorHAnsi" w:cstheme="majorHAnsi"/>
        </w:rPr>
        <w:t>The main results can be summarized as follows:</w:t>
      </w:r>
    </w:p>
    <w:p w14:paraId="3E367893" w14:textId="77777777" w:rsidR="00065EEA" w:rsidRPr="00DE4CD2" w:rsidRDefault="00065EEA" w:rsidP="00065EEA">
      <w:pPr>
        <w:pStyle w:val="Listenabsatz"/>
        <w:numPr>
          <w:ilvl w:val="0"/>
          <w:numId w:val="22"/>
        </w:numPr>
        <w:pBdr>
          <w:top w:val="none" w:sz="0" w:space="0" w:color="auto"/>
          <w:left w:val="none" w:sz="0" w:space="0" w:color="auto"/>
          <w:bottom w:val="none" w:sz="0" w:space="0" w:color="auto"/>
          <w:right w:val="none" w:sz="0" w:space="0" w:color="auto"/>
          <w:between w:val="none" w:sz="0" w:space="0" w:color="auto"/>
        </w:pBdr>
        <w:jc w:val="both"/>
        <w:rPr>
          <w:rFonts w:asciiTheme="majorHAnsi" w:hAnsiTheme="majorHAnsi" w:cstheme="majorHAnsi"/>
        </w:rPr>
      </w:pPr>
      <w:r w:rsidRPr="00DE4CD2">
        <w:rPr>
          <w:rFonts w:asciiTheme="majorHAnsi" w:hAnsiTheme="majorHAnsi" w:cstheme="majorHAnsi"/>
        </w:rPr>
        <w:t>The number of FGMFs is positively related to regional population density and GDP per capita. This evidence seems to suggest the presence of agglomeration effects that make highly populated and richer regions a better environment to stimulate growth. These positive associations appear to be stronger in high-tech sectors.</w:t>
      </w:r>
    </w:p>
    <w:p w14:paraId="4ABC798A" w14:textId="77777777" w:rsidR="00065EEA" w:rsidRPr="00DE4CD2" w:rsidRDefault="00065EEA" w:rsidP="00065EEA">
      <w:pPr>
        <w:pStyle w:val="Listenabsatz"/>
        <w:numPr>
          <w:ilvl w:val="0"/>
          <w:numId w:val="22"/>
        </w:numPr>
        <w:pBdr>
          <w:top w:val="none" w:sz="0" w:space="0" w:color="auto"/>
          <w:left w:val="none" w:sz="0" w:space="0" w:color="auto"/>
          <w:bottom w:val="none" w:sz="0" w:space="0" w:color="auto"/>
          <w:right w:val="none" w:sz="0" w:space="0" w:color="auto"/>
          <w:between w:val="none" w:sz="0" w:space="0" w:color="auto"/>
        </w:pBdr>
        <w:jc w:val="both"/>
        <w:rPr>
          <w:rFonts w:asciiTheme="majorHAnsi" w:hAnsiTheme="majorHAnsi" w:cstheme="majorHAnsi"/>
        </w:rPr>
      </w:pPr>
      <w:r w:rsidRPr="00DE4CD2">
        <w:rPr>
          <w:rFonts w:asciiTheme="majorHAnsi" w:hAnsiTheme="majorHAnsi" w:cstheme="majorHAnsi"/>
        </w:rPr>
        <w:t>Regional private R&amp;D spending is positively associated to the emergence of these firms, while the public R&amp;D spending exhibits an inverted-U shape relationship. In other words, a moderate level of public R&amp;D spending seems to be positively related to fast growth; however, there are regions with very high levels of public R&amp;D that exhibit lower performance.</w:t>
      </w:r>
    </w:p>
    <w:p w14:paraId="3B8F90AE" w14:textId="77777777" w:rsidR="00065EEA" w:rsidRPr="00DE4CD2" w:rsidRDefault="00065EEA" w:rsidP="00065EEA">
      <w:pPr>
        <w:pStyle w:val="Listenabsatz"/>
        <w:numPr>
          <w:ilvl w:val="0"/>
          <w:numId w:val="22"/>
        </w:numPr>
        <w:pBdr>
          <w:top w:val="none" w:sz="0" w:space="0" w:color="auto"/>
          <w:left w:val="none" w:sz="0" w:space="0" w:color="auto"/>
          <w:bottom w:val="none" w:sz="0" w:space="0" w:color="auto"/>
          <w:right w:val="none" w:sz="0" w:space="0" w:color="auto"/>
          <w:between w:val="none" w:sz="0" w:space="0" w:color="auto"/>
        </w:pBdr>
        <w:jc w:val="both"/>
        <w:rPr>
          <w:rFonts w:asciiTheme="majorHAnsi" w:hAnsiTheme="majorHAnsi" w:cstheme="majorHAnsi"/>
        </w:rPr>
      </w:pPr>
      <w:r w:rsidRPr="00DE4CD2">
        <w:rPr>
          <w:rFonts w:asciiTheme="majorHAnsi" w:hAnsiTheme="majorHAnsi" w:cstheme="majorHAnsi"/>
        </w:rPr>
        <w:t>On average, regional human capital does not play a significant role in the emergence FGMFs in the different sectors. However, in high-tech manufacturing and services sectors we observe a positive and statistically significant relationship between the regional presence of skilled human capital and the emergence of these firms.</w:t>
      </w:r>
    </w:p>
    <w:p w14:paraId="0DAE2C1F" w14:textId="77777777" w:rsidR="00065EEA" w:rsidRPr="00DE4CD2" w:rsidRDefault="00065EEA" w:rsidP="00065EEA">
      <w:pPr>
        <w:jc w:val="both"/>
        <w:rPr>
          <w:rFonts w:asciiTheme="majorHAnsi" w:hAnsiTheme="majorHAnsi" w:cstheme="majorHAnsi"/>
        </w:rPr>
      </w:pPr>
    </w:p>
    <w:p w14:paraId="6DDF4A9F" w14:textId="77777777" w:rsidR="00065EEA" w:rsidRPr="00DE4CD2" w:rsidRDefault="00065EEA" w:rsidP="00065EEA">
      <w:pPr>
        <w:jc w:val="both"/>
        <w:rPr>
          <w:rFonts w:asciiTheme="majorHAnsi" w:hAnsiTheme="majorHAnsi" w:cstheme="majorHAnsi"/>
        </w:rPr>
      </w:pPr>
      <w:proofErr w:type="spellStart"/>
      <w:r w:rsidRPr="00DE4CD2">
        <w:rPr>
          <w:rFonts w:asciiTheme="majorHAnsi" w:hAnsiTheme="majorHAnsi" w:cstheme="majorHAnsi"/>
        </w:rPr>
        <w:t>Morettini</w:t>
      </w:r>
      <w:proofErr w:type="spellEnd"/>
      <w:r w:rsidRPr="00DE4CD2">
        <w:rPr>
          <w:rFonts w:asciiTheme="majorHAnsi" w:hAnsiTheme="majorHAnsi" w:cstheme="majorHAnsi"/>
        </w:rPr>
        <w:t xml:space="preserve"> et al. (2023) use Cheetah to investigate the firm high growth phenomenon and its relationships with reorganization costs and external financial dependence. The paper provides insight into the lumpiness of the process of firm expansion accompanying its reorganization, conditional on the presence or not of a fast-growth event. Moreover, the analysis shed some light on the relationship between growth and performance and on the growth process of a subsample of young, fast-growing firms to check the presence of differences in the process or the strategy of growth. Results suggest a positive and significant relation between present growth and proxy variables for resources organization, a lumpy growth process, and a positive association of growth and profit for almost the whole sample, i.e., a positive balance between costs and benefit of growth.</w:t>
      </w:r>
    </w:p>
    <w:p w14:paraId="2A3E99CB" w14:textId="77777777" w:rsidR="00065EEA" w:rsidRPr="00DE4CD2" w:rsidRDefault="00065EEA" w:rsidP="00065EEA">
      <w:pPr>
        <w:rPr>
          <w:rFonts w:asciiTheme="majorHAnsi" w:hAnsiTheme="majorHAnsi" w:cstheme="majorHAnsi"/>
        </w:rPr>
      </w:pPr>
    </w:p>
    <w:p w14:paraId="6C491FC9" w14:textId="77777777" w:rsidR="00065EEA" w:rsidRPr="00DE4CD2" w:rsidRDefault="00065EEA" w:rsidP="00065EEA">
      <w:pPr>
        <w:rPr>
          <w:rFonts w:asciiTheme="majorHAnsi" w:hAnsiTheme="majorHAnsi" w:cstheme="majorHAnsi"/>
        </w:rPr>
      </w:pPr>
    </w:p>
    <w:p w14:paraId="4C555F13" w14:textId="4AA5374E" w:rsidR="00065EEA" w:rsidRPr="00DE4CD2" w:rsidRDefault="00065EEA" w:rsidP="00065EEA">
      <w:pPr>
        <w:rPr>
          <w:rFonts w:asciiTheme="majorHAnsi" w:hAnsiTheme="majorHAnsi" w:cstheme="majorHAnsi"/>
          <w:i/>
          <w:iCs/>
        </w:rPr>
      </w:pPr>
      <w:r w:rsidRPr="00DE4CD2">
        <w:rPr>
          <w:rFonts w:asciiTheme="majorHAnsi" w:hAnsiTheme="majorHAnsi" w:cstheme="majorHAnsi"/>
          <w:i/>
          <w:iCs/>
        </w:rPr>
        <w:t xml:space="preserve">Figure </w:t>
      </w:r>
      <w:r w:rsidR="0063329C" w:rsidRPr="00DE4CD2">
        <w:rPr>
          <w:rFonts w:asciiTheme="majorHAnsi" w:hAnsiTheme="majorHAnsi" w:cstheme="majorHAnsi"/>
          <w:i/>
          <w:iCs/>
        </w:rPr>
        <w:t>19</w:t>
      </w:r>
      <w:r w:rsidRPr="00DE4CD2">
        <w:rPr>
          <w:rFonts w:asciiTheme="majorHAnsi" w:hAnsiTheme="majorHAnsi" w:cstheme="majorHAnsi"/>
          <w:i/>
          <w:iCs/>
        </w:rPr>
        <w:t>. Percentage of FGMFs in rural vs urban areas across time</w:t>
      </w:r>
    </w:p>
    <w:p w14:paraId="022D3BE4" w14:textId="77777777" w:rsidR="00065EEA" w:rsidRPr="00DE4CD2" w:rsidRDefault="00065EEA" w:rsidP="00065EEA">
      <w:pPr>
        <w:rPr>
          <w:rFonts w:asciiTheme="majorHAnsi" w:hAnsiTheme="majorHAnsi" w:cstheme="majorHAnsi"/>
        </w:rPr>
      </w:pPr>
    </w:p>
    <w:p w14:paraId="1C5F4118" w14:textId="77777777" w:rsidR="00065EEA" w:rsidRPr="00DE4CD2" w:rsidRDefault="00065EEA" w:rsidP="00065EEA">
      <w:pPr>
        <w:rPr>
          <w:rFonts w:asciiTheme="majorHAnsi" w:hAnsiTheme="majorHAnsi" w:cstheme="majorHAnsi"/>
        </w:rPr>
      </w:pPr>
      <w:r w:rsidRPr="00DE4CD2">
        <w:rPr>
          <w:rFonts w:asciiTheme="majorHAnsi" w:hAnsiTheme="majorHAnsi" w:cstheme="majorHAnsi"/>
          <w:noProof/>
          <w:lang w:val="en-US" w:eastAsia="en-US"/>
        </w:rPr>
        <w:drawing>
          <wp:inline distT="0" distB="0" distL="0" distR="0" wp14:anchorId="6020F1C2" wp14:editId="6AE798EF">
            <wp:extent cx="4707901" cy="2173458"/>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9">
                      <a:extLst>
                        <a:ext uri="{28A0092B-C50C-407E-A947-70E740481C1C}">
                          <a14:useLocalDpi xmlns:a14="http://schemas.microsoft.com/office/drawing/2010/main" val="0"/>
                        </a:ext>
                      </a:extLst>
                    </a:blip>
                    <a:srcRect b="10679"/>
                    <a:stretch/>
                  </pic:blipFill>
                  <pic:spPr bwMode="auto">
                    <a:xfrm>
                      <a:off x="0" y="0"/>
                      <a:ext cx="4713781" cy="2176172"/>
                    </a:xfrm>
                    <a:prstGeom prst="rect">
                      <a:avLst/>
                    </a:prstGeom>
                    <a:noFill/>
                    <a:ln>
                      <a:noFill/>
                    </a:ln>
                    <a:extLst>
                      <a:ext uri="{53640926-AAD7-44D8-BBD7-CCE9431645EC}">
                        <a14:shadowObscured xmlns:a14="http://schemas.microsoft.com/office/drawing/2010/main"/>
                      </a:ext>
                    </a:extLst>
                  </pic:spPr>
                </pic:pic>
              </a:graphicData>
            </a:graphic>
          </wp:inline>
        </w:drawing>
      </w:r>
    </w:p>
    <w:p w14:paraId="0D50F018" w14:textId="77777777" w:rsidR="00065EEA" w:rsidRPr="00DE4CD2" w:rsidRDefault="00065EEA" w:rsidP="00065EEA">
      <w:pPr>
        <w:pStyle w:val="Listenabsatz"/>
        <w:ind w:left="1440"/>
        <w:jc w:val="both"/>
        <w:rPr>
          <w:rFonts w:asciiTheme="majorHAnsi" w:hAnsiTheme="majorHAnsi" w:cstheme="majorHAnsi"/>
        </w:rPr>
      </w:pPr>
    </w:p>
    <w:p w14:paraId="75177FF0" w14:textId="77777777" w:rsidR="00065EEA" w:rsidRPr="00DE4CD2" w:rsidRDefault="00065EEA" w:rsidP="00065EEA">
      <w:pPr>
        <w:rPr>
          <w:rFonts w:asciiTheme="majorHAnsi" w:hAnsiTheme="majorHAnsi" w:cstheme="majorHAnsi"/>
          <w:lang w:val="en-US"/>
        </w:rPr>
      </w:pPr>
    </w:p>
    <w:p w14:paraId="2194155F" w14:textId="77777777" w:rsidR="00065EEA" w:rsidRPr="00DE4CD2" w:rsidRDefault="00065EEA" w:rsidP="00065EEA">
      <w:pPr>
        <w:rPr>
          <w:rFonts w:asciiTheme="majorHAnsi" w:hAnsiTheme="majorHAnsi" w:cstheme="majorHAnsi"/>
          <w:lang w:val="en-US"/>
        </w:rPr>
      </w:pPr>
    </w:p>
    <w:p w14:paraId="6C767E8A" w14:textId="77777777" w:rsidR="005C3960" w:rsidRPr="00DE4CD2" w:rsidRDefault="005C3960" w:rsidP="005C3960">
      <w:pPr>
        <w:rPr>
          <w:rFonts w:asciiTheme="majorHAnsi" w:hAnsiTheme="majorHAnsi" w:cstheme="majorHAnsi"/>
        </w:rPr>
      </w:pPr>
    </w:p>
    <w:p w14:paraId="734CF78A" w14:textId="77777777" w:rsidR="00B94B80" w:rsidRPr="00DE4CD2" w:rsidRDefault="00B94B80" w:rsidP="00B94B80">
      <w:pPr>
        <w:jc w:val="both"/>
        <w:rPr>
          <w:rFonts w:asciiTheme="majorHAnsi" w:hAnsiTheme="majorHAnsi" w:cstheme="majorHAnsi"/>
        </w:rPr>
      </w:pPr>
      <w:bookmarkStart w:id="18" w:name="_Toc379977539"/>
      <w:r w:rsidRPr="00DE4CD2">
        <w:rPr>
          <w:rFonts w:asciiTheme="majorHAnsi" w:hAnsiTheme="majorHAnsi" w:cstheme="majorHAnsi"/>
        </w:rPr>
        <w:lastRenderedPageBreak/>
        <w:t xml:space="preserve">Guerini (2022) uses Cheetah to provide evidence concerning the dynamics of FGMFs, their geographical and sectoral distribution, and the governance (independent vs. controlled firms, foreign ownership, ownership type) and patterns of growth (internal vs. external growth) of FGMFs. An interesting result that emerges from this analysis is that FGMFs show a higher degree of urbanization in more recent years (Figure 19). </w:t>
      </w:r>
    </w:p>
    <w:p w14:paraId="41F6AC3C" w14:textId="77777777" w:rsidR="005C3960" w:rsidRPr="00DE4CD2" w:rsidRDefault="005C3960" w:rsidP="00ED6220">
      <w:pPr>
        <w:rPr>
          <w:rFonts w:asciiTheme="majorHAnsi" w:hAnsiTheme="majorHAnsi" w:cstheme="majorHAnsi"/>
        </w:rPr>
      </w:pPr>
    </w:p>
    <w:p w14:paraId="43CB1180" w14:textId="4E967E38" w:rsidR="005C3960" w:rsidRPr="00DE4CD2" w:rsidRDefault="005C3960" w:rsidP="00FF0B92">
      <w:pPr>
        <w:pStyle w:val="berschrift3"/>
        <w:rPr>
          <w:rFonts w:asciiTheme="majorHAnsi" w:hAnsiTheme="majorHAnsi" w:cstheme="majorHAnsi"/>
          <w:color w:val="auto"/>
        </w:rPr>
      </w:pPr>
      <w:bookmarkStart w:id="19" w:name="_Toc153536128"/>
      <w:r w:rsidRPr="00DE4CD2">
        <w:rPr>
          <w:rFonts w:asciiTheme="majorHAnsi" w:hAnsiTheme="majorHAnsi" w:cstheme="majorHAnsi"/>
          <w:color w:val="auto"/>
        </w:rPr>
        <w:t>VICO</w:t>
      </w:r>
      <w:bookmarkEnd w:id="19"/>
    </w:p>
    <w:p w14:paraId="7E74F6D8" w14:textId="7293DCB9" w:rsidR="00FF0B92" w:rsidRPr="00DE4CD2" w:rsidRDefault="00FF0B92" w:rsidP="00FF0B92">
      <w:pPr>
        <w:rPr>
          <w:rFonts w:asciiTheme="majorHAnsi" w:hAnsiTheme="majorHAnsi" w:cstheme="majorHAnsi"/>
        </w:rPr>
      </w:pPr>
    </w:p>
    <w:p w14:paraId="440EDBD0" w14:textId="77777777" w:rsidR="00A6027F" w:rsidRPr="00DE4CD2" w:rsidRDefault="00A6027F" w:rsidP="00A6027F">
      <w:pPr>
        <w:rPr>
          <w:rFonts w:asciiTheme="majorHAnsi" w:hAnsiTheme="majorHAnsi" w:cstheme="majorHAnsi"/>
          <w:b/>
          <w:bCs/>
          <w:i/>
          <w:iCs/>
        </w:rPr>
      </w:pPr>
      <w:r w:rsidRPr="00DE4CD2">
        <w:rPr>
          <w:rFonts w:asciiTheme="majorHAnsi" w:hAnsiTheme="majorHAnsi" w:cstheme="majorHAnsi"/>
          <w:b/>
          <w:bCs/>
          <w:i/>
          <w:iCs/>
        </w:rPr>
        <w:t xml:space="preserve">Present State and value added </w:t>
      </w:r>
    </w:p>
    <w:p w14:paraId="0913947B" w14:textId="77777777" w:rsidR="00A6027F" w:rsidRPr="00DE4CD2" w:rsidRDefault="00A6027F" w:rsidP="00A6027F">
      <w:pPr>
        <w:spacing w:after="120"/>
        <w:jc w:val="both"/>
        <w:rPr>
          <w:rFonts w:asciiTheme="majorHAnsi" w:hAnsiTheme="majorHAnsi" w:cstheme="majorHAnsi"/>
        </w:rPr>
      </w:pPr>
      <w:r w:rsidRPr="00DE4CD2">
        <w:rPr>
          <w:rFonts w:asciiTheme="majorHAnsi" w:hAnsiTheme="majorHAnsi" w:cstheme="majorHAnsi"/>
        </w:rPr>
        <w:t xml:space="preserve">Young, growth-oriented firms operating in technology-intensive sectors (i.e. innovative startups) contribute significantly to a country's international competitiveness, as they are essential drivers of innovation, job creation, and economic development (e.g. </w:t>
      </w:r>
      <w:proofErr w:type="spellStart"/>
      <w:r w:rsidRPr="00DE4CD2">
        <w:rPr>
          <w:rFonts w:asciiTheme="majorHAnsi" w:hAnsiTheme="majorHAnsi" w:cstheme="majorHAnsi"/>
        </w:rPr>
        <w:t>Audretsch</w:t>
      </w:r>
      <w:proofErr w:type="spellEnd"/>
      <w:r w:rsidRPr="00DE4CD2">
        <w:rPr>
          <w:rFonts w:asciiTheme="majorHAnsi" w:hAnsiTheme="majorHAnsi" w:cstheme="majorHAnsi"/>
        </w:rPr>
        <w:t xml:space="preserve"> and </w:t>
      </w:r>
      <w:proofErr w:type="spellStart"/>
      <w:r w:rsidRPr="00DE4CD2">
        <w:rPr>
          <w:rFonts w:asciiTheme="majorHAnsi" w:hAnsiTheme="majorHAnsi" w:cstheme="majorHAnsi"/>
        </w:rPr>
        <w:t>Keilbach</w:t>
      </w:r>
      <w:proofErr w:type="spellEnd"/>
      <w:r w:rsidRPr="00DE4CD2">
        <w:rPr>
          <w:rFonts w:asciiTheme="majorHAnsi" w:hAnsiTheme="majorHAnsi" w:cstheme="majorHAnsi"/>
        </w:rPr>
        <w:t xml:space="preserve">, 2004; 2005; </w:t>
      </w:r>
      <w:proofErr w:type="spellStart"/>
      <w:r w:rsidRPr="00DE4CD2">
        <w:rPr>
          <w:rFonts w:asciiTheme="majorHAnsi" w:hAnsiTheme="majorHAnsi" w:cstheme="majorHAnsi"/>
        </w:rPr>
        <w:t>Criscuolo</w:t>
      </w:r>
      <w:proofErr w:type="spellEnd"/>
      <w:r w:rsidRPr="00DE4CD2">
        <w:rPr>
          <w:rFonts w:asciiTheme="majorHAnsi" w:hAnsiTheme="majorHAnsi" w:cstheme="majorHAnsi"/>
        </w:rPr>
        <w:t xml:space="preserve"> et al., 2014). </w:t>
      </w:r>
    </w:p>
    <w:p w14:paraId="4F33E4F6" w14:textId="77777777" w:rsidR="00A6027F" w:rsidRPr="00DE4CD2" w:rsidRDefault="00A6027F" w:rsidP="00A6027F">
      <w:pPr>
        <w:spacing w:after="120"/>
        <w:jc w:val="both"/>
        <w:rPr>
          <w:rFonts w:asciiTheme="majorHAnsi" w:hAnsiTheme="majorHAnsi" w:cstheme="majorHAnsi"/>
          <w:lang w:val="en-US"/>
        </w:rPr>
      </w:pPr>
      <w:r w:rsidRPr="00DE4CD2">
        <w:rPr>
          <w:rFonts w:asciiTheme="majorHAnsi" w:hAnsiTheme="majorHAnsi" w:cstheme="majorHAnsi"/>
        </w:rPr>
        <w:t xml:space="preserve">One of the most significant obstacles that innovative startups face is securing the financial resources they need to grow and scale-up their operations. </w:t>
      </w:r>
      <w:r w:rsidRPr="00DE4CD2">
        <w:rPr>
          <w:rFonts w:asciiTheme="majorHAnsi" w:hAnsiTheme="majorHAnsi" w:cstheme="majorHAnsi"/>
          <w:lang w:val="en-US"/>
        </w:rPr>
        <w:t>Venture Capital (VC) is an important source of funding for innovative startups. Compared to traditional financial intermediaries such as banks, VC investors are specialized financial intermediaries that are able to address the information asymmetries that characterize innovative startups (</w:t>
      </w:r>
      <w:proofErr w:type="spellStart"/>
      <w:r w:rsidRPr="00DE4CD2">
        <w:rPr>
          <w:rFonts w:asciiTheme="majorHAnsi" w:hAnsiTheme="majorHAnsi" w:cstheme="majorHAnsi"/>
          <w:lang w:val="en-US"/>
        </w:rPr>
        <w:t>Bertoni</w:t>
      </w:r>
      <w:proofErr w:type="spellEnd"/>
      <w:r w:rsidRPr="00DE4CD2">
        <w:rPr>
          <w:rFonts w:asciiTheme="majorHAnsi" w:hAnsiTheme="majorHAnsi" w:cstheme="majorHAnsi"/>
          <w:lang w:val="en-US"/>
        </w:rPr>
        <w:t xml:space="preserve"> et al., 2015), and provide value-added services, including strategic, technical, marketing, and managerial aid that startups need for scaling-up quickly (Gompers et al., 2001; Denis, 2004). In recent years, the European Commission has devoted increasing attention to VC through relevant policy actions aimed at stimulating access to VC. For example, the European Investment Fund has been supporting EU VC market mainly through Fund-of-Funds, backed principally by the European Investment Bank and the European Commission. Another notable example is the European Council for Innovation’s plan to allocate, under the Horizon Europe program, 10 billion euros for the period 2021-2027 to support innovative startups and SMEs through equity financing and public grants.</w:t>
      </w:r>
    </w:p>
    <w:p w14:paraId="14E386A3" w14:textId="5AD3B0FC" w:rsidR="00A6027F" w:rsidRPr="00DE4CD2" w:rsidRDefault="00A6027F" w:rsidP="00A6027F">
      <w:pPr>
        <w:spacing w:after="120"/>
        <w:jc w:val="both"/>
        <w:rPr>
          <w:rFonts w:asciiTheme="majorHAnsi" w:hAnsiTheme="majorHAnsi" w:cstheme="majorHAnsi"/>
          <w:lang w:val="en-US"/>
        </w:rPr>
      </w:pPr>
      <w:r w:rsidRPr="00DE4CD2">
        <w:rPr>
          <w:rFonts w:asciiTheme="majorHAnsi" w:hAnsiTheme="majorHAnsi" w:cstheme="majorHAnsi"/>
          <w:lang w:val="en-US"/>
        </w:rPr>
        <w:t xml:space="preserve">VICO is an original dataset that is made available by the EU funded projects RISIS1 and RISIS2. </w:t>
      </w:r>
      <w:r w:rsidRPr="00DE4CD2">
        <w:rPr>
          <w:rFonts w:asciiTheme="majorHAnsi" w:hAnsiTheme="majorHAnsi" w:cstheme="majorHAnsi"/>
        </w:rPr>
        <w:t xml:space="preserve">The aim of the VICO is to create a unique data infrastructure with a substantial coverage of VC activity in Europe. VICO contains geographical, industry and accounting information on companies founded starting from 1/1/1988, which have received at least one VC investment in the period 1998-2021, operating in the 27 countries of the European Union, United Kingdom and Israel. VICO covers an overall number of 53,843 companies, that have been involved in 81,930 investment deals. VICO also provides basic information on 18,017 distinct investors. It also includes 750 equity CF investment deals located in the UK (i.e. the largest equity CF market in Europe) in the period 2011-2018. The data infrastructure is organized in the following six tables, and represented by Figure </w:t>
      </w:r>
      <w:r w:rsidR="0063329C" w:rsidRPr="00DE4CD2">
        <w:rPr>
          <w:rFonts w:asciiTheme="majorHAnsi" w:hAnsiTheme="majorHAnsi" w:cstheme="majorHAnsi"/>
        </w:rPr>
        <w:t>20</w:t>
      </w:r>
      <w:r w:rsidRPr="00DE4CD2">
        <w:rPr>
          <w:rFonts w:asciiTheme="majorHAnsi" w:hAnsiTheme="majorHAnsi" w:cstheme="majorHAnsi"/>
        </w:rPr>
        <w:t>:</w:t>
      </w:r>
    </w:p>
    <w:p w14:paraId="77B0E9D0" w14:textId="77777777" w:rsidR="00A6027F" w:rsidRPr="00DE4CD2" w:rsidRDefault="00A6027F" w:rsidP="00A6027F">
      <w:pPr>
        <w:pStyle w:val="Listenabsatz"/>
        <w:numPr>
          <w:ilvl w:val="0"/>
          <w:numId w:val="26"/>
        </w:numPr>
        <w:jc w:val="both"/>
        <w:rPr>
          <w:rFonts w:asciiTheme="majorHAnsi" w:hAnsiTheme="majorHAnsi" w:cstheme="majorHAnsi"/>
        </w:rPr>
      </w:pPr>
      <w:r w:rsidRPr="00DE4CD2">
        <w:rPr>
          <w:rFonts w:asciiTheme="majorHAnsi" w:hAnsiTheme="majorHAnsi" w:cstheme="majorHAnsi"/>
        </w:rPr>
        <w:t>Companies, which contains information on basic companies’ characteristics. The unit of observation is the VC-backed company;</w:t>
      </w:r>
    </w:p>
    <w:p w14:paraId="5906BF28" w14:textId="77777777" w:rsidR="00A6027F" w:rsidRPr="00DE4CD2" w:rsidRDefault="00A6027F" w:rsidP="00A6027F">
      <w:pPr>
        <w:pStyle w:val="Listenabsatz"/>
        <w:numPr>
          <w:ilvl w:val="0"/>
          <w:numId w:val="26"/>
        </w:numPr>
        <w:jc w:val="both"/>
        <w:rPr>
          <w:rFonts w:asciiTheme="majorHAnsi" w:hAnsiTheme="majorHAnsi" w:cstheme="majorHAnsi"/>
        </w:rPr>
      </w:pPr>
      <w:r w:rsidRPr="00DE4CD2">
        <w:rPr>
          <w:rFonts w:asciiTheme="majorHAnsi" w:hAnsiTheme="majorHAnsi" w:cstheme="majorHAnsi"/>
        </w:rPr>
        <w:t>Investments, which contains information on VC deals (e.g. deal date, amount invested, investors involved, ...). The main unit of observation is the VC deal (i.e. the company-date-investor triad);</w:t>
      </w:r>
    </w:p>
    <w:p w14:paraId="72E03F44" w14:textId="77777777" w:rsidR="00A6027F" w:rsidRPr="00DE4CD2" w:rsidRDefault="00A6027F" w:rsidP="00A6027F">
      <w:pPr>
        <w:pStyle w:val="Listenabsatz"/>
        <w:numPr>
          <w:ilvl w:val="0"/>
          <w:numId w:val="26"/>
        </w:numPr>
        <w:jc w:val="both"/>
        <w:rPr>
          <w:rFonts w:asciiTheme="majorHAnsi" w:hAnsiTheme="majorHAnsi" w:cstheme="majorHAnsi"/>
        </w:rPr>
      </w:pPr>
      <w:r w:rsidRPr="00DE4CD2">
        <w:rPr>
          <w:rFonts w:asciiTheme="majorHAnsi" w:hAnsiTheme="majorHAnsi" w:cstheme="majorHAnsi"/>
        </w:rPr>
        <w:t>Investors, which contains information on basic investors’ characteristics. The unit of observation is the investor;</w:t>
      </w:r>
    </w:p>
    <w:p w14:paraId="1FE7F676" w14:textId="77777777" w:rsidR="00A6027F" w:rsidRPr="00DE4CD2" w:rsidRDefault="00A6027F" w:rsidP="00A6027F">
      <w:pPr>
        <w:pStyle w:val="Listenabsatz"/>
        <w:numPr>
          <w:ilvl w:val="0"/>
          <w:numId w:val="26"/>
        </w:numPr>
        <w:jc w:val="both"/>
        <w:rPr>
          <w:rFonts w:asciiTheme="majorHAnsi" w:hAnsiTheme="majorHAnsi" w:cstheme="majorHAnsi"/>
        </w:rPr>
      </w:pPr>
      <w:r w:rsidRPr="00DE4CD2">
        <w:rPr>
          <w:rFonts w:asciiTheme="majorHAnsi" w:hAnsiTheme="majorHAnsi" w:cstheme="majorHAnsi"/>
        </w:rPr>
        <w:t>Accounting, which contains accounting data of VC-backed companies. The main unit of observation is the company-year dyad;</w:t>
      </w:r>
    </w:p>
    <w:p w14:paraId="20E6CFEE" w14:textId="77777777" w:rsidR="00A6027F" w:rsidRPr="00DE4CD2" w:rsidRDefault="00A6027F" w:rsidP="00A6027F">
      <w:pPr>
        <w:pStyle w:val="Listenabsatz"/>
        <w:numPr>
          <w:ilvl w:val="0"/>
          <w:numId w:val="26"/>
        </w:numPr>
        <w:jc w:val="both"/>
        <w:rPr>
          <w:rFonts w:asciiTheme="majorHAnsi" w:hAnsiTheme="majorHAnsi" w:cstheme="majorHAnsi"/>
        </w:rPr>
      </w:pPr>
      <w:r w:rsidRPr="00DE4CD2">
        <w:rPr>
          <w:rFonts w:asciiTheme="majorHAnsi" w:hAnsiTheme="majorHAnsi" w:cstheme="majorHAnsi"/>
        </w:rPr>
        <w:lastRenderedPageBreak/>
        <w:t>Exits, which contains information on M&amp;A and IPO deals conducted by VC-backed companies. The main unit of observation is the M&amp;A/IPO deal (i.e. the company-date-acquirer triad);</w:t>
      </w:r>
    </w:p>
    <w:p w14:paraId="51C3A6BD" w14:textId="77777777" w:rsidR="00A6027F" w:rsidRPr="00DE4CD2" w:rsidRDefault="00A6027F" w:rsidP="00A6027F">
      <w:pPr>
        <w:pStyle w:val="Listenabsatz"/>
        <w:numPr>
          <w:ilvl w:val="0"/>
          <w:numId w:val="26"/>
        </w:numPr>
        <w:jc w:val="both"/>
        <w:rPr>
          <w:rFonts w:asciiTheme="majorHAnsi" w:hAnsiTheme="majorHAnsi" w:cstheme="majorHAnsi"/>
        </w:rPr>
      </w:pPr>
      <w:r w:rsidRPr="00DE4CD2">
        <w:rPr>
          <w:rFonts w:asciiTheme="majorHAnsi" w:hAnsiTheme="majorHAnsi" w:cstheme="majorHAnsi"/>
        </w:rPr>
        <w:t>Equity CF Investments, which contains information on equity CF deals. The main unit of observation is the equity CF campaign-date dyad.</w:t>
      </w:r>
    </w:p>
    <w:p w14:paraId="59E09339" w14:textId="77777777" w:rsidR="00A6027F" w:rsidRPr="00DE4CD2" w:rsidRDefault="00A6027F" w:rsidP="00A6027F">
      <w:pPr>
        <w:pStyle w:val="Listenabsatz"/>
        <w:jc w:val="both"/>
        <w:rPr>
          <w:rFonts w:asciiTheme="majorHAnsi" w:hAnsiTheme="majorHAnsi" w:cstheme="majorHAnsi"/>
        </w:rPr>
      </w:pPr>
    </w:p>
    <w:p w14:paraId="39BE325C" w14:textId="61311777" w:rsidR="00A6027F" w:rsidRPr="00DE4CD2" w:rsidRDefault="00A6027F" w:rsidP="00A6027F">
      <w:pPr>
        <w:rPr>
          <w:rFonts w:asciiTheme="majorHAnsi" w:hAnsiTheme="majorHAnsi" w:cstheme="majorHAnsi"/>
          <w:i/>
          <w:iCs/>
        </w:rPr>
      </w:pPr>
      <w:r w:rsidRPr="00DE4CD2">
        <w:rPr>
          <w:rFonts w:asciiTheme="majorHAnsi" w:hAnsiTheme="majorHAnsi" w:cstheme="majorHAnsi"/>
          <w:i/>
          <w:iCs/>
        </w:rPr>
        <w:t xml:space="preserve">Figure </w:t>
      </w:r>
      <w:r w:rsidR="0063329C" w:rsidRPr="00DE4CD2">
        <w:rPr>
          <w:rFonts w:asciiTheme="majorHAnsi" w:hAnsiTheme="majorHAnsi" w:cstheme="majorHAnsi"/>
          <w:i/>
          <w:iCs/>
        </w:rPr>
        <w:t>20</w:t>
      </w:r>
      <w:r w:rsidRPr="00DE4CD2">
        <w:rPr>
          <w:rFonts w:asciiTheme="majorHAnsi" w:hAnsiTheme="majorHAnsi" w:cstheme="majorHAnsi"/>
          <w:i/>
          <w:iCs/>
        </w:rPr>
        <w:t xml:space="preserve">. Structure of VICO (version 6.0) </w:t>
      </w:r>
    </w:p>
    <w:p w14:paraId="509ECD43" w14:textId="77777777" w:rsidR="00A6027F" w:rsidRPr="00DE4CD2" w:rsidRDefault="00A6027F" w:rsidP="00A6027F">
      <w:pPr>
        <w:jc w:val="both"/>
        <w:rPr>
          <w:rFonts w:asciiTheme="majorHAnsi" w:hAnsiTheme="majorHAnsi" w:cstheme="majorHAnsi"/>
        </w:rPr>
      </w:pPr>
      <w:r w:rsidRPr="00DE4CD2">
        <w:rPr>
          <w:rFonts w:asciiTheme="majorHAnsi" w:hAnsiTheme="majorHAnsi" w:cstheme="majorHAnsi"/>
          <w:noProof/>
          <w:lang w:val="en-US" w:eastAsia="en-US"/>
        </w:rPr>
        <w:drawing>
          <wp:inline distT="0" distB="0" distL="0" distR="0" wp14:anchorId="20C7D311" wp14:editId="49CBC4D3">
            <wp:extent cx="5661964" cy="2746335"/>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shot 2023-12-01 at 07.45.50.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669996" cy="2750231"/>
                    </a:xfrm>
                    <a:prstGeom prst="rect">
                      <a:avLst/>
                    </a:prstGeom>
                  </pic:spPr>
                </pic:pic>
              </a:graphicData>
            </a:graphic>
          </wp:inline>
        </w:drawing>
      </w:r>
    </w:p>
    <w:p w14:paraId="77355502" w14:textId="77777777" w:rsidR="00A6027F" w:rsidRPr="00DE4CD2" w:rsidRDefault="00A6027F" w:rsidP="00A6027F">
      <w:pPr>
        <w:jc w:val="both"/>
        <w:rPr>
          <w:rFonts w:asciiTheme="majorHAnsi" w:hAnsiTheme="majorHAnsi" w:cstheme="majorHAnsi"/>
          <w:b/>
          <w:bCs/>
          <w:i/>
          <w:iCs/>
        </w:rPr>
      </w:pPr>
    </w:p>
    <w:p w14:paraId="540B2D7A" w14:textId="77777777" w:rsidR="00A6027F" w:rsidRPr="00DE4CD2" w:rsidRDefault="00A6027F" w:rsidP="00A6027F">
      <w:pPr>
        <w:jc w:val="both"/>
        <w:rPr>
          <w:rFonts w:asciiTheme="majorHAnsi" w:hAnsiTheme="majorHAnsi" w:cstheme="majorHAnsi"/>
        </w:rPr>
      </w:pPr>
      <w:r w:rsidRPr="00DE4CD2">
        <w:rPr>
          <w:rFonts w:asciiTheme="majorHAnsi" w:hAnsiTheme="majorHAnsi" w:cstheme="majorHAnsi"/>
        </w:rPr>
        <w:t xml:space="preserve">The uniqueness of VICO lies in the overall number of companies, the country coverage, and the extent of information gathered, thanks to the combination of multiple secondary data sources, namely Thompson Eikon, Bureau van Dijk Zephyr, Crunchbase and Bureau van Dijk Orbis. VICO allows to address a wide range of research questions concerning the characteristics, the evolution and the role of VC in Europe. </w:t>
      </w:r>
    </w:p>
    <w:p w14:paraId="4BDC95FC" w14:textId="77777777" w:rsidR="00A6027F" w:rsidRPr="00DE4CD2" w:rsidRDefault="00A6027F" w:rsidP="00A6027F">
      <w:pPr>
        <w:jc w:val="both"/>
        <w:rPr>
          <w:rFonts w:asciiTheme="majorHAnsi" w:hAnsiTheme="majorHAnsi" w:cstheme="majorHAnsi"/>
          <w:lang w:val="en-US"/>
        </w:rPr>
      </w:pPr>
    </w:p>
    <w:p w14:paraId="6872B744" w14:textId="77777777" w:rsidR="00A6027F" w:rsidRPr="00DE4CD2" w:rsidRDefault="00A6027F" w:rsidP="00A6027F">
      <w:pPr>
        <w:rPr>
          <w:rFonts w:asciiTheme="majorHAnsi" w:hAnsiTheme="majorHAnsi" w:cstheme="majorHAnsi"/>
          <w:b/>
          <w:bCs/>
          <w:i/>
          <w:iCs/>
        </w:rPr>
      </w:pPr>
      <w:r w:rsidRPr="00DE4CD2">
        <w:rPr>
          <w:rFonts w:asciiTheme="majorHAnsi" w:hAnsiTheme="majorHAnsi" w:cstheme="majorHAnsi"/>
          <w:b/>
          <w:bCs/>
          <w:i/>
          <w:iCs/>
        </w:rPr>
        <w:t>Main achievements</w:t>
      </w:r>
    </w:p>
    <w:p w14:paraId="13ED99ED" w14:textId="17ED45AF" w:rsidR="00A6027F" w:rsidRPr="00DE4CD2" w:rsidRDefault="00A6027F" w:rsidP="00A6027F">
      <w:pPr>
        <w:jc w:val="both"/>
        <w:rPr>
          <w:rFonts w:asciiTheme="majorHAnsi" w:hAnsiTheme="majorHAnsi" w:cstheme="majorHAnsi"/>
          <w:bCs/>
          <w:iCs/>
          <w:lang w:val="en-US"/>
        </w:rPr>
      </w:pPr>
      <w:r w:rsidRPr="00DE4CD2">
        <w:rPr>
          <w:rFonts w:asciiTheme="majorHAnsi" w:hAnsiTheme="majorHAnsi" w:cstheme="majorHAnsi"/>
          <w:bCs/>
          <w:iCs/>
          <w:lang w:val="en-US"/>
        </w:rPr>
        <w:t xml:space="preserve">The first version of VICO has been developed by </w:t>
      </w:r>
      <w:proofErr w:type="spellStart"/>
      <w:r w:rsidRPr="00DE4CD2">
        <w:rPr>
          <w:rFonts w:asciiTheme="majorHAnsi" w:hAnsiTheme="majorHAnsi" w:cstheme="majorHAnsi"/>
          <w:bCs/>
          <w:iCs/>
          <w:lang w:val="en-US"/>
        </w:rPr>
        <w:t>Politecnico</w:t>
      </w:r>
      <w:proofErr w:type="spellEnd"/>
      <w:r w:rsidRPr="00DE4CD2">
        <w:rPr>
          <w:rFonts w:asciiTheme="majorHAnsi" w:hAnsiTheme="majorHAnsi" w:cstheme="majorHAnsi"/>
          <w:bCs/>
          <w:iCs/>
          <w:lang w:val="en-US"/>
        </w:rPr>
        <w:t xml:space="preserve"> di Milano under a project funded by the 7th Framework </w:t>
      </w:r>
      <w:proofErr w:type="spellStart"/>
      <w:r w:rsidRPr="00DE4CD2">
        <w:rPr>
          <w:rFonts w:asciiTheme="majorHAnsi" w:hAnsiTheme="majorHAnsi" w:cstheme="majorHAnsi"/>
          <w:bCs/>
          <w:iCs/>
          <w:lang w:val="en-US"/>
        </w:rPr>
        <w:t>Programme</w:t>
      </w:r>
      <w:proofErr w:type="spellEnd"/>
      <w:r w:rsidRPr="00DE4CD2">
        <w:rPr>
          <w:rFonts w:asciiTheme="majorHAnsi" w:hAnsiTheme="majorHAnsi" w:cstheme="majorHAnsi"/>
          <w:bCs/>
          <w:iCs/>
          <w:lang w:val="en-US"/>
        </w:rPr>
        <w:t xml:space="preserve"> of the European Commission (Grant Agreement 217485) and was limited to a sample of around 800 VC-backed companies located in 7 European countries (Belgium, Finland, France, Germany, Italy, Spain, and the United Kingdom). Thanks to the support of the RISIS and RISIS2 projects, VICO has been further developed and regularly updated. Under the first RISIS project (7th Framework </w:t>
      </w:r>
      <w:proofErr w:type="spellStart"/>
      <w:r w:rsidRPr="00DE4CD2">
        <w:rPr>
          <w:rFonts w:asciiTheme="majorHAnsi" w:hAnsiTheme="majorHAnsi" w:cstheme="majorHAnsi"/>
          <w:bCs/>
          <w:iCs/>
          <w:lang w:val="en-US"/>
        </w:rPr>
        <w:t>Programme</w:t>
      </w:r>
      <w:proofErr w:type="spellEnd"/>
      <w:r w:rsidRPr="00DE4CD2">
        <w:rPr>
          <w:rFonts w:asciiTheme="majorHAnsi" w:hAnsiTheme="majorHAnsi" w:cstheme="majorHAnsi"/>
          <w:bCs/>
          <w:iCs/>
          <w:lang w:val="en-US"/>
        </w:rPr>
        <w:t xml:space="preserve">), the dataset dramatically increased its coverage in the same countries, with around 18,000 VC-backed companies that received a first round of VC financing in the period 1998-2012. Main achievements under the RISIS2 project are summarized in Table </w:t>
      </w:r>
      <w:r w:rsidR="00050782" w:rsidRPr="00DE4CD2">
        <w:rPr>
          <w:rFonts w:asciiTheme="majorHAnsi" w:hAnsiTheme="majorHAnsi" w:cstheme="majorHAnsi"/>
          <w:bCs/>
          <w:iCs/>
          <w:lang w:val="en-US"/>
        </w:rPr>
        <w:t>10</w:t>
      </w:r>
      <w:r w:rsidRPr="00DE4CD2">
        <w:rPr>
          <w:rFonts w:asciiTheme="majorHAnsi" w:hAnsiTheme="majorHAnsi" w:cstheme="majorHAnsi"/>
          <w:bCs/>
          <w:iCs/>
          <w:lang w:val="en-US"/>
        </w:rPr>
        <w:t>.</w:t>
      </w:r>
    </w:p>
    <w:p w14:paraId="04971B5A" w14:textId="3400F7D4" w:rsidR="00B94B80" w:rsidRPr="00DE4CD2" w:rsidRDefault="00B94B80" w:rsidP="00A6027F">
      <w:pPr>
        <w:jc w:val="both"/>
        <w:rPr>
          <w:rFonts w:asciiTheme="majorHAnsi" w:hAnsiTheme="majorHAnsi" w:cstheme="majorHAnsi"/>
          <w:bCs/>
          <w:iCs/>
          <w:lang w:val="en-US"/>
        </w:rPr>
      </w:pPr>
    </w:p>
    <w:p w14:paraId="6DDFD922" w14:textId="77777777" w:rsidR="00B94B80" w:rsidRPr="00DE4CD2" w:rsidRDefault="00B94B80" w:rsidP="00B94B80">
      <w:pPr>
        <w:jc w:val="both"/>
        <w:rPr>
          <w:rFonts w:asciiTheme="majorHAnsi" w:hAnsiTheme="majorHAnsi" w:cstheme="majorHAnsi"/>
          <w:bCs/>
          <w:iCs/>
          <w:lang w:val="en-US"/>
        </w:rPr>
      </w:pPr>
      <w:r w:rsidRPr="00DE4CD2">
        <w:rPr>
          <w:rFonts w:asciiTheme="majorHAnsi" w:hAnsiTheme="majorHAnsi" w:cstheme="majorHAnsi"/>
          <w:bCs/>
          <w:iCs/>
          <w:lang w:val="en-US"/>
        </w:rPr>
        <w:t xml:space="preserve">During the RISIS2 project, a first updated and extended release of VICO (version 5.0) has been made available on M36, with information on 37,863 companies which have received at least one VC investment in the period 1998-2018. The current version of VICO (version 6.0), which provides information on </w:t>
      </w:r>
      <w:r w:rsidRPr="00DE4CD2">
        <w:rPr>
          <w:rFonts w:asciiTheme="majorHAnsi" w:hAnsiTheme="majorHAnsi" w:cstheme="majorHAnsi"/>
        </w:rPr>
        <w:t>53,843 companies that received VC in the period 1998-2021,</w:t>
      </w:r>
      <w:r w:rsidRPr="00DE4CD2">
        <w:rPr>
          <w:rFonts w:asciiTheme="majorHAnsi" w:hAnsiTheme="majorHAnsi" w:cstheme="majorHAnsi"/>
          <w:bCs/>
          <w:iCs/>
          <w:lang w:val="en-US"/>
        </w:rPr>
        <w:t xml:space="preserve"> has been made available on M48. Thanks to the support of RISIS2, VICO has also been used to produce a policy brief on the democratization of access to smart money in Europe (Colombo et al., 2021). </w:t>
      </w:r>
    </w:p>
    <w:p w14:paraId="24305955" w14:textId="77777777" w:rsidR="00B94B80" w:rsidRPr="00DE4CD2" w:rsidRDefault="00B94B80" w:rsidP="00A6027F">
      <w:pPr>
        <w:jc w:val="both"/>
        <w:rPr>
          <w:rFonts w:asciiTheme="majorHAnsi" w:hAnsiTheme="majorHAnsi" w:cstheme="majorHAnsi"/>
          <w:bCs/>
          <w:iCs/>
          <w:lang w:val="en-US"/>
        </w:rPr>
      </w:pPr>
    </w:p>
    <w:p w14:paraId="1D36D3FE" w14:textId="77777777" w:rsidR="00A6027F" w:rsidRPr="00DE4CD2" w:rsidRDefault="00A6027F" w:rsidP="00A6027F">
      <w:pPr>
        <w:pStyle w:val="Listenabsatz"/>
        <w:jc w:val="both"/>
        <w:rPr>
          <w:rFonts w:asciiTheme="majorHAnsi" w:hAnsiTheme="majorHAnsi" w:cstheme="majorHAnsi"/>
        </w:rPr>
      </w:pPr>
    </w:p>
    <w:p w14:paraId="5B6F8845" w14:textId="1EC9B384" w:rsidR="00A6027F" w:rsidRPr="00DE4CD2" w:rsidRDefault="00A6027F" w:rsidP="00A6027F">
      <w:pPr>
        <w:rPr>
          <w:rFonts w:asciiTheme="majorHAnsi" w:hAnsiTheme="majorHAnsi" w:cstheme="majorHAnsi"/>
          <w:i/>
          <w:iCs/>
        </w:rPr>
      </w:pPr>
      <w:r w:rsidRPr="00DE4CD2">
        <w:rPr>
          <w:rFonts w:asciiTheme="majorHAnsi" w:hAnsiTheme="majorHAnsi" w:cstheme="majorHAnsi"/>
          <w:i/>
          <w:iCs/>
        </w:rPr>
        <w:lastRenderedPageBreak/>
        <w:t xml:space="preserve">Table </w:t>
      </w:r>
      <w:r w:rsidR="00050782" w:rsidRPr="00DE4CD2">
        <w:rPr>
          <w:rFonts w:asciiTheme="majorHAnsi" w:hAnsiTheme="majorHAnsi" w:cstheme="majorHAnsi"/>
          <w:i/>
          <w:iCs/>
        </w:rPr>
        <w:t>10</w:t>
      </w:r>
      <w:r w:rsidRPr="00DE4CD2">
        <w:rPr>
          <w:rFonts w:asciiTheme="majorHAnsi" w:hAnsiTheme="majorHAnsi" w:cstheme="majorHAnsi"/>
          <w:i/>
          <w:iCs/>
        </w:rPr>
        <w:t xml:space="preserve">. Main achievements under the RISIS2 project </w:t>
      </w:r>
    </w:p>
    <w:tbl>
      <w:tblPr>
        <w:tblStyle w:val="Tabellenraster"/>
        <w:tblW w:w="0" w:type="auto"/>
        <w:jc w:val="center"/>
        <w:tblLook w:val="04A0" w:firstRow="1" w:lastRow="0" w:firstColumn="1" w:lastColumn="0" w:noHBand="0" w:noVBand="1"/>
      </w:tblPr>
      <w:tblGrid>
        <w:gridCol w:w="2540"/>
        <w:gridCol w:w="6975"/>
      </w:tblGrid>
      <w:tr w:rsidR="00FC3526" w:rsidRPr="00DE4CD2" w14:paraId="3A73C13E" w14:textId="77777777" w:rsidTr="00DE6428">
        <w:trPr>
          <w:jc w:val="center"/>
        </w:trPr>
        <w:tc>
          <w:tcPr>
            <w:tcW w:w="2540" w:type="dxa"/>
          </w:tcPr>
          <w:p w14:paraId="60CBA677" w14:textId="77777777" w:rsidR="00A6027F" w:rsidRPr="00DE4CD2" w:rsidRDefault="00A6027F" w:rsidP="00DE6428">
            <w:pPr>
              <w:pBdr>
                <w:top w:val="none" w:sz="0" w:space="0" w:color="auto"/>
                <w:left w:val="none" w:sz="0" w:space="0" w:color="auto"/>
                <w:bottom w:val="none" w:sz="0" w:space="0" w:color="auto"/>
                <w:right w:val="none" w:sz="0" w:space="0" w:color="auto"/>
                <w:between w:val="none" w:sz="0" w:space="0" w:color="auto"/>
              </w:pBdr>
              <w:rPr>
                <w:rFonts w:asciiTheme="majorHAnsi" w:hAnsiTheme="majorHAnsi" w:cstheme="majorHAnsi"/>
                <w:b/>
                <w:iCs/>
                <w:lang w:val="en-US"/>
              </w:rPr>
            </w:pPr>
            <w:r w:rsidRPr="00DE4CD2">
              <w:rPr>
                <w:rFonts w:asciiTheme="majorHAnsi" w:hAnsiTheme="majorHAnsi" w:cstheme="majorHAnsi"/>
                <w:b/>
                <w:iCs/>
                <w:lang w:val="en-US"/>
              </w:rPr>
              <w:t>Achievement</w:t>
            </w:r>
          </w:p>
        </w:tc>
        <w:tc>
          <w:tcPr>
            <w:tcW w:w="6975" w:type="dxa"/>
          </w:tcPr>
          <w:p w14:paraId="7FBE168B" w14:textId="77777777" w:rsidR="00A6027F" w:rsidRPr="00DE4CD2" w:rsidRDefault="00A6027F" w:rsidP="00DE6428">
            <w:pPr>
              <w:pBdr>
                <w:top w:val="none" w:sz="0" w:space="0" w:color="auto"/>
                <w:left w:val="none" w:sz="0" w:space="0" w:color="auto"/>
                <w:bottom w:val="none" w:sz="0" w:space="0" w:color="auto"/>
                <w:right w:val="none" w:sz="0" w:space="0" w:color="auto"/>
                <w:between w:val="none" w:sz="0" w:space="0" w:color="auto"/>
              </w:pBdr>
              <w:rPr>
                <w:rFonts w:asciiTheme="majorHAnsi" w:hAnsiTheme="majorHAnsi" w:cstheme="majorHAnsi"/>
                <w:b/>
                <w:iCs/>
                <w:lang w:val="en-US"/>
              </w:rPr>
            </w:pPr>
            <w:r w:rsidRPr="00DE4CD2">
              <w:rPr>
                <w:rFonts w:asciiTheme="majorHAnsi" w:hAnsiTheme="majorHAnsi" w:cstheme="majorHAnsi"/>
                <w:b/>
                <w:iCs/>
                <w:lang w:val="en-US"/>
              </w:rPr>
              <w:t>Description</w:t>
            </w:r>
          </w:p>
        </w:tc>
      </w:tr>
      <w:tr w:rsidR="00FC3526" w:rsidRPr="00DE4CD2" w14:paraId="60AD05A2" w14:textId="77777777" w:rsidTr="00DE6428">
        <w:trPr>
          <w:trHeight w:val="719"/>
          <w:jc w:val="center"/>
        </w:trPr>
        <w:tc>
          <w:tcPr>
            <w:tcW w:w="2540" w:type="dxa"/>
            <w:vAlign w:val="center"/>
          </w:tcPr>
          <w:p w14:paraId="05C92CFC" w14:textId="77777777" w:rsidR="00A6027F" w:rsidRPr="00DE4CD2" w:rsidRDefault="00A6027F" w:rsidP="00DE6428">
            <w:pPr>
              <w:pBdr>
                <w:top w:val="none" w:sz="0" w:space="0" w:color="auto"/>
                <w:left w:val="none" w:sz="0" w:space="0" w:color="auto"/>
                <w:bottom w:val="none" w:sz="0" w:space="0" w:color="auto"/>
                <w:right w:val="none" w:sz="0" w:space="0" w:color="auto"/>
                <w:between w:val="none" w:sz="0" w:space="0" w:color="auto"/>
              </w:pBdr>
              <w:rPr>
                <w:rFonts w:asciiTheme="majorHAnsi" w:hAnsiTheme="majorHAnsi" w:cstheme="majorHAnsi"/>
                <w:bCs/>
                <w:iCs/>
                <w:lang w:val="en-US"/>
              </w:rPr>
            </w:pPr>
            <w:r w:rsidRPr="00DE4CD2">
              <w:rPr>
                <w:rFonts w:asciiTheme="majorHAnsi" w:hAnsiTheme="majorHAnsi" w:cstheme="majorHAnsi"/>
                <w:bCs/>
                <w:iCs/>
                <w:lang w:val="en-US"/>
              </w:rPr>
              <w:t>Geographical coverage</w:t>
            </w:r>
          </w:p>
        </w:tc>
        <w:tc>
          <w:tcPr>
            <w:tcW w:w="6975" w:type="dxa"/>
            <w:vAlign w:val="center"/>
          </w:tcPr>
          <w:p w14:paraId="11CF81A3" w14:textId="77777777" w:rsidR="00A6027F" w:rsidRPr="00DE4CD2" w:rsidRDefault="00A6027F" w:rsidP="00DE6428">
            <w:pPr>
              <w:pBdr>
                <w:top w:val="none" w:sz="0" w:space="0" w:color="auto"/>
                <w:left w:val="none" w:sz="0" w:space="0" w:color="auto"/>
                <w:bottom w:val="none" w:sz="0" w:space="0" w:color="auto"/>
                <w:right w:val="none" w:sz="0" w:space="0" w:color="auto"/>
                <w:between w:val="none" w:sz="0" w:space="0" w:color="auto"/>
              </w:pBdr>
              <w:rPr>
                <w:rFonts w:asciiTheme="majorHAnsi" w:hAnsiTheme="majorHAnsi" w:cstheme="majorHAnsi"/>
                <w:bCs/>
                <w:iCs/>
                <w:lang w:val="en-US"/>
              </w:rPr>
            </w:pPr>
            <w:r w:rsidRPr="00DE4CD2">
              <w:rPr>
                <w:rFonts w:asciiTheme="majorHAnsi" w:hAnsiTheme="majorHAnsi" w:cstheme="majorHAnsi"/>
                <w:bCs/>
                <w:iCs/>
                <w:lang w:val="en-US"/>
              </w:rPr>
              <w:t>Extension of the geographical coverage to VC-backed companies located in all the EU countries, the United Kingdom and Israel.</w:t>
            </w:r>
          </w:p>
        </w:tc>
      </w:tr>
      <w:tr w:rsidR="00FC3526" w:rsidRPr="00DE4CD2" w14:paraId="223CAD8D" w14:textId="77777777" w:rsidTr="00DE6428">
        <w:trPr>
          <w:trHeight w:val="719"/>
          <w:jc w:val="center"/>
        </w:trPr>
        <w:tc>
          <w:tcPr>
            <w:tcW w:w="2540" w:type="dxa"/>
            <w:vAlign w:val="center"/>
          </w:tcPr>
          <w:p w14:paraId="68BDF343" w14:textId="77777777" w:rsidR="00A6027F" w:rsidRPr="00DE4CD2" w:rsidRDefault="00A6027F" w:rsidP="00DE6428">
            <w:pPr>
              <w:pBdr>
                <w:top w:val="none" w:sz="0" w:space="0" w:color="auto"/>
                <w:left w:val="none" w:sz="0" w:space="0" w:color="auto"/>
                <w:bottom w:val="none" w:sz="0" w:space="0" w:color="auto"/>
                <w:right w:val="none" w:sz="0" w:space="0" w:color="auto"/>
                <w:between w:val="none" w:sz="0" w:space="0" w:color="auto"/>
              </w:pBdr>
              <w:rPr>
                <w:rFonts w:asciiTheme="majorHAnsi" w:hAnsiTheme="majorHAnsi" w:cstheme="majorHAnsi"/>
                <w:bCs/>
                <w:iCs/>
                <w:lang w:val="en-US"/>
              </w:rPr>
            </w:pPr>
            <w:r w:rsidRPr="00DE4CD2">
              <w:rPr>
                <w:rFonts w:asciiTheme="majorHAnsi" w:hAnsiTheme="majorHAnsi" w:cstheme="majorHAnsi"/>
                <w:bCs/>
                <w:iCs/>
                <w:lang w:val="en-US"/>
              </w:rPr>
              <w:t>Temporal coverage</w:t>
            </w:r>
          </w:p>
        </w:tc>
        <w:tc>
          <w:tcPr>
            <w:tcW w:w="6975" w:type="dxa"/>
            <w:vAlign w:val="center"/>
          </w:tcPr>
          <w:p w14:paraId="5A2A4241" w14:textId="77777777" w:rsidR="00A6027F" w:rsidRPr="00DE4CD2" w:rsidRDefault="00A6027F" w:rsidP="00DE6428">
            <w:pPr>
              <w:pBdr>
                <w:top w:val="none" w:sz="0" w:space="0" w:color="auto"/>
                <w:left w:val="none" w:sz="0" w:space="0" w:color="auto"/>
                <w:bottom w:val="none" w:sz="0" w:space="0" w:color="auto"/>
                <w:right w:val="none" w:sz="0" w:space="0" w:color="auto"/>
                <w:between w:val="none" w:sz="0" w:space="0" w:color="auto"/>
              </w:pBdr>
              <w:rPr>
                <w:rFonts w:asciiTheme="majorHAnsi" w:hAnsiTheme="majorHAnsi" w:cstheme="majorHAnsi"/>
                <w:bCs/>
                <w:iCs/>
                <w:lang w:val="en-US"/>
              </w:rPr>
            </w:pPr>
            <w:r w:rsidRPr="00DE4CD2">
              <w:rPr>
                <w:rFonts w:asciiTheme="majorHAnsi" w:hAnsiTheme="majorHAnsi" w:cstheme="majorHAnsi"/>
                <w:bCs/>
                <w:iCs/>
                <w:lang w:val="en-US"/>
              </w:rPr>
              <w:t xml:space="preserve">Updated information on startups, VC investments and VC investors up to 2021. </w:t>
            </w:r>
          </w:p>
        </w:tc>
      </w:tr>
      <w:tr w:rsidR="00FC3526" w:rsidRPr="00DE4CD2" w14:paraId="7A642EE6" w14:textId="77777777" w:rsidTr="00DE6428">
        <w:trPr>
          <w:trHeight w:val="719"/>
          <w:jc w:val="center"/>
        </w:trPr>
        <w:tc>
          <w:tcPr>
            <w:tcW w:w="2540" w:type="dxa"/>
            <w:vAlign w:val="center"/>
          </w:tcPr>
          <w:p w14:paraId="0CDAD052" w14:textId="77777777" w:rsidR="00A6027F" w:rsidRPr="00DE4CD2" w:rsidRDefault="00A6027F" w:rsidP="00DE6428">
            <w:pPr>
              <w:pBdr>
                <w:top w:val="none" w:sz="0" w:space="0" w:color="auto"/>
                <w:left w:val="none" w:sz="0" w:space="0" w:color="auto"/>
                <w:bottom w:val="none" w:sz="0" w:space="0" w:color="auto"/>
                <w:right w:val="none" w:sz="0" w:space="0" w:color="auto"/>
                <w:between w:val="none" w:sz="0" w:space="0" w:color="auto"/>
              </w:pBdr>
              <w:rPr>
                <w:rFonts w:asciiTheme="majorHAnsi" w:hAnsiTheme="majorHAnsi" w:cstheme="majorHAnsi"/>
                <w:bCs/>
                <w:iCs/>
                <w:lang w:val="en-US"/>
              </w:rPr>
            </w:pPr>
            <w:r w:rsidRPr="00DE4CD2">
              <w:rPr>
                <w:rFonts w:asciiTheme="majorHAnsi" w:hAnsiTheme="majorHAnsi" w:cstheme="majorHAnsi"/>
                <w:bCs/>
                <w:iCs/>
                <w:lang w:val="en-US"/>
              </w:rPr>
              <w:t xml:space="preserve">Ownership and governance of VC investors </w:t>
            </w:r>
          </w:p>
        </w:tc>
        <w:tc>
          <w:tcPr>
            <w:tcW w:w="6975" w:type="dxa"/>
            <w:vAlign w:val="center"/>
          </w:tcPr>
          <w:p w14:paraId="417681F3" w14:textId="77777777" w:rsidR="00A6027F" w:rsidRPr="00DE4CD2" w:rsidRDefault="00A6027F" w:rsidP="00DE6428">
            <w:pPr>
              <w:pBdr>
                <w:top w:val="none" w:sz="0" w:space="0" w:color="auto"/>
                <w:left w:val="none" w:sz="0" w:space="0" w:color="auto"/>
                <w:bottom w:val="none" w:sz="0" w:space="0" w:color="auto"/>
                <w:right w:val="none" w:sz="0" w:space="0" w:color="auto"/>
                <w:between w:val="none" w:sz="0" w:space="0" w:color="auto"/>
              </w:pBdr>
              <w:rPr>
                <w:rFonts w:asciiTheme="majorHAnsi" w:hAnsiTheme="majorHAnsi" w:cstheme="majorHAnsi"/>
                <w:bCs/>
                <w:iCs/>
                <w:lang w:val="en-US"/>
              </w:rPr>
            </w:pPr>
            <w:r w:rsidRPr="00DE4CD2">
              <w:rPr>
                <w:rFonts w:asciiTheme="majorHAnsi" w:hAnsiTheme="majorHAnsi" w:cstheme="majorHAnsi"/>
                <w:bCs/>
                <w:iCs/>
                <w:lang w:val="en-US"/>
              </w:rPr>
              <w:t>Classification of Corporate VC investors according to the level of autonomy from their parent company and the strength of their financial versus strategic investment objectives.</w:t>
            </w:r>
          </w:p>
        </w:tc>
      </w:tr>
      <w:tr w:rsidR="00FC3526" w:rsidRPr="00DE4CD2" w14:paraId="069AB651" w14:textId="77777777" w:rsidTr="00DE6428">
        <w:trPr>
          <w:trHeight w:val="719"/>
          <w:jc w:val="center"/>
        </w:trPr>
        <w:tc>
          <w:tcPr>
            <w:tcW w:w="2540" w:type="dxa"/>
            <w:vAlign w:val="center"/>
          </w:tcPr>
          <w:p w14:paraId="706835C6" w14:textId="77777777" w:rsidR="00A6027F" w:rsidRPr="00DE4CD2" w:rsidRDefault="00A6027F" w:rsidP="00DE6428">
            <w:pPr>
              <w:pBdr>
                <w:top w:val="none" w:sz="0" w:space="0" w:color="auto"/>
                <w:left w:val="none" w:sz="0" w:space="0" w:color="auto"/>
                <w:bottom w:val="none" w:sz="0" w:space="0" w:color="auto"/>
                <w:right w:val="none" w:sz="0" w:space="0" w:color="auto"/>
                <w:between w:val="none" w:sz="0" w:space="0" w:color="auto"/>
              </w:pBdr>
              <w:rPr>
                <w:rFonts w:asciiTheme="majorHAnsi" w:hAnsiTheme="majorHAnsi" w:cstheme="majorHAnsi"/>
                <w:bCs/>
                <w:iCs/>
                <w:lang w:val="en-US"/>
              </w:rPr>
            </w:pPr>
            <w:r w:rsidRPr="00DE4CD2">
              <w:rPr>
                <w:rFonts w:asciiTheme="majorHAnsi" w:hAnsiTheme="majorHAnsi" w:cstheme="majorHAnsi"/>
                <w:bCs/>
                <w:iCs/>
                <w:lang w:val="en-US"/>
              </w:rPr>
              <w:t>New investors</w:t>
            </w:r>
          </w:p>
        </w:tc>
        <w:tc>
          <w:tcPr>
            <w:tcW w:w="6975" w:type="dxa"/>
            <w:vAlign w:val="center"/>
          </w:tcPr>
          <w:p w14:paraId="68E3CF75" w14:textId="77777777" w:rsidR="00A6027F" w:rsidRPr="00DE4CD2" w:rsidRDefault="00A6027F" w:rsidP="00DE6428">
            <w:pPr>
              <w:pBdr>
                <w:top w:val="none" w:sz="0" w:space="0" w:color="auto"/>
                <w:left w:val="none" w:sz="0" w:space="0" w:color="auto"/>
                <w:bottom w:val="none" w:sz="0" w:space="0" w:color="auto"/>
                <w:right w:val="none" w:sz="0" w:space="0" w:color="auto"/>
                <w:between w:val="none" w:sz="0" w:space="0" w:color="auto"/>
              </w:pBdr>
              <w:rPr>
                <w:rFonts w:asciiTheme="majorHAnsi" w:hAnsiTheme="majorHAnsi" w:cstheme="majorHAnsi"/>
                <w:bCs/>
                <w:iCs/>
                <w:lang w:val="en-US"/>
              </w:rPr>
            </w:pPr>
            <w:r w:rsidRPr="00DE4CD2">
              <w:rPr>
                <w:rFonts w:asciiTheme="majorHAnsi" w:hAnsiTheme="majorHAnsi" w:cstheme="majorHAnsi"/>
                <w:bCs/>
                <w:iCs/>
                <w:lang w:val="en-US"/>
              </w:rPr>
              <w:t>New module with information on a sample of equity Crowdfunding (CF) investments in the United Kingdom (“Equity CF Table”).</w:t>
            </w:r>
          </w:p>
        </w:tc>
      </w:tr>
      <w:tr w:rsidR="00FC3526" w:rsidRPr="00DE4CD2" w14:paraId="1E90BF9D" w14:textId="77777777" w:rsidTr="00DE6428">
        <w:trPr>
          <w:trHeight w:val="719"/>
          <w:jc w:val="center"/>
        </w:trPr>
        <w:tc>
          <w:tcPr>
            <w:tcW w:w="2540" w:type="dxa"/>
            <w:vAlign w:val="center"/>
          </w:tcPr>
          <w:p w14:paraId="7850E9BC" w14:textId="77777777" w:rsidR="00A6027F" w:rsidRPr="00DE4CD2" w:rsidRDefault="00A6027F" w:rsidP="00DE6428">
            <w:pPr>
              <w:pBdr>
                <w:top w:val="none" w:sz="0" w:space="0" w:color="auto"/>
                <w:left w:val="none" w:sz="0" w:space="0" w:color="auto"/>
                <w:bottom w:val="none" w:sz="0" w:space="0" w:color="auto"/>
                <w:right w:val="none" w:sz="0" w:space="0" w:color="auto"/>
                <w:between w:val="none" w:sz="0" w:space="0" w:color="auto"/>
              </w:pBdr>
              <w:rPr>
                <w:rFonts w:asciiTheme="majorHAnsi" w:hAnsiTheme="majorHAnsi" w:cstheme="majorHAnsi"/>
                <w:bCs/>
                <w:iCs/>
                <w:lang w:val="en-US"/>
              </w:rPr>
            </w:pPr>
            <w:r w:rsidRPr="00DE4CD2">
              <w:rPr>
                <w:rFonts w:asciiTheme="majorHAnsi" w:hAnsiTheme="majorHAnsi" w:cstheme="majorHAnsi"/>
                <w:bCs/>
                <w:iCs/>
                <w:lang w:val="en-US"/>
              </w:rPr>
              <w:t>Innovation patterns</w:t>
            </w:r>
          </w:p>
        </w:tc>
        <w:tc>
          <w:tcPr>
            <w:tcW w:w="6975" w:type="dxa"/>
            <w:vAlign w:val="center"/>
          </w:tcPr>
          <w:p w14:paraId="5323C6DC" w14:textId="77777777" w:rsidR="00A6027F" w:rsidRPr="00DE4CD2" w:rsidRDefault="00A6027F" w:rsidP="00DE6428">
            <w:pPr>
              <w:pBdr>
                <w:top w:val="none" w:sz="0" w:space="0" w:color="auto"/>
                <w:left w:val="none" w:sz="0" w:space="0" w:color="auto"/>
                <w:bottom w:val="none" w:sz="0" w:space="0" w:color="auto"/>
                <w:right w:val="none" w:sz="0" w:space="0" w:color="auto"/>
                <w:between w:val="none" w:sz="0" w:space="0" w:color="auto"/>
              </w:pBdr>
              <w:rPr>
                <w:rFonts w:asciiTheme="majorHAnsi" w:hAnsiTheme="majorHAnsi" w:cstheme="majorHAnsi"/>
                <w:bCs/>
                <w:iCs/>
                <w:lang w:val="en-US"/>
              </w:rPr>
            </w:pPr>
            <w:r w:rsidRPr="00DE4CD2">
              <w:rPr>
                <w:rFonts w:asciiTheme="majorHAnsi" w:hAnsiTheme="majorHAnsi" w:cstheme="majorHAnsi"/>
                <w:bCs/>
                <w:iCs/>
                <w:lang w:val="en-US"/>
              </w:rPr>
              <w:t>New business model classification of VC-backed companies based on the development of an algorithm to identify platform-based businesses.</w:t>
            </w:r>
          </w:p>
        </w:tc>
      </w:tr>
      <w:tr w:rsidR="00A6027F" w:rsidRPr="00DE4CD2" w14:paraId="2FF1B201" w14:textId="77777777" w:rsidTr="00DE6428">
        <w:trPr>
          <w:trHeight w:val="719"/>
          <w:jc w:val="center"/>
        </w:trPr>
        <w:tc>
          <w:tcPr>
            <w:tcW w:w="2540" w:type="dxa"/>
            <w:vAlign w:val="center"/>
          </w:tcPr>
          <w:p w14:paraId="3213ADC6" w14:textId="77777777" w:rsidR="00A6027F" w:rsidRPr="00DE4CD2" w:rsidRDefault="00A6027F" w:rsidP="00DE6428">
            <w:pPr>
              <w:pBdr>
                <w:top w:val="none" w:sz="0" w:space="0" w:color="auto"/>
                <w:left w:val="none" w:sz="0" w:space="0" w:color="auto"/>
                <w:bottom w:val="none" w:sz="0" w:space="0" w:color="auto"/>
                <w:right w:val="none" w:sz="0" w:space="0" w:color="auto"/>
                <w:between w:val="none" w:sz="0" w:space="0" w:color="auto"/>
              </w:pBdr>
              <w:rPr>
                <w:rFonts w:asciiTheme="majorHAnsi" w:hAnsiTheme="majorHAnsi" w:cstheme="majorHAnsi"/>
                <w:bCs/>
                <w:iCs/>
                <w:lang w:val="en-US"/>
              </w:rPr>
            </w:pPr>
            <w:r w:rsidRPr="00DE4CD2">
              <w:rPr>
                <w:rFonts w:asciiTheme="majorHAnsi" w:hAnsiTheme="majorHAnsi" w:cstheme="majorHAnsi"/>
                <w:bCs/>
                <w:iCs/>
                <w:lang w:val="en-US"/>
              </w:rPr>
              <w:t xml:space="preserve">Integration with </w:t>
            </w:r>
            <w:proofErr w:type="spellStart"/>
            <w:r w:rsidRPr="00DE4CD2">
              <w:rPr>
                <w:rFonts w:asciiTheme="majorHAnsi" w:hAnsiTheme="majorHAnsi" w:cstheme="majorHAnsi"/>
                <w:bCs/>
                <w:iCs/>
                <w:lang w:val="en-US"/>
              </w:rPr>
              <w:t>FirmReg</w:t>
            </w:r>
            <w:proofErr w:type="spellEnd"/>
          </w:p>
        </w:tc>
        <w:tc>
          <w:tcPr>
            <w:tcW w:w="6975" w:type="dxa"/>
            <w:vAlign w:val="center"/>
          </w:tcPr>
          <w:p w14:paraId="37FE4033" w14:textId="77777777" w:rsidR="00A6027F" w:rsidRPr="00DE4CD2" w:rsidRDefault="00A6027F" w:rsidP="00DE6428">
            <w:pPr>
              <w:pBdr>
                <w:top w:val="none" w:sz="0" w:space="0" w:color="auto"/>
                <w:left w:val="none" w:sz="0" w:space="0" w:color="auto"/>
                <w:bottom w:val="none" w:sz="0" w:space="0" w:color="auto"/>
                <w:right w:val="none" w:sz="0" w:space="0" w:color="auto"/>
                <w:between w:val="none" w:sz="0" w:space="0" w:color="auto"/>
              </w:pBdr>
              <w:rPr>
                <w:rFonts w:asciiTheme="majorHAnsi" w:hAnsiTheme="majorHAnsi" w:cstheme="majorHAnsi"/>
                <w:bCs/>
                <w:iCs/>
                <w:lang w:val="en-US"/>
              </w:rPr>
            </w:pPr>
            <w:r w:rsidRPr="00DE4CD2">
              <w:rPr>
                <w:rFonts w:asciiTheme="majorHAnsi" w:hAnsiTheme="majorHAnsi" w:cstheme="majorHAnsi"/>
                <w:bCs/>
                <w:iCs/>
                <w:lang w:val="en-US"/>
              </w:rPr>
              <w:t xml:space="preserve">Full integration of VICO with </w:t>
            </w:r>
            <w:proofErr w:type="spellStart"/>
            <w:r w:rsidRPr="00DE4CD2">
              <w:rPr>
                <w:rFonts w:asciiTheme="majorHAnsi" w:hAnsiTheme="majorHAnsi" w:cstheme="majorHAnsi"/>
                <w:bCs/>
                <w:iCs/>
                <w:lang w:val="en-US"/>
              </w:rPr>
              <w:t>FirmReg</w:t>
            </w:r>
            <w:proofErr w:type="spellEnd"/>
            <w:r w:rsidRPr="00DE4CD2">
              <w:rPr>
                <w:rFonts w:asciiTheme="majorHAnsi" w:hAnsiTheme="majorHAnsi" w:cstheme="majorHAnsi"/>
                <w:bCs/>
                <w:iCs/>
                <w:lang w:val="en-US"/>
              </w:rPr>
              <w:t>, allowing the matching of company-level information with information of patents, scientific publications, trademarks and EU-funded projects.</w:t>
            </w:r>
          </w:p>
        </w:tc>
      </w:tr>
    </w:tbl>
    <w:p w14:paraId="6646A328" w14:textId="77777777" w:rsidR="00A6027F" w:rsidRPr="00DE4CD2" w:rsidRDefault="00A6027F" w:rsidP="00A6027F">
      <w:pPr>
        <w:jc w:val="both"/>
        <w:rPr>
          <w:rFonts w:asciiTheme="majorHAnsi" w:hAnsiTheme="majorHAnsi" w:cstheme="majorHAnsi"/>
          <w:bCs/>
          <w:iCs/>
          <w:lang w:val="en-US"/>
        </w:rPr>
      </w:pPr>
    </w:p>
    <w:p w14:paraId="51E9B1FB" w14:textId="77777777" w:rsidR="00A6027F" w:rsidRPr="00DE4CD2" w:rsidRDefault="00A6027F" w:rsidP="00A6027F">
      <w:pPr>
        <w:rPr>
          <w:rFonts w:asciiTheme="majorHAnsi" w:hAnsiTheme="majorHAnsi" w:cstheme="majorHAnsi"/>
          <w:bCs/>
          <w:iCs/>
          <w:lang w:val="en-US"/>
        </w:rPr>
      </w:pPr>
    </w:p>
    <w:p w14:paraId="0D5DBB8F" w14:textId="77777777" w:rsidR="00A6027F" w:rsidRPr="00DE4CD2" w:rsidRDefault="00A6027F" w:rsidP="00A6027F">
      <w:pPr>
        <w:rPr>
          <w:rFonts w:asciiTheme="majorHAnsi" w:hAnsiTheme="majorHAnsi" w:cstheme="majorHAnsi"/>
          <w:b/>
          <w:bCs/>
          <w:i/>
          <w:iCs/>
          <w:lang w:val="en-US"/>
        </w:rPr>
      </w:pPr>
    </w:p>
    <w:p w14:paraId="5FF11A77" w14:textId="77777777" w:rsidR="00A6027F" w:rsidRPr="00DE4CD2" w:rsidRDefault="00A6027F" w:rsidP="00A6027F">
      <w:pPr>
        <w:jc w:val="both"/>
        <w:rPr>
          <w:rFonts w:asciiTheme="majorHAnsi" w:hAnsiTheme="majorHAnsi" w:cstheme="majorHAnsi"/>
          <w:b/>
          <w:bCs/>
          <w:i/>
          <w:iCs/>
        </w:rPr>
      </w:pPr>
      <w:r w:rsidRPr="00DE4CD2">
        <w:rPr>
          <w:rFonts w:asciiTheme="majorHAnsi" w:hAnsiTheme="majorHAnsi" w:cstheme="majorHAnsi"/>
          <w:b/>
          <w:bCs/>
          <w:i/>
          <w:iCs/>
        </w:rPr>
        <w:t>Description of use</w:t>
      </w:r>
    </w:p>
    <w:p w14:paraId="3F9125F1" w14:textId="77777777" w:rsidR="00A6027F" w:rsidRPr="00DE4CD2" w:rsidRDefault="00A6027F" w:rsidP="00A6027F">
      <w:pPr>
        <w:jc w:val="both"/>
        <w:rPr>
          <w:rFonts w:asciiTheme="majorHAnsi" w:hAnsiTheme="majorHAnsi" w:cstheme="majorHAnsi"/>
        </w:rPr>
      </w:pPr>
      <w:r w:rsidRPr="00DE4CD2">
        <w:rPr>
          <w:rFonts w:asciiTheme="majorHAnsi" w:hAnsiTheme="majorHAnsi" w:cstheme="majorHAnsi"/>
        </w:rPr>
        <w:t xml:space="preserve">VICO has been widely used by a large academic community to study the peculiarities of the European VC market and the effectiveness of different forms of VC in supporting the performance of European startups. Results from academic research based on VICO also attracted the attention of policy makers interested in assessing the impact of policy measures aimed at facilitating access to startup finance. The advancements of VICO that have been pushed forward and VICO’s deepening activities implemented within RISIS2 have underpinned and consolidated its significance for studying dynamics of VC investments across Europe. This has been demonstrated by an increased number of research studies, access requests and usage of VICO during the RISIS2 project. Overall, almost 90 external data requests for VICO were received since the starting of the RISIS2 project. </w:t>
      </w:r>
    </w:p>
    <w:p w14:paraId="3E6958CE" w14:textId="77777777" w:rsidR="00A6027F" w:rsidRPr="00DE4CD2" w:rsidRDefault="00A6027F" w:rsidP="00A6027F">
      <w:pPr>
        <w:jc w:val="both"/>
        <w:rPr>
          <w:rFonts w:asciiTheme="majorHAnsi" w:hAnsiTheme="majorHAnsi" w:cstheme="majorHAnsi"/>
        </w:rPr>
      </w:pPr>
    </w:p>
    <w:p w14:paraId="6A80B0E6" w14:textId="77777777" w:rsidR="00A6027F" w:rsidRPr="00DE4CD2" w:rsidRDefault="00A6027F" w:rsidP="00A6027F">
      <w:pPr>
        <w:jc w:val="both"/>
        <w:rPr>
          <w:rFonts w:asciiTheme="majorHAnsi" w:hAnsiTheme="majorHAnsi" w:cstheme="majorHAnsi"/>
        </w:rPr>
      </w:pPr>
      <w:r w:rsidRPr="00DE4CD2">
        <w:rPr>
          <w:rFonts w:asciiTheme="majorHAnsi" w:hAnsiTheme="majorHAnsi" w:cstheme="majorHAnsi"/>
        </w:rPr>
        <w:t>Given the fine-grained and wide scope of data on VC-backed firms, VICO can be used to produce large scale evidence on the ecology of the VC landscape in Europe. In particular, the main topics addressed by users include:</w:t>
      </w:r>
    </w:p>
    <w:p w14:paraId="660F4E21" w14:textId="77777777" w:rsidR="00A6027F" w:rsidRPr="00DE4CD2" w:rsidRDefault="00A6027F" w:rsidP="00A6027F">
      <w:pPr>
        <w:jc w:val="both"/>
        <w:rPr>
          <w:rFonts w:asciiTheme="majorHAnsi" w:hAnsiTheme="majorHAnsi" w:cstheme="majorHAnsi"/>
        </w:rPr>
      </w:pPr>
    </w:p>
    <w:p w14:paraId="74353B60" w14:textId="77777777" w:rsidR="00A6027F" w:rsidRPr="00DE4CD2" w:rsidRDefault="00A6027F" w:rsidP="00A6027F">
      <w:pPr>
        <w:pStyle w:val="Listenabsatz"/>
        <w:numPr>
          <w:ilvl w:val="0"/>
          <w:numId w:val="27"/>
        </w:numPr>
        <w:jc w:val="both"/>
        <w:rPr>
          <w:rFonts w:asciiTheme="majorHAnsi" w:hAnsiTheme="majorHAnsi" w:cstheme="majorHAnsi"/>
        </w:rPr>
      </w:pPr>
      <w:r w:rsidRPr="00DE4CD2">
        <w:rPr>
          <w:rFonts w:asciiTheme="majorHAnsi" w:hAnsiTheme="majorHAnsi" w:cstheme="majorHAnsi"/>
        </w:rPr>
        <w:t>The treatment effect of VCs on invested companies, e.g. the effect of VC value added activities on portfolio firms’ performance in terms of growth and valuation performance (Colombo &amp; Montanaro, 2023)</w:t>
      </w:r>
    </w:p>
    <w:p w14:paraId="3933C797" w14:textId="77777777" w:rsidR="00A6027F" w:rsidRPr="00DE4CD2" w:rsidRDefault="00A6027F" w:rsidP="00A6027F">
      <w:pPr>
        <w:pStyle w:val="Listenabsatz"/>
        <w:numPr>
          <w:ilvl w:val="0"/>
          <w:numId w:val="27"/>
        </w:numPr>
        <w:jc w:val="both"/>
        <w:rPr>
          <w:rFonts w:asciiTheme="majorHAnsi" w:hAnsiTheme="majorHAnsi" w:cstheme="majorHAnsi"/>
        </w:rPr>
      </w:pPr>
      <w:r w:rsidRPr="00DE4CD2">
        <w:rPr>
          <w:rFonts w:asciiTheme="majorHAnsi" w:hAnsiTheme="majorHAnsi" w:cstheme="majorHAnsi"/>
        </w:rPr>
        <w:t xml:space="preserve">The internationalization and geography of VC activity in Europe, e.g. the emergence and/or agglomeration of VC markets around big metropolitan areas, the attraction of cross-border investments (Colombo et al., 2021; Guerini and Hong, 2020; Guerini and Tenca, 2018; </w:t>
      </w:r>
      <w:proofErr w:type="spellStart"/>
      <w:r w:rsidRPr="00DE4CD2">
        <w:rPr>
          <w:rFonts w:asciiTheme="majorHAnsi" w:hAnsiTheme="majorHAnsi" w:cstheme="majorHAnsi"/>
        </w:rPr>
        <w:t>D’Adda</w:t>
      </w:r>
      <w:proofErr w:type="spellEnd"/>
      <w:r w:rsidRPr="00DE4CD2">
        <w:rPr>
          <w:rFonts w:asciiTheme="majorHAnsi" w:hAnsiTheme="majorHAnsi" w:cstheme="majorHAnsi"/>
        </w:rPr>
        <w:t xml:space="preserve"> et. al 2020);</w:t>
      </w:r>
    </w:p>
    <w:p w14:paraId="127CAD1F" w14:textId="77777777" w:rsidR="00A6027F" w:rsidRPr="00DE4CD2" w:rsidRDefault="00A6027F" w:rsidP="00A6027F">
      <w:pPr>
        <w:pStyle w:val="Listenabsatz"/>
        <w:numPr>
          <w:ilvl w:val="0"/>
          <w:numId w:val="27"/>
        </w:numPr>
        <w:jc w:val="both"/>
        <w:rPr>
          <w:rFonts w:asciiTheme="majorHAnsi" w:hAnsiTheme="majorHAnsi" w:cstheme="majorHAnsi"/>
        </w:rPr>
      </w:pPr>
      <w:r w:rsidRPr="00DE4CD2">
        <w:rPr>
          <w:rFonts w:asciiTheme="majorHAnsi" w:hAnsiTheme="majorHAnsi" w:cstheme="majorHAnsi"/>
        </w:rPr>
        <w:t>The complementarities between VCs and other sources of finance (i.e. BAs, crowdfunding…) thanks to VICO coverage of different types of investors in addition to VCs (</w:t>
      </w:r>
      <w:proofErr w:type="spellStart"/>
      <w:r w:rsidRPr="00DE4CD2">
        <w:rPr>
          <w:rFonts w:asciiTheme="majorHAnsi" w:hAnsiTheme="majorHAnsi" w:cstheme="majorHAnsi"/>
        </w:rPr>
        <w:t>Butticè</w:t>
      </w:r>
      <w:proofErr w:type="spellEnd"/>
      <w:r w:rsidRPr="00DE4CD2">
        <w:rPr>
          <w:rFonts w:asciiTheme="majorHAnsi" w:hAnsiTheme="majorHAnsi" w:cstheme="majorHAnsi"/>
        </w:rPr>
        <w:t xml:space="preserve"> et al., 2020; Capizzi et al., 2022);</w:t>
      </w:r>
    </w:p>
    <w:p w14:paraId="540A39C1" w14:textId="77777777" w:rsidR="00A6027F" w:rsidRPr="00DE4CD2" w:rsidRDefault="00A6027F" w:rsidP="00A6027F">
      <w:pPr>
        <w:pStyle w:val="Listenabsatz"/>
        <w:numPr>
          <w:ilvl w:val="0"/>
          <w:numId w:val="27"/>
        </w:numPr>
        <w:jc w:val="both"/>
        <w:rPr>
          <w:rFonts w:asciiTheme="majorHAnsi" w:hAnsiTheme="majorHAnsi" w:cstheme="majorHAnsi"/>
        </w:rPr>
      </w:pPr>
      <w:r w:rsidRPr="00DE4CD2">
        <w:rPr>
          <w:rFonts w:asciiTheme="majorHAnsi" w:hAnsiTheme="majorHAnsi" w:cstheme="majorHAnsi"/>
        </w:rPr>
        <w:lastRenderedPageBreak/>
        <w:t>The link between innovation (e.g. radical inventions) and financing decisions of VCs (Colombo et al., 2023);</w:t>
      </w:r>
    </w:p>
    <w:p w14:paraId="2756837F" w14:textId="77777777" w:rsidR="00A6027F" w:rsidRPr="00DE4CD2" w:rsidRDefault="00A6027F" w:rsidP="00A6027F">
      <w:pPr>
        <w:pStyle w:val="Listenabsatz"/>
        <w:numPr>
          <w:ilvl w:val="0"/>
          <w:numId w:val="27"/>
        </w:numPr>
        <w:jc w:val="both"/>
        <w:rPr>
          <w:rFonts w:asciiTheme="majorHAnsi" w:hAnsiTheme="majorHAnsi" w:cstheme="majorHAnsi"/>
        </w:rPr>
      </w:pPr>
      <w:r w:rsidRPr="00DE4CD2">
        <w:rPr>
          <w:rFonts w:asciiTheme="majorHAnsi" w:hAnsiTheme="majorHAnsi" w:cstheme="majorHAnsi"/>
        </w:rPr>
        <w:t>The investigation of the pricing obtained by VC-backed and non-VC-backed entrepreneurial ventures in ECF campaigns (Montanaro et al., 2023);</w:t>
      </w:r>
    </w:p>
    <w:p w14:paraId="3CFF6592" w14:textId="77777777" w:rsidR="00A6027F" w:rsidRPr="00DE4CD2" w:rsidRDefault="00A6027F" w:rsidP="00A6027F">
      <w:pPr>
        <w:pStyle w:val="Listenabsatz"/>
        <w:numPr>
          <w:ilvl w:val="0"/>
          <w:numId w:val="27"/>
        </w:numPr>
        <w:jc w:val="both"/>
        <w:rPr>
          <w:rFonts w:asciiTheme="majorHAnsi" w:hAnsiTheme="majorHAnsi" w:cstheme="majorHAnsi"/>
        </w:rPr>
      </w:pPr>
      <w:r w:rsidRPr="00DE4CD2">
        <w:rPr>
          <w:rFonts w:asciiTheme="majorHAnsi" w:hAnsiTheme="majorHAnsi" w:cstheme="majorHAnsi"/>
        </w:rPr>
        <w:t>The effect of VC on startups’ internationalization strategy, measured through startups’ trademark activity filed at EU level (Guerini et al., 2023);</w:t>
      </w:r>
    </w:p>
    <w:p w14:paraId="2CE861FD" w14:textId="77777777" w:rsidR="00A6027F" w:rsidRPr="00DE4CD2" w:rsidRDefault="00A6027F" w:rsidP="00A6027F">
      <w:pPr>
        <w:pStyle w:val="Listenabsatz"/>
        <w:numPr>
          <w:ilvl w:val="0"/>
          <w:numId w:val="27"/>
        </w:numPr>
        <w:jc w:val="both"/>
        <w:rPr>
          <w:rFonts w:asciiTheme="majorHAnsi" w:hAnsiTheme="majorHAnsi" w:cstheme="majorHAnsi"/>
        </w:rPr>
      </w:pPr>
      <w:r w:rsidRPr="00DE4CD2">
        <w:rPr>
          <w:rFonts w:asciiTheme="majorHAnsi" w:hAnsiTheme="majorHAnsi" w:cstheme="majorHAnsi"/>
        </w:rPr>
        <w:t>The investigation of the relation between stereotypical trust and the formation of initial ties between new ventures and corporate venture capitalists (CVC) (Colombo et al., 2023).</w:t>
      </w:r>
    </w:p>
    <w:p w14:paraId="6A03F97B" w14:textId="77777777" w:rsidR="00A6027F" w:rsidRPr="00DE4CD2" w:rsidRDefault="00A6027F" w:rsidP="00A6027F">
      <w:pPr>
        <w:jc w:val="both"/>
        <w:rPr>
          <w:rFonts w:asciiTheme="majorHAnsi" w:hAnsiTheme="majorHAnsi" w:cstheme="majorHAnsi"/>
        </w:rPr>
      </w:pPr>
    </w:p>
    <w:p w14:paraId="3586C3F8" w14:textId="77777777" w:rsidR="00A6027F" w:rsidRPr="00DE4CD2" w:rsidRDefault="00A6027F" w:rsidP="00A6027F">
      <w:pPr>
        <w:jc w:val="both"/>
        <w:rPr>
          <w:rFonts w:asciiTheme="majorHAnsi" w:hAnsiTheme="majorHAnsi" w:cstheme="majorHAnsi"/>
        </w:rPr>
      </w:pPr>
      <w:r w:rsidRPr="00DE4CD2">
        <w:rPr>
          <w:rFonts w:asciiTheme="majorHAnsi" w:hAnsiTheme="majorHAnsi" w:cstheme="majorHAnsi"/>
        </w:rPr>
        <w:t xml:space="preserve">In what follows, we provide some highlights of the most advanced research works using VICO. </w:t>
      </w:r>
    </w:p>
    <w:p w14:paraId="0E18C43C" w14:textId="77777777" w:rsidR="00A6027F" w:rsidRPr="00DE4CD2" w:rsidRDefault="00A6027F" w:rsidP="00A6027F">
      <w:pPr>
        <w:jc w:val="both"/>
        <w:rPr>
          <w:rFonts w:asciiTheme="majorHAnsi" w:hAnsiTheme="majorHAnsi" w:cstheme="majorHAnsi"/>
        </w:rPr>
      </w:pPr>
    </w:p>
    <w:p w14:paraId="672CDBAE" w14:textId="1C68FF48" w:rsidR="00A6027F" w:rsidRPr="00DE4CD2" w:rsidRDefault="00A6027F" w:rsidP="00A6027F">
      <w:pPr>
        <w:jc w:val="both"/>
        <w:rPr>
          <w:rFonts w:asciiTheme="majorHAnsi" w:hAnsiTheme="majorHAnsi" w:cstheme="majorHAnsi"/>
        </w:rPr>
      </w:pPr>
      <w:r w:rsidRPr="00DE4CD2">
        <w:rPr>
          <w:rFonts w:asciiTheme="majorHAnsi" w:hAnsiTheme="majorHAnsi" w:cstheme="majorHAnsi"/>
        </w:rPr>
        <w:t xml:space="preserve">Colombo et al. (2021), as part of the policy brief series developed within RISIS2, aims at providing novel evidence about the geographical distribution of VC activity in Europe and Israel over the 2010-2018 period. The findings have important policy implications for democratizing the access to VC in more peripheral areas and for the development of entrepreneurial ecosystems. More precisely, using data of VICO 5.0, the research describes the agglomeration patterns of VC activity at the regional, metropolitan and industry-level. The main findings include: i) VC deals are unevenly distributed across countries, the UK and France are the most relevant VC markets in terms of number of VC deals, while Eastern European countries and Israel show the highest incidence rates (VC deals / GDP) (see Figure </w:t>
      </w:r>
      <w:r w:rsidR="0063329C" w:rsidRPr="00DE4CD2">
        <w:rPr>
          <w:rFonts w:asciiTheme="majorHAnsi" w:hAnsiTheme="majorHAnsi" w:cstheme="majorHAnsi"/>
        </w:rPr>
        <w:t>21</w:t>
      </w:r>
      <w:r w:rsidRPr="00DE4CD2">
        <w:rPr>
          <w:rFonts w:asciiTheme="majorHAnsi" w:hAnsiTheme="majorHAnsi" w:cstheme="majorHAnsi"/>
        </w:rPr>
        <w:t xml:space="preserve">); ii) VC activity is mostly concentrated in large metropolitan areas, but there is a non-negligible share of VC activity in more peripheral areas; iii) there has been an increasing concentration of VC activity in large metropolitan areas from 2010 to 2018 (see Figure </w:t>
      </w:r>
      <w:r w:rsidR="0063329C" w:rsidRPr="00DE4CD2">
        <w:rPr>
          <w:rFonts w:asciiTheme="majorHAnsi" w:hAnsiTheme="majorHAnsi" w:cstheme="majorHAnsi"/>
        </w:rPr>
        <w:t>22</w:t>
      </w:r>
      <w:r w:rsidRPr="00DE4CD2">
        <w:rPr>
          <w:rFonts w:asciiTheme="majorHAnsi" w:hAnsiTheme="majorHAnsi" w:cstheme="majorHAnsi"/>
        </w:rPr>
        <w:t>); and iv) important differences emerge across sectors. The life science sector exhibits higher dispersion of VC deals outside the main VC hubs, mainly in areas with relevant knowledge creation activity. Conversely, VC activity in the Software, Internet &amp; TLC and R&amp;D &amp; engineering sectors is concentrating in large metropolitan areas.</w:t>
      </w:r>
    </w:p>
    <w:p w14:paraId="3EF490A8" w14:textId="77777777" w:rsidR="00A6027F" w:rsidRPr="00DE4CD2" w:rsidRDefault="00A6027F" w:rsidP="00A6027F">
      <w:pPr>
        <w:jc w:val="both"/>
        <w:rPr>
          <w:rFonts w:asciiTheme="majorHAnsi" w:hAnsiTheme="majorHAnsi" w:cstheme="majorHAnsi"/>
        </w:rPr>
      </w:pPr>
    </w:p>
    <w:p w14:paraId="07B64C04" w14:textId="2209904F" w:rsidR="00A6027F" w:rsidRPr="00DE4CD2" w:rsidRDefault="00A6027F" w:rsidP="00A6027F">
      <w:pPr>
        <w:pStyle w:val="Beschriftung"/>
        <w:keepNext/>
        <w:rPr>
          <w:rFonts w:asciiTheme="majorHAnsi" w:hAnsiTheme="majorHAnsi" w:cstheme="majorHAnsi"/>
          <w:color w:val="auto"/>
          <w:sz w:val="24"/>
          <w:szCs w:val="24"/>
        </w:rPr>
      </w:pPr>
      <w:r w:rsidRPr="00DE4CD2">
        <w:rPr>
          <w:rFonts w:asciiTheme="majorHAnsi" w:hAnsiTheme="majorHAnsi" w:cstheme="majorHAnsi"/>
          <w:noProof/>
          <w:color w:val="auto"/>
          <w:sz w:val="24"/>
          <w:szCs w:val="24"/>
        </w:rPr>
        <w:drawing>
          <wp:anchor distT="0" distB="0" distL="114300" distR="114300" simplePos="0" relativeHeight="251659264" behindDoc="0" locked="0" layoutInCell="1" allowOverlap="1" wp14:anchorId="67615C0C" wp14:editId="121C3F5E">
            <wp:simplePos x="0" y="0"/>
            <wp:positionH relativeFrom="margin">
              <wp:align>left</wp:align>
            </wp:positionH>
            <wp:positionV relativeFrom="paragraph">
              <wp:posOffset>324269</wp:posOffset>
            </wp:positionV>
            <wp:extent cx="4996815" cy="3180080"/>
            <wp:effectExtent l="0" t="0" r="0" b="1270"/>
            <wp:wrapTopAndBottom/>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2"/>
                    <pic:cNvPicPr/>
                  </pic:nvPicPr>
                  <pic:blipFill>
                    <a:blip r:embed="rId51"/>
                    <a:stretch>
                      <a:fillRect/>
                    </a:stretch>
                  </pic:blipFill>
                  <pic:spPr>
                    <a:xfrm>
                      <a:off x="0" y="0"/>
                      <a:ext cx="5002409" cy="3183959"/>
                    </a:xfrm>
                    <a:prstGeom prst="rect">
                      <a:avLst/>
                    </a:prstGeom>
                  </pic:spPr>
                </pic:pic>
              </a:graphicData>
            </a:graphic>
            <wp14:sizeRelH relativeFrom="page">
              <wp14:pctWidth>0</wp14:pctWidth>
            </wp14:sizeRelH>
            <wp14:sizeRelV relativeFrom="page">
              <wp14:pctHeight>0</wp14:pctHeight>
            </wp14:sizeRelV>
          </wp:anchor>
        </w:drawing>
      </w:r>
      <w:r w:rsidRPr="00DE4CD2">
        <w:rPr>
          <w:rFonts w:asciiTheme="majorHAnsi" w:hAnsiTheme="majorHAnsi" w:cstheme="majorHAnsi"/>
          <w:color w:val="auto"/>
          <w:sz w:val="24"/>
          <w:szCs w:val="24"/>
        </w:rPr>
        <w:t xml:space="preserve">Figure </w:t>
      </w:r>
      <w:r w:rsidR="0063329C" w:rsidRPr="00DE4CD2">
        <w:rPr>
          <w:rFonts w:asciiTheme="majorHAnsi" w:hAnsiTheme="majorHAnsi" w:cstheme="majorHAnsi"/>
          <w:color w:val="auto"/>
          <w:sz w:val="24"/>
          <w:szCs w:val="24"/>
        </w:rPr>
        <w:t xml:space="preserve">21 </w:t>
      </w:r>
      <w:r w:rsidRPr="00DE4CD2">
        <w:rPr>
          <w:rFonts w:asciiTheme="majorHAnsi" w:hAnsiTheme="majorHAnsi" w:cstheme="majorHAnsi"/>
          <w:color w:val="auto"/>
          <w:sz w:val="24"/>
          <w:szCs w:val="24"/>
        </w:rPr>
        <w:t xml:space="preserve"> Distribution of VC deals 2010-2018</w:t>
      </w:r>
    </w:p>
    <w:p w14:paraId="778EF79D" w14:textId="77777777" w:rsidR="00A6027F" w:rsidRPr="00DE4CD2" w:rsidRDefault="00A6027F" w:rsidP="00A6027F">
      <w:pPr>
        <w:rPr>
          <w:rFonts w:asciiTheme="majorHAnsi" w:hAnsiTheme="majorHAnsi" w:cstheme="majorHAnsi"/>
        </w:rPr>
      </w:pPr>
    </w:p>
    <w:p w14:paraId="42BE2AC9" w14:textId="55E6FD12" w:rsidR="00A6027F" w:rsidRPr="00DE4CD2" w:rsidRDefault="00A6027F" w:rsidP="00A6027F">
      <w:pPr>
        <w:pStyle w:val="StandardWeb"/>
        <w:rPr>
          <w:rFonts w:asciiTheme="majorHAnsi" w:eastAsia="Cambria" w:hAnsiTheme="majorHAnsi" w:cstheme="majorHAnsi"/>
          <w:i/>
          <w:iCs/>
          <w:lang w:val="en-GB" w:eastAsia="fr-FR"/>
        </w:rPr>
      </w:pPr>
      <w:r w:rsidRPr="00DE4CD2">
        <w:rPr>
          <w:rFonts w:asciiTheme="majorHAnsi" w:eastAsia="Cambria" w:hAnsiTheme="majorHAnsi" w:cstheme="majorHAnsi"/>
          <w:i/>
          <w:iCs/>
          <w:noProof/>
          <w:lang w:val="en-GB" w:eastAsia="fr-FR"/>
        </w:rPr>
        <w:lastRenderedPageBreak/>
        <w:drawing>
          <wp:anchor distT="0" distB="0" distL="114300" distR="114300" simplePos="0" relativeHeight="251660288" behindDoc="0" locked="0" layoutInCell="1" allowOverlap="1" wp14:anchorId="515BA72A" wp14:editId="4428E7B3">
            <wp:simplePos x="0" y="0"/>
            <wp:positionH relativeFrom="margin">
              <wp:posOffset>33020</wp:posOffset>
            </wp:positionH>
            <wp:positionV relativeFrom="paragraph">
              <wp:posOffset>487680</wp:posOffset>
            </wp:positionV>
            <wp:extent cx="4662170" cy="3389630"/>
            <wp:effectExtent l="0" t="0" r="5080" b="1270"/>
            <wp:wrapTopAndBottom/>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magine 14"/>
                    <pic:cNvPicPr/>
                  </pic:nvPicPr>
                  <pic:blipFill>
                    <a:blip r:embed="rId52"/>
                    <a:stretch>
                      <a:fillRect/>
                    </a:stretch>
                  </pic:blipFill>
                  <pic:spPr>
                    <a:xfrm>
                      <a:off x="0" y="0"/>
                      <a:ext cx="4662170" cy="3389630"/>
                    </a:xfrm>
                    <a:prstGeom prst="rect">
                      <a:avLst/>
                    </a:prstGeom>
                  </pic:spPr>
                </pic:pic>
              </a:graphicData>
            </a:graphic>
            <wp14:sizeRelH relativeFrom="page">
              <wp14:pctWidth>0</wp14:pctWidth>
            </wp14:sizeRelH>
            <wp14:sizeRelV relativeFrom="page">
              <wp14:pctHeight>0</wp14:pctHeight>
            </wp14:sizeRelV>
          </wp:anchor>
        </w:drawing>
      </w:r>
      <w:r w:rsidRPr="00DE4CD2">
        <w:rPr>
          <w:rFonts w:asciiTheme="majorHAnsi" w:eastAsia="Cambria" w:hAnsiTheme="majorHAnsi" w:cstheme="majorHAnsi"/>
          <w:i/>
          <w:iCs/>
          <w:lang w:val="en-GB" w:eastAsia="fr-FR"/>
        </w:rPr>
        <w:t xml:space="preserve">Figure </w:t>
      </w:r>
      <w:r w:rsidR="0063329C" w:rsidRPr="00DE4CD2">
        <w:rPr>
          <w:rFonts w:asciiTheme="majorHAnsi" w:eastAsia="Cambria" w:hAnsiTheme="majorHAnsi" w:cstheme="majorHAnsi"/>
          <w:i/>
          <w:iCs/>
          <w:lang w:val="en-GB" w:eastAsia="fr-FR"/>
        </w:rPr>
        <w:t>22</w:t>
      </w:r>
      <w:r w:rsidRPr="00DE4CD2">
        <w:rPr>
          <w:rFonts w:asciiTheme="majorHAnsi" w:eastAsia="Cambria" w:hAnsiTheme="majorHAnsi" w:cstheme="majorHAnsi"/>
          <w:i/>
          <w:iCs/>
          <w:lang w:val="en-GB" w:eastAsia="fr-FR"/>
        </w:rPr>
        <w:t xml:space="preserve"> Distribution of VC deals in top 20 VC hubs. 2010-2012/2016-2018 variation</w:t>
      </w:r>
    </w:p>
    <w:p w14:paraId="147C3877" w14:textId="77777777" w:rsidR="00A6027F" w:rsidRPr="00DE4CD2" w:rsidRDefault="00A6027F" w:rsidP="00A6027F">
      <w:pPr>
        <w:pStyle w:val="StandardWeb"/>
        <w:jc w:val="both"/>
        <w:rPr>
          <w:rFonts w:asciiTheme="majorHAnsi" w:hAnsiTheme="majorHAnsi" w:cstheme="majorHAnsi"/>
        </w:rPr>
      </w:pPr>
      <w:r w:rsidRPr="00DE4CD2">
        <w:rPr>
          <w:rFonts w:asciiTheme="majorHAnsi" w:hAnsiTheme="majorHAnsi" w:cstheme="majorHAnsi"/>
        </w:rPr>
        <w:t>Colombo &amp; Montanaro (2023) use VICO to study how a sequence composed of multiple signals influences the valuation that startups receive at acquisition. Results show that a strong signal related to being VC-backed (e.g. being backed by a US investor) will make market observers set their expectations on the firm’s quality at a higher level, so that becoming public on a less reputable market (e.g. in Europe rather than in the US) will decrease its valuation.</w:t>
      </w:r>
    </w:p>
    <w:p w14:paraId="7C8EDFBB" w14:textId="77777777" w:rsidR="00A6027F" w:rsidRPr="00DE4CD2" w:rsidRDefault="00A6027F" w:rsidP="00A6027F">
      <w:pPr>
        <w:pStyle w:val="StandardWeb"/>
        <w:jc w:val="both"/>
        <w:rPr>
          <w:rFonts w:asciiTheme="majorHAnsi" w:hAnsiTheme="majorHAnsi" w:cstheme="majorHAnsi"/>
        </w:rPr>
      </w:pPr>
      <w:proofErr w:type="spellStart"/>
      <w:r w:rsidRPr="00DE4CD2">
        <w:rPr>
          <w:rFonts w:asciiTheme="majorHAnsi" w:hAnsiTheme="majorHAnsi" w:cstheme="majorHAnsi"/>
        </w:rPr>
        <w:t>Butticè</w:t>
      </w:r>
      <w:proofErr w:type="spellEnd"/>
      <w:r w:rsidRPr="00DE4CD2">
        <w:rPr>
          <w:rFonts w:asciiTheme="majorHAnsi" w:hAnsiTheme="majorHAnsi" w:cstheme="majorHAnsi"/>
        </w:rPr>
        <w:t xml:space="preserve"> et al. (2020), using a unique dataset of 290 firms that successfully fundraised via the two most prominent UK equity crowdfunding portals and combining it with VICO, examine how different shareholder structures, i.e. the nominee vs. the direct shareholder structure, affect the attraction of subsequent VC financing. Results shows that: i) receiving equity crowdfunding facilitates the attraction of VC financing, ii) this association is stronger when the firm selected a nominee shareholder structure, iii) compared to BA-backed firms, equity crowdfunding through a nominee structure eases VC attraction.</w:t>
      </w:r>
    </w:p>
    <w:p w14:paraId="1029F31C" w14:textId="77777777" w:rsidR="00A6027F" w:rsidRPr="00DE4CD2" w:rsidRDefault="00A6027F" w:rsidP="00A6027F">
      <w:pPr>
        <w:pStyle w:val="StandardWeb"/>
        <w:jc w:val="both"/>
        <w:rPr>
          <w:rFonts w:asciiTheme="majorHAnsi" w:hAnsiTheme="majorHAnsi" w:cstheme="majorHAnsi"/>
        </w:rPr>
      </w:pPr>
      <w:r w:rsidRPr="00DE4CD2">
        <w:rPr>
          <w:rFonts w:asciiTheme="majorHAnsi" w:hAnsiTheme="majorHAnsi" w:cstheme="majorHAnsi"/>
        </w:rPr>
        <w:t>Guerini and Hong (2020) examine whether there are positive externalities associated with international VC firms’ penetration in the European VC market. The study focuses on how the presence of foreign VC firms in the local market affects performances of startups backed by domestic investors. Results suggest that domestic VC firms can obtain valuable know-how through forming syndicates with foreign VC firms, as prior experience with foreign VC firms is associated to greater performance of domestic VC investments.</w:t>
      </w:r>
    </w:p>
    <w:p w14:paraId="34603B7C" w14:textId="77777777" w:rsidR="00A6027F" w:rsidRPr="00DE4CD2" w:rsidRDefault="00A6027F" w:rsidP="00A6027F">
      <w:pPr>
        <w:pStyle w:val="StandardWeb"/>
        <w:jc w:val="both"/>
        <w:rPr>
          <w:rFonts w:asciiTheme="majorHAnsi" w:hAnsiTheme="majorHAnsi" w:cstheme="majorHAnsi"/>
        </w:rPr>
      </w:pPr>
      <w:r w:rsidRPr="00DE4CD2">
        <w:rPr>
          <w:rFonts w:asciiTheme="majorHAnsi" w:hAnsiTheme="majorHAnsi" w:cstheme="majorHAnsi"/>
        </w:rPr>
        <w:t xml:space="preserve">Montanaro et al. (2023) investigate i) the pricing obtained by VC-backed and non-VC-backed UK entrepreneurial ventures in 695 successful and unsuccessful ECF campaigns launched between 2011 and 2018 on </w:t>
      </w:r>
      <w:proofErr w:type="spellStart"/>
      <w:r w:rsidRPr="00DE4CD2">
        <w:rPr>
          <w:rFonts w:asciiTheme="majorHAnsi" w:hAnsiTheme="majorHAnsi" w:cstheme="majorHAnsi"/>
        </w:rPr>
        <w:t>Crowdcube</w:t>
      </w:r>
      <w:proofErr w:type="spellEnd"/>
      <w:r w:rsidRPr="00DE4CD2">
        <w:rPr>
          <w:rFonts w:asciiTheme="majorHAnsi" w:hAnsiTheme="majorHAnsi" w:cstheme="majorHAnsi"/>
        </w:rPr>
        <w:t xml:space="preserve">; and ii) if being VC-backed before the launch of the ECF campaign reduces the likelihood to fail after the campaign (Montanaro et al., 2022). This work testifies the usage of VICO 5.0 infrastructure to study the relationship between different financing channels for startups, </w:t>
      </w:r>
      <w:r w:rsidRPr="00DE4CD2">
        <w:rPr>
          <w:rFonts w:asciiTheme="majorHAnsi" w:hAnsiTheme="majorHAnsi" w:cstheme="majorHAnsi"/>
        </w:rPr>
        <w:lastRenderedPageBreak/>
        <w:t>i.e., VC and crowdfunding. Results show that, in ECF, VC-backed firms obtain higher pricing than non-VC-backed firms, but, contrarily to expectations, they are not less likely to fail after the campaign, or to be more likely to survive with higher credit rating. In other words, being VC-backed is costly and easily observable by the crowd, which thus concede higher pricing to VC-backed companies in ECF, coherently with the results of previous studies on the campaign success likelihood. However, a long-run separating equilibrium fails to be generated</w:t>
      </w:r>
    </w:p>
    <w:p w14:paraId="6AD6D45E" w14:textId="77777777" w:rsidR="00A6027F" w:rsidRPr="00DE4CD2" w:rsidRDefault="00A6027F" w:rsidP="00A6027F">
      <w:pPr>
        <w:pStyle w:val="StandardWeb"/>
        <w:jc w:val="both"/>
        <w:rPr>
          <w:rFonts w:asciiTheme="majorHAnsi" w:hAnsiTheme="majorHAnsi" w:cstheme="majorHAnsi"/>
        </w:rPr>
      </w:pPr>
      <w:r w:rsidRPr="00DE4CD2">
        <w:rPr>
          <w:rFonts w:asciiTheme="majorHAnsi" w:hAnsiTheme="majorHAnsi" w:cstheme="majorHAnsi"/>
        </w:rPr>
        <w:t>Guerini et al. (2023) combined VICO 5.0 with the ISI-Trademark Data Collection dataset on trademarks, also developed within the RISIS2 project, and focus on the effect of VC on startups’ internationalization strategy, measured through startups’ trademark activity filed at EU level. To assess whether the receipt of VC effectively influences the subsequent international trademark activity of a selected startup, the authors first built a control group of firms that mirrors their sample of VC-backed, then related different trademark-based indicators, namely trademark stock and trademark portfolio extension, i.e., trademark breadth, to different VC characteristics. Results suggest that VC has a strong effect in boosting international investees’ trademark activity, in terms of growth of the trademark stock. Moreover, the impact on trademark stock is stronger for larger VC syndicates, syndicates composed by VCs with more international experience and startups invested by foreign VCs.</w:t>
      </w:r>
    </w:p>
    <w:p w14:paraId="4E9E0F8F" w14:textId="77777777" w:rsidR="00A6027F" w:rsidRPr="00DE4CD2" w:rsidRDefault="00A6027F" w:rsidP="00A6027F">
      <w:pPr>
        <w:pStyle w:val="StandardWeb"/>
        <w:jc w:val="both"/>
        <w:rPr>
          <w:rFonts w:asciiTheme="majorHAnsi" w:hAnsiTheme="majorHAnsi" w:cstheme="majorHAnsi"/>
        </w:rPr>
      </w:pPr>
      <w:r w:rsidRPr="00DE4CD2">
        <w:rPr>
          <w:rFonts w:asciiTheme="majorHAnsi" w:hAnsiTheme="majorHAnsi" w:cstheme="majorHAnsi"/>
        </w:rPr>
        <w:t>Colombo et al. (2023) used data on CVC investments from VICO 5.0 and a case-control research design, and find that ventures more likely form initial CVC ties with investors whose parent companies are located in countries considered as more trustworthy. This effect is weaker but does not disappear when legal or social defenses safeguard ventures from misplacing trust, and when there are social ties between CVC investors and ventures’ independent VC investors.</w:t>
      </w:r>
    </w:p>
    <w:p w14:paraId="2D878B69" w14:textId="77777777" w:rsidR="00301856" w:rsidRPr="00DE4CD2" w:rsidRDefault="00301856" w:rsidP="00FF0B92">
      <w:pPr>
        <w:rPr>
          <w:rFonts w:asciiTheme="majorHAnsi" w:hAnsiTheme="majorHAnsi" w:cstheme="majorHAnsi"/>
          <w:lang w:val="en-US"/>
        </w:rPr>
      </w:pPr>
    </w:p>
    <w:p w14:paraId="5C15E263" w14:textId="3C921B32" w:rsidR="00FF0B92" w:rsidRPr="00DE4CD2" w:rsidRDefault="00FF0B92" w:rsidP="00FF0B92">
      <w:pPr>
        <w:pStyle w:val="berschrift3"/>
        <w:rPr>
          <w:rFonts w:asciiTheme="majorHAnsi" w:hAnsiTheme="majorHAnsi" w:cstheme="majorHAnsi"/>
          <w:color w:val="auto"/>
        </w:rPr>
      </w:pPr>
      <w:bookmarkStart w:id="20" w:name="_Toc153536129"/>
      <w:r w:rsidRPr="00DE4CD2">
        <w:rPr>
          <w:rFonts w:asciiTheme="majorHAnsi" w:hAnsiTheme="majorHAnsi" w:cstheme="majorHAnsi"/>
          <w:color w:val="auto"/>
        </w:rPr>
        <w:t>CIB-</w:t>
      </w:r>
      <w:proofErr w:type="spellStart"/>
      <w:r w:rsidRPr="00DE4CD2">
        <w:rPr>
          <w:rFonts w:asciiTheme="majorHAnsi" w:hAnsiTheme="majorHAnsi" w:cstheme="majorHAnsi"/>
          <w:color w:val="auto"/>
        </w:rPr>
        <w:t>Cinnob</w:t>
      </w:r>
      <w:bookmarkEnd w:id="20"/>
      <w:proofErr w:type="spellEnd"/>
    </w:p>
    <w:p w14:paraId="60E6E83D" w14:textId="4B0E6C82" w:rsidR="00FF0B92" w:rsidRPr="00DE4CD2" w:rsidRDefault="00FF0B92" w:rsidP="00FF0B92">
      <w:pPr>
        <w:rPr>
          <w:rFonts w:asciiTheme="majorHAnsi" w:hAnsiTheme="majorHAnsi" w:cstheme="majorHAnsi"/>
        </w:rPr>
      </w:pPr>
    </w:p>
    <w:p w14:paraId="7867015D" w14:textId="07DCDC20" w:rsidR="000921C9" w:rsidRPr="00DE4CD2" w:rsidRDefault="000921C9" w:rsidP="003310B6">
      <w:pPr>
        <w:jc w:val="both"/>
        <w:rPr>
          <w:rFonts w:asciiTheme="majorHAnsi" w:hAnsiTheme="majorHAnsi" w:cstheme="majorHAnsi"/>
        </w:rPr>
      </w:pPr>
      <w:r w:rsidRPr="00DE4CD2">
        <w:rPr>
          <w:rFonts w:asciiTheme="majorHAnsi" w:hAnsiTheme="majorHAnsi" w:cstheme="majorHAnsi"/>
        </w:rPr>
        <w:t>Two developments related to the R&amp;D of large firms were processed. The first one concerns the elaboration of the first version of a new</w:t>
      </w:r>
      <w:r w:rsidR="003310B6" w:rsidRPr="00DE4CD2">
        <w:rPr>
          <w:rFonts w:asciiTheme="majorHAnsi" w:hAnsiTheme="majorHAnsi" w:cstheme="majorHAnsi"/>
        </w:rPr>
        <w:t xml:space="preserve"> indicator related</w:t>
      </w:r>
      <w:r w:rsidRPr="00DE4CD2">
        <w:rPr>
          <w:rFonts w:asciiTheme="majorHAnsi" w:hAnsiTheme="majorHAnsi" w:cstheme="majorHAnsi"/>
        </w:rPr>
        <w:t xml:space="preserve"> database (</w:t>
      </w:r>
      <w:proofErr w:type="spellStart"/>
      <w:r w:rsidRPr="00DE4CD2">
        <w:rPr>
          <w:rFonts w:asciiTheme="majorHAnsi" w:hAnsiTheme="majorHAnsi" w:cstheme="majorHAnsi"/>
        </w:rPr>
        <w:t>C</w:t>
      </w:r>
      <w:r w:rsidR="003310B6" w:rsidRPr="00DE4CD2">
        <w:rPr>
          <w:rFonts w:asciiTheme="majorHAnsi" w:hAnsiTheme="majorHAnsi" w:cstheme="majorHAnsi"/>
        </w:rPr>
        <w:t>inno</w:t>
      </w:r>
      <w:r w:rsidRPr="00DE4CD2">
        <w:rPr>
          <w:rFonts w:asciiTheme="majorHAnsi" w:hAnsiTheme="majorHAnsi" w:cstheme="majorHAnsi"/>
        </w:rPr>
        <w:t>B</w:t>
      </w:r>
      <w:proofErr w:type="spellEnd"/>
      <w:r w:rsidRPr="00DE4CD2">
        <w:rPr>
          <w:rFonts w:asciiTheme="majorHAnsi" w:hAnsiTheme="majorHAnsi" w:cstheme="majorHAnsi"/>
        </w:rPr>
        <w:t xml:space="preserve">) that allows to access to a set of various data to analyse the R&amp;D activities of large firms. The second </w:t>
      </w:r>
      <w:r w:rsidR="003310B6" w:rsidRPr="00DE4CD2">
        <w:rPr>
          <w:rFonts w:asciiTheme="majorHAnsi" w:hAnsiTheme="majorHAnsi" w:cstheme="majorHAnsi"/>
        </w:rPr>
        <w:t>activity</w:t>
      </w:r>
      <w:r w:rsidRPr="00DE4CD2">
        <w:rPr>
          <w:rFonts w:asciiTheme="majorHAnsi" w:hAnsiTheme="majorHAnsi" w:cstheme="majorHAnsi"/>
        </w:rPr>
        <w:t xml:space="preserve"> deals with the update of the Corporate Innovation Board to propose a third edition of this database (CIB3) in 2024.</w:t>
      </w:r>
    </w:p>
    <w:p w14:paraId="22AC4A84" w14:textId="77777777" w:rsidR="000921C9" w:rsidRPr="00DE4CD2" w:rsidRDefault="000921C9" w:rsidP="000921C9">
      <w:pPr>
        <w:rPr>
          <w:rFonts w:asciiTheme="majorHAnsi" w:hAnsiTheme="majorHAnsi" w:cstheme="majorHAnsi"/>
          <w:b/>
          <w:bCs/>
          <w:i/>
          <w:iCs/>
        </w:rPr>
      </w:pPr>
    </w:p>
    <w:p w14:paraId="46B37C00" w14:textId="3B4A997C" w:rsidR="000921C9" w:rsidRPr="00DE4CD2" w:rsidRDefault="000921C9" w:rsidP="002C3BB1">
      <w:pPr>
        <w:pStyle w:val="Listenabsatz"/>
        <w:numPr>
          <w:ilvl w:val="0"/>
          <w:numId w:val="7"/>
        </w:numPr>
        <w:rPr>
          <w:rFonts w:asciiTheme="majorHAnsi" w:hAnsiTheme="majorHAnsi" w:cstheme="majorHAnsi"/>
          <w:b/>
          <w:bCs/>
        </w:rPr>
      </w:pPr>
      <w:proofErr w:type="spellStart"/>
      <w:r w:rsidRPr="00DE4CD2">
        <w:rPr>
          <w:rFonts w:asciiTheme="majorHAnsi" w:hAnsiTheme="majorHAnsi" w:cstheme="majorHAnsi"/>
          <w:b/>
          <w:bCs/>
        </w:rPr>
        <w:t>CInnoB</w:t>
      </w:r>
      <w:proofErr w:type="spellEnd"/>
      <w:r w:rsidRPr="00DE4CD2">
        <w:rPr>
          <w:rFonts w:asciiTheme="majorHAnsi" w:hAnsiTheme="majorHAnsi" w:cstheme="majorHAnsi"/>
          <w:b/>
          <w:bCs/>
        </w:rPr>
        <w:t xml:space="preserve"> (Corporate </w:t>
      </w:r>
      <w:proofErr w:type="spellStart"/>
      <w:r w:rsidRPr="00DE4CD2">
        <w:rPr>
          <w:rFonts w:asciiTheme="majorHAnsi" w:hAnsiTheme="majorHAnsi" w:cstheme="majorHAnsi"/>
          <w:b/>
          <w:bCs/>
        </w:rPr>
        <w:t>INNOvation</w:t>
      </w:r>
      <w:proofErr w:type="spellEnd"/>
      <w:r w:rsidRPr="00DE4CD2">
        <w:rPr>
          <w:rFonts w:asciiTheme="majorHAnsi" w:hAnsiTheme="majorHAnsi" w:cstheme="majorHAnsi"/>
          <w:b/>
          <w:bCs/>
        </w:rPr>
        <w:t xml:space="preserve"> Board): </w:t>
      </w:r>
      <w:proofErr w:type="spellStart"/>
      <w:r w:rsidRPr="00DE4CD2">
        <w:rPr>
          <w:rFonts w:asciiTheme="majorHAnsi" w:hAnsiTheme="majorHAnsi" w:cstheme="majorHAnsi"/>
          <w:b/>
          <w:bCs/>
        </w:rPr>
        <w:t>Risis</w:t>
      </w:r>
      <w:proofErr w:type="spellEnd"/>
      <w:r w:rsidRPr="00DE4CD2">
        <w:rPr>
          <w:rFonts w:asciiTheme="majorHAnsi" w:hAnsiTheme="majorHAnsi" w:cstheme="majorHAnsi"/>
          <w:b/>
          <w:bCs/>
        </w:rPr>
        <w:t xml:space="preserve"> indicators and data on large firms</w:t>
      </w:r>
    </w:p>
    <w:p w14:paraId="6EA8E1DE" w14:textId="77777777" w:rsidR="000921C9" w:rsidRPr="00DE4CD2" w:rsidRDefault="000921C9" w:rsidP="000921C9">
      <w:pPr>
        <w:rPr>
          <w:rFonts w:asciiTheme="majorHAnsi" w:hAnsiTheme="majorHAnsi" w:cstheme="majorHAnsi"/>
          <w:b/>
          <w:bCs/>
          <w:i/>
          <w:iCs/>
        </w:rPr>
      </w:pPr>
    </w:p>
    <w:p w14:paraId="5FEDE1A1" w14:textId="77777777" w:rsidR="000921C9" w:rsidRPr="00DE4CD2" w:rsidRDefault="000921C9" w:rsidP="000921C9">
      <w:pPr>
        <w:rPr>
          <w:rFonts w:asciiTheme="majorHAnsi" w:hAnsiTheme="majorHAnsi" w:cstheme="majorHAnsi"/>
          <w:b/>
          <w:bCs/>
          <w:i/>
          <w:iCs/>
        </w:rPr>
      </w:pPr>
      <w:r w:rsidRPr="00DE4CD2">
        <w:rPr>
          <w:rFonts w:asciiTheme="majorHAnsi" w:hAnsiTheme="majorHAnsi" w:cstheme="majorHAnsi"/>
          <w:b/>
          <w:bCs/>
          <w:i/>
          <w:iCs/>
        </w:rPr>
        <w:t xml:space="preserve">Present State and value added </w:t>
      </w:r>
    </w:p>
    <w:p w14:paraId="43F5D18D" w14:textId="2B09A49E" w:rsidR="000921C9" w:rsidRPr="00DE4CD2" w:rsidRDefault="000921C9" w:rsidP="000921C9">
      <w:pPr>
        <w:pBdr>
          <w:top w:val="none" w:sz="0" w:space="0" w:color="auto"/>
          <w:left w:val="none" w:sz="0" w:space="0" w:color="auto"/>
          <w:bottom w:val="none" w:sz="0" w:space="0" w:color="auto"/>
          <w:right w:val="none" w:sz="0" w:space="0" w:color="auto"/>
          <w:between w:val="none" w:sz="0" w:space="0" w:color="auto"/>
        </w:pBdr>
        <w:jc w:val="both"/>
        <w:rPr>
          <w:rFonts w:asciiTheme="majorHAnsi" w:eastAsia="Times New Roman" w:hAnsiTheme="majorHAnsi" w:cstheme="majorHAnsi"/>
          <w:lang w:val="en-US"/>
        </w:rPr>
      </w:pPr>
      <w:r w:rsidRPr="00DE4CD2">
        <w:rPr>
          <w:rFonts w:asciiTheme="majorHAnsi" w:eastAsia="Times New Roman" w:hAnsiTheme="majorHAnsi" w:cstheme="majorHAnsi"/>
          <w:lang w:val="en-US"/>
        </w:rPr>
        <w:t xml:space="preserve">The main development related to the large firms’ R&amp;D activity was the building of </w:t>
      </w:r>
      <w:proofErr w:type="spellStart"/>
      <w:r w:rsidRPr="00DE4CD2">
        <w:rPr>
          <w:rFonts w:asciiTheme="majorHAnsi" w:eastAsia="Times New Roman" w:hAnsiTheme="majorHAnsi" w:cstheme="majorHAnsi"/>
          <w:lang w:val="en-US"/>
        </w:rPr>
        <w:t>CInnoB</w:t>
      </w:r>
      <w:proofErr w:type="spellEnd"/>
      <w:r w:rsidRPr="00DE4CD2">
        <w:rPr>
          <w:rFonts w:asciiTheme="majorHAnsi" w:eastAsia="Times New Roman" w:hAnsiTheme="majorHAnsi" w:cstheme="majorHAnsi"/>
          <w:lang w:val="en-US"/>
        </w:rPr>
        <w:t xml:space="preserve"> (Corporate </w:t>
      </w:r>
      <w:proofErr w:type="spellStart"/>
      <w:r w:rsidRPr="00DE4CD2">
        <w:rPr>
          <w:rFonts w:asciiTheme="majorHAnsi" w:eastAsia="Times New Roman" w:hAnsiTheme="majorHAnsi" w:cstheme="majorHAnsi"/>
          <w:lang w:val="en-US"/>
        </w:rPr>
        <w:t>INNOvation</w:t>
      </w:r>
      <w:proofErr w:type="spellEnd"/>
      <w:r w:rsidRPr="00DE4CD2">
        <w:rPr>
          <w:rFonts w:asciiTheme="majorHAnsi" w:eastAsia="Times New Roman" w:hAnsiTheme="majorHAnsi" w:cstheme="majorHAnsi"/>
          <w:lang w:val="en-US"/>
        </w:rPr>
        <w:t xml:space="preserve"> Board), a database providing indicators on corporate R&amp;D and innovation activities at the consolidated firm level for the top worldwide corporate R&amp;D investors (3392 firms identified in the CIB2 database). </w:t>
      </w:r>
      <w:proofErr w:type="spellStart"/>
      <w:r w:rsidRPr="00DE4CD2">
        <w:rPr>
          <w:rFonts w:asciiTheme="majorHAnsi" w:eastAsia="Times New Roman" w:hAnsiTheme="majorHAnsi" w:cstheme="majorHAnsi"/>
          <w:lang w:val="en-US"/>
        </w:rPr>
        <w:t>CInnoB</w:t>
      </w:r>
      <w:proofErr w:type="spellEnd"/>
      <w:r w:rsidRPr="00DE4CD2">
        <w:rPr>
          <w:rFonts w:asciiTheme="majorHAnsi" w:eastAsia="Times New Roman" w:hAnsiTheme="majorHAnsi" w:cstheme="majorHAnsi"/>
          <w:lang w:val="en-US"/>
        </w:rPr>
        <w:t xml:space="preserve"> aims at being a user-friendly repository providing robust indicators on the R&amp;D firms’ activities based on a large set of data with time series starting from 2000. It includes data related to their scientific publications, patent applications, trademarks, participations to FPs and a set of more general information on the firms (sector, locations, financial data). It provides 35 indicators allowing the study of the firms’ activities according to several dimensions: time, technologies, scientific domains, geographical location of the R&amp;D activities, collaborations. </w:t>
      </w:r>
    </w:p>
    <w:p w14:paraId="2BFD09AB" w14:textId="77777777" w:rsidR="0063329C" w:rsidRPr="00DE4CD2" w:rsidRDefault="0063329C" w:rsidP="000921C9">
      <w:pPr>
        <w:pBdr>
          <w:top w:val="none" w:sz="0" w:space="0" w:color="auto"/>
          <w:left w:val="none" w:sz="0" w:space="0" w:color="auto"/>
          <w:bottom w:val="none" w:sz="0" w:space="0" w:color="auto"/>
          <w:right w:val="none" w:sz="0" w:space="0" w:color="auto"/>
          <w:between w:val="none" w:sz="0" w:space="0" w:color="auto"/>
        </w:pBdr>
        <w:jc w:val="both"/>
        <w:rPr>
          <w:rFonts w:asciiTheme="majorHAnsi" w:eastAsia="Times New Roman" w:hAnsiTheme="majorHAnsi" w:cstheme="majorHAnsi"/>
          <w:lang w:val="en-US"/>
        </w:rPr>
      </w:pPr>
    </w:p>
    <w:p w14:paraId="4874F5EC" w14:textId="77777777" w:rsidR="000921C9" w:rsidRPr="00DE4CD2" w:rsidRDefault="000921C9" w:rsidP="000921C9">
      <w:pPr>
        <w:pBdr>
          <w:top w:val="none" w:sz="0" w:space="0" w:color="auto"/>
          <w:left w:val="none" w:sz="0" w:space="0" w:color="auto"/>
          <w:bottom w:val="none" w:sz="0" w:space="0" w:color="auto"/>
          <w:right w:val="none" w:sz="0" w:space="0" w:color="auto"/>
          <w:between w:val="none" w:sz="0" w:space="0" w:color="auto"/>
        </w:pBdr>
        <w:jc w:val="both"/>
        <w:rPr>
          <w:rFonts w:asciiTheme="majorHAnsi" w:eastAsia="Times New Roman" w:hAnsiTheme="majorHAnsi" w:cstheme="majorHAnsi"/>
          <w:lang w:val="en-US"/>
        </w:rPr>
      </w:pPr>
      <w:proofErr w:type="spellStart"/>
      <w:r w:rsidRPr="00DE4CD2">
        <w:rPr>
          <w:rFonts w:asciiTheme="majorHAnsi" w:eastAsia="Times New Roman" w:hAnsiTheme="majorHAnsi" w:cstheme="majorHAnsi"/>
          <w:lang w:val="en-US"/>
        </w:rPr>
        <w:lastRenderedPageBreak/>
        <w:t>CInnoB</w:t>
      </w:r>
      <w:proofErr w:type="spellEnd"/>
      <w:r w:rsidRPr="00DE4CD2">
        <w:rPr>
          <w:rFonts w:asciiTheme="majorHAnsi" w:eastAsia="Times New Roman" w:hAnsiTheme="majorHAnsi" w:cstheme="majorHAnsi"/>
          <w:lang w:val="en-US"/>
        </w:rPr>
        <w:t xml:space="preserve"> aims at responding to interesting policy questions related to the dynamics of the R&amp;D knowledge production and innovation capacities of the largest R&amp;D corporate investors worldwide. It will allow to study in which environment is the corporate knowledge produced (geography and knowledge capacities of the surrounding area), the level and modes of collaboration the firms engage to produce scientific and technological knowledge. </w:t>
      </w:r>
    </w:p>
    <w:p w14:paraId="4A0B478F" w14:textId="77777777" w:rsidR="000921C9" w:rsidRPr="00DE4CD2" w:rsidRDefault="000921C9" w:rsidP="000921C9">
      <w:pPr>
        <w:pBdr>
          <w:top w:val="none" w:sz="0" w:space="0" w:color="auto"/>
          <w:left w:val="none" w:sz="0" w:space="0" w:color="auto"/>
          <w:bottom w:val="none" w:sz="0" w:space="0" w:color="auto"/>
          <w:right w:val="none" w:sz="0" w:space="0" w:color="auto"/>
          <w:between w:val="none" w:sz="0" w:space="0" w:color="auto"/>
        </w:pBdr>
        <w:jc w:val="both"/>
        <w:rPr>
          <w:rFonts w:asciiTheme="majorHAnsi" w:hAnsiTheme="majorHAnsi" w:cstheme="majorHAnsi"/>
          <w:b/>
          <w:bCs/>
        </w:rPr>
      </w:pPr>
    </w:p>
    <w:p w14:paraId="2DC51736" w14:textId="77777777" w:rsidR="000921C9" w:rsidRPr="00DE4CD2" w:rsidRDefault="000921C9" w:rsidP="000921C9">
      <w:pPr>
        <w:pBdr>
          <w:top w:val="none" w:sz="0" w:space="0" w:color="auto"/>
          <w:left w:val="none" w:sz="0" w:space="0" w:color="auto"/>
          <w:bottom w:val="none" w:sz="0" w:space="0" w:color="auto"/>
          <w:right w:val="none" w:sz="0" w:space="0" w:color="auto"/>
          <w:between w:val="none" w:sz="0" w:space="0" w:color="auto"/>
        </w:pBdr>
        <w:spacing w:afterLines="100" w:after="240"/>
        <w:jc w:val="both"/>
        <w:rPr>
          <w:rFonts w:asciiTheme="majorHAnsi" w:hAnsiTheme="majorHAnsi" w:cstheme="majorHAnsi"/>
        </w:rPr>
      </w:pPr>
      <w:proofErr w:type="spellStart"/>
      <w:r w:rsidRPr="00DE4CD2">
        <w:rPr>
          <w:rFonts w:asciiTheme="majorHAnsi" w:hAnsiTheme="majorHAnsi" w:cstheme="majorHAnsi"/>
        </w:rPr>
        <w:t>CinnoB</w:t>
      </w:r>
      <w:proofErr w:type="spellEnd"/>
      <w:r w:rsidRPr="00DE4CD2">
        <w:rPr>
          <w:rFonts w:asciiTheme="majorHAnsi" w:hAnsiTheme="majorHAnsi" w:cstheme="majorHAnsi"/>
        </w:rPr>
        <w:t xml:space="preserve"> entry points is the firms identified with their </w:t>
      </w:r>
      <w:proofErr w:type="spellStart"/>
      <w:r w:rsidRPr="00DE4CD2">
        <w:rPr>
          <w:rFonts w:asciiTheme="majorHAnsi" w:hAnsiTheme="majorHAnsi" w:cstheme="majorHAnsi"/>
        </w:rPr>
        <w:t>firmreg</w:t>
      </w:r>
      <w:proofErr w:type="spellEnd"/>
      <w:r w:rsidRPr="00DE4CD2">
        <w:rPr>
          <w:rFonts w:asciiTheme="majorHAnsi" w:hAnsiTheme="majorHAnsi" w:cstheme="majorHAnsi"/>
        </w:rPr>
        <w:t>-id (link with the FIRMREG register), which can be selected with criteria of names, sectors and countries (HQ location). Indicators / data are proposed for 5 domains:</w:t>
      </w:r>
    </w:p>
    <w:p w14:paraId="7D18396C" w14:textId="77777777" w:rsidR="000921C9" w:rsidRPr="00DE4CD2" w:rsidRDefault="000921C9" w:rsidP="002C3BB1">
      <w:pPr>
        <w:pStyle w:val="Listenabsatz"/>
        <w:numPr>
          <w:ilvl w:val="0"/>
          <w:numId w:val="6"/>
        </w:numPr>
        <w:pBdr>
          <w:top w:val="none" w:sz="0" w:space="0" w:color="auto"/>
          <w:left w:val="none" w:sz="0" w:space="0" w:color="auto"/>
          <w:bottom w:val="none" w:sz="0" w:space="0" w:color="auto"/>
          <w:right w:val="none" w:sz="0" w:space="0" w:color="auto"/>
          <w:between w:val="none" w:sz="0" w:space="0" w:color="auto"/>
        </w:pBdr>
        <w:spacing w:afterLines="100" w:after="240"/>
        <w:jc w:val="both"/>
        <w:rPr>
          <w:rFonts w:asciiTheme="majorHAnsi" w:hAnsiTheme="majorHAnsi" w:cstheme="majorHAnsi"/>
        </w:rPr>
      </w:pPr>
      <w:r w:rsidRPr="00DE4CD2">
        <w:rPr>
          <w:rFonts w:asciiTheme="majorHAnsi" w:hAnsiTheme="majorHAnsi" w:cstheme="majorHAnsi"/>
        </w:rPr>
        <w:t>Financial (Orbis database)</w:t>
      </w:r>
    </w:p>
    <w:p w14:paraId="255FD707" w14:textId="77777777" w:rsidR="000921C9" w:rsidRPr="00DE4CD2" w:rsidRDefault="000921C9" w:rsidP="002C3BB1">
      <w:pPr>
        <w:pStyle w:val="Listenabsatz"/>
        <w:numPr>
          <w:ilvl w:val="0"/>
          <w:numId w:val="6"/>
        </w:numPr>
        <w:pBdr>
          <w:top w:val="none" w:sz="0" w:space="0" w:color="auto"/>
          <w:left w:val="none" w:sz="0" w:space="0" w:color="auto"/>
          <w:bottom w:val="none" w:sz="0" w:space="0" w:color="auto"/>
          <w:right w:val="none" w:sz="0" w:space="0" w:color="auto"/>
          <w:between w:val="none" w:sz="0" w:space="0" w:color="auto"/>
        </w:pBdr>
        <w:spacing w:afterLines="100" w:after="240"/>
        <w:jc w:val="both"/>
        <w:rPr>
          <w:rFonts w:asciiTheme="majorHAnsi" w:hAnsiTheme="majorHAnsi" w:cstheme="majorHAnsi"/>
        </w:rPr>
      </w:pPr>
      <w:r w:rsidRPr="00DE4CD2">
        <w:rPr>
          <w:rFonts w:asciiTheme="majorHAnsi" w:hAnsiTheme="majorHAnsi" w:cstheme="majorHAnsi"/>
        </w:rPr>
        <w:t>Technological (</w:t>
      </w:r>
      <w:proofErr w:type="spellStart"/>
      <w:r w:rsidRPr="00DE4CD2">
        <w:rPr>
          <w:rFonts w:asciiTheme="majorHAnsi" w:hAnsiTheme="majorHAnsi" w:cstheme="majorHAnsi"/>
        </w:rPr>
        <w:t>Risis</w:t>
      </w:r>
      <w:proofErr w:type="spellEnd"/>
      <w:r w:rsidRPr="00DE4CD2">
        <w:rPr>
          <w:rFonts w:asciiTheme="majorHAnsi" w:hAnsiTheme="majorHAnsi" w:cstheme="majorHAnsi"/>
        </w:rPr>
        <w:t xml:space="preserve"> Patent Database at UGE)</w:t>
      </w:r>
    </w:p>
    <w:p w14:paraId="68C8E582" w14:textId="77777777" w:rsidR="000921C9" w:rsidRPr="00DE4CD2" w:rsidRDefault="000921C9" w:rsidP="002C3BB1">
      <w:pPr>
        <w:pStyle w:val="Listenabsatz"/>
        <w:numPr>
          <w:ilvl w:val="0"/>
          <w:numId w:val="6"/>
        </w:numPr>
        <w:pBdr>
          <w:top w:val="none" w:sz="0" w:space="0" w:color="auto"/>
          <w:left w:val="none" w:sz="0" w:space="0" w:color="auto"/>
          <w:bottom w:val="none" w:sz="0" w:space="0" w:color="auto"/>
          <w:right w:val="none" w:sz="0" w:space="0" w:color="auto"/>
          <w:between w:val="none" w:sz="0" w:space="0" w:color="auto"/>
        </w:pBdr>
        <w:spacing w:afterLines="100" w:after="240"/>
        <w:jc w:val="both"/>
        <w:rPr>
          <w:rFonts w:asciiTheme="majorHAnsi" w:hAnsiTheme="majorHAnsi" w:cstheme="majorHAnsi"/>
        </w:rPr>
      </w:pPr>
      <w:r w:rsidRPr="00DE4CD2">
        <w:rPr>
          <w:rFonts w:asciiTheme="majorHAnsi" w:hAnsiTheme="majorHAnsi" w:cstheme="majorHAnsi"/>
        </w:rPr>
        <w:t>Scientific (scientific publications of the CWTS RISIS publication database)</w:t>
      </w:r>
    </w:p>
    <w:p w14:paraId="7E198E61" w14:textId="77777777" w:rsidR="000921C9" w:rsidRPr="00DE4CD2" w:rsidRDefault="000921C9" w:rsidP="002C3BB1">
      <w:pPr>
        <w:pStyle w:val="Listenabsatz"/>
        <w:numPr>
          <w:ilvl w:val="0"/>
          <w:numId w:val="6"/>
        </w:numPr>
        <w:pBdr>
          <w:top w:val="none" w:sz="0" w:space="0" w:color="auto"/>
          <w:left w:val="none" w:sz="0" w:space="0" w:color="auto"/>
          <w:bottom w:val="none" w:sz="0" w:space="0" w:color="auto"/>
          <w:right w:val="none" w:sz="0" w:space="0" w:color="auto"/>
          <w:between w:val="none" w:sz="0" w:space="0" w:color="auto"/>
        </w:pBdr>
        <w:spacing w:afterLines="100" w:after="240"/>
        <w:jc w:val="both"/>
        <w:rPr>
          <w:rFonts w:asciiTheme="majorHAnsi" w:hAnsiTheme="majorHAnsi" w:cstheme="majorHAnsi"/>
        </w:rPr>
      </w:pPr>
      <w:r w:rsidRPr="00DE4CD2">
        <w:rPr>
          <w:rFonts w:asciiTheme="majorHAnsi" w:hAnsiTheme="majorHAnsi" w:cstheme="majorHAnsi"/>
        </w:rPr>
        <w:t>EU projects (EUPRO database at AIT)</w:t>
      </w:r>
    </w:p>
    <w:p w14:paraId="35781D7E" w14:textId="77777777" w:rsidR="000921C9" w:rsidRPr="00DE4CD2" w:rsidRDefault="000921C9" w:rsidP="002C3BB1">
      <w:pPr>
        <w:pStyle w:val="Listenabsatz"/>
        <w:numPr>
          <w:ilvl w:val="0"/>
          <w:numId w:val="6"/>
        </w:numPr>
        <w:pBdr>
          <w:top w:val="none" w:sz="0" w:space="0" w:color="auto"/>
          <w:left w:val="none" w:sz="0" w:space="0" w:color="auto"/>
          <w:bottom w:val="none" w:sz="0" w:space="0" w:color="auto"/>
          <w:right w:val="none" w:sz="0" w:space="0" w:color="auto"/>
          <w:between w:val="none" w:sz="0" w:space="0" w:color="auto"/>
        </w:pBdr>
        <w:spacing w:afterLines="100" w:after="240"/>
        <w:jc w:val="both"/>
        <w:rPr>
          <w:rFonts w:asciiTheme="majorHAnsi" w:hAnsiTheme="majorHAnsi" w:cstheme="majorHAnsi"/>
        </w:rPr>
      </w:pPr>
      <w:r w:rsidRPr="00DE4CD2">
        <w:rPr>
          <w:rFonts w:asciiTheme="majorHAnsi" w:hAnsiTheme="majorHAnsi" w:cstheme="majorHAnsi"/>
        </w:rPr>
        <w:t>Trademarks (Trademark Database at ISI-Fraunhofer)</w:t>
      </w:r>
    </w:p>
    <w:p w14:paraId="5C104729" w14:textId="03E16A40" w:rsidR="000921C9" w:rsidRPr="00DE4CD2" w:rsidRDefault="000921C9" w:rsidP="000921C9">
      <w:pPr>
        <w:pBdr>
          <w:top w:val="none" w:sz="0" w:space="0" w:color="auto"/>
          <w:left w:val="none" w:sz="0" w:space="0" w:color="auto"/>
          <w:bottom w:val="none" w:sz="0" w:space="0" w:color="auto"/>
          <w:right w:val="none" w:sz="0" w:space="0" w:color="auto"/>
          <w:between w:val="none" w:sz="0" w:space="0" w:color="auto"/>
        </w:pBdr>
        <w:spacing w:afterLines="100" w:after="240"/>
        <w:jc w:val="both"/>
        <w:rPr>
          <w:rFonts w:asciiTheme="majorHAnsi" w:hAnsiTheme="majorHAnsi" w:cstheme="majorHAnsi"/>
        </w:rPr>
      </w:pPr>
      <w:r w:rsidRPr="00DE4CD2">
        <w:rPr>
          <w:rFonts w:asciiTheme="majorHAnsi" w:hAnsiTheme="majorHAnsi" w:cstheme="majorHAnsi"/>
        </w:rPr>
        <w:t>The data will be split at the geographical level of “country of HQ” / “non country of HQ”, as well as “produced in EU28” or not (finer granularity will still be available through a RISIS data access: metropolitan areas, regions, countries…)</w:t>
      </w:r>
      <w:r w:rsidRPr="00DE4CD2">
        <w:rPr>
          <w:rFonts w:asciiTheme="majorHAnsi" w:hAnsiTheme="majorHAnsi" w:cstheme="majorHAnsi"/>
          <w:lang w:val="en-US"/>
        </w:rPr>
        <w:t xml:space="preserve">. </w:t>
      </w:r>
      <w:r w:rsidRPr="00DE4CD2">
        <w:rPr>
          <w:rFonts w:asciiTheme="majorHAnsi" w:hAnsiTheme="majorHAnsi" w:cstheme="majorHAnsi"/>
        </w:rPr>
        <w:t>Thematic options are proposed for the scientific and the technological dimensions: about 5 categories for each (data with finer granularity available through a RISIS data access)</w:t>
      </w:r>
      <w:r w:rsidRPr="00DE4CD2">
        <w:rPr>
          <w:rFonts w:asciiTheme="majorHAnsi" w:hAnsiTheme="majorHAnsi" w:cstheme="majorHAnsi"/>
          <w:lang w:val="en-US"/>
        </w:rPr>
        <w:t xml:space="preserve">. The </w:t>
      </w:r>
      <w:r w:rsidRPr="00DE4CD2">
        <w:rPr>
          <w:rFonts w:asciiTheme="majorHAnsi" w:hAnsiTheme="majorHAnsi" w:cstheme="majorHAnsi"/>
        </w:rPr>
        <w:t xml:space="preserve">collaboration dimension will be analysed through common sectorial categories: industry, university, PROs (based </w:t>
      </w:r>
      <w:proofErr w:type="spellStart"/>
      <w:r w:rsidRPr="00DE4CD2">
        <w:rPr>
          <w:rFonts w:asciiTheme="majorHAnsi" w:hAnsiTheme="majorHAnsi" w:cstheme="majorHAnsi"/>
        </w:rPr>
        <w:t>i.a.</w:t>
      </w:r>
      <w:proofErr w:type="spellEnd"/>
      <w:r w:rsidRPr="00DE4CD2">
        <w:rPr>
          <w:rFonts w:asciiTheme="majorHAnsi" w:hAnsiTheme="majorHAnsi" w:cstheme="majorHAnsi"/>
        </w:rPr>
        <w:t xml:space="preserve"> on </w:t>
      </w:r>
      <w:proofErr w:type="spellStart"/>
      <w:r w:rsidRPr="00DE4CD2">
        <w:rPr>
          <w:rFonts w:asciiTheme="majorHAnsi" w:hAnsiTheme="majorHAnsi" w:cstheme="majorHAnsi"/>
        </w:rPr>
        <w:t>OrgReg</w:t>
      </w:r>
      <w:proofErr w:type="spellEnd"/>
      <w:r w:rsidRPr="00DE4CD2">
        <w:rPr>
          <w:rFonts w:asciiTheme="majorHAnsi" w:hAnsiTheme="majorHAnsi" w:cstheme="majorHAnsi"/>
        </w:rPr>
        <w:t xml:space="preserve">). </w:t>
      </w:r>
    </w:p>
    <w:p w14:paraId="4E874CB9" w14:textId="246E002E" w:rsidR="000921C9" w:rsidRPr="00DE4CD2" w:rsidRDefault="000921C9" w:rsidP="000921C9">
      <w:pPr>
        <w:spacing w:after="120"/>
        <w:jc w:val="both"/>
        <w:rPr>
          <w:rFonts w:asciiTheme="majorHAnsi" w:eastAsiaTheme="minorHAnsi" w:hAnsiTheme="majorHAnsi" w:cstheme="majorHAnsi"/>
          <w:i/>
          <w:iCs/>
          <w:lang w:val="en-US" w:eastAsia="en-US"/>
        </w:rPr>
      </w:pPr>
      <w:r w:rsidRPr="00DE4CD2">
        <w:rPr>
          <w:rFonts w:asciiTheme="majorHAnsi" w:eastAsiaTheme="minorHAnsi" w:hAnsiTheme="majorHAnsi" w:cstheme="majorHAnsi"/>
          <w:i/>
          <w:iCs/>
          <w:lang w:val="en-US" w:eastAsia="en-US"/>
        </w:rPr>
        <w:t xml:space="preserve">Figure </w:t>
      </w:r>
      <w:r w:rsidR="0063329C" w:rsidRPr="00DE4CD2">
        <w:rPr>
          <w:rFonts w:asciiTheme="majorHAnsi" w:eastAsiaTheme="minorHAnsi" w:hAnsiTheme="majorHAnsi" w:cstheme="majorHAnsi"/>
          <w:i/>
          <w:iCs/>
          <w:lang w:val="en-US" w:eastAsia="en-US"/>
        </w:rPr>
        <w:t>23</w:t>
      </w:r>
      <w:r w:rsidRPr="00DE4CD2">
        <w:rPr>
          <w:rFonts w:asciiTheme="majorHAnsi" w:eastAsiaTheme="minorHAnsi" w:hAnsiTheme="majorHAnsi" w:cstheme="majorHAnsi"/>
          <w:i/>
          <w:iCs/>
          <w:lang w:val="en-US" w:eastAsia="en-US"/>
        </w:rPr>
        <w:t xml:space="preserve">: Schematic view of </w:t>
      </w:r>
      <w:proofErr w:type="spellStart"/>
      <w:r w:rsidRPr="00DE4CD2">
        <w:rPr>
          <w:rFonts w:asciiTheme="majorHAnsi" w:eastAsiaTheme="minorHAnsi" w:hAnsiTheme="majorHAnsi" w:cstheme="majorHAnsi"/>
          <w:i/>
          <w:iCs/>
          <w:lang w:val="en-US" w:eastAsia="en-US"/>
        </w:rPr>
        <w:t>CinnoB</w:t>
      </w:r>
      <w:proofErr w:type="spellEnd"/>
    </w:p>
    <w:p w14:paraId="7786C84F" w14:textId="77777777" w:rsidR="000921C9" w:rsidRPr="00DE4CD2" w:rsidRDefault="000921C9" w:rsidP="000921C9">
      <w:pPr>
        <w:pBdr>
          <w:top w:val="none" w:sz="0" w:space="0" w:color="auto"/>
          <w:left w:val="none" w:sz="0" w:space="0" w:color="auto"/>
          <w:bottom w:val="none" w:sz="0" w:space="0" w:color="auto"/>
          <w:right w:val="none" w:sz="0" w:space="0" w:color="auto"/>
          <w:between w:val="none" w:sz="0" w:space="0" w:color="auto"/>
        </w:pBdr>
        <w:spacing w:afterLines="100" w:after="240"/>
        <w:rPr>
          <w:rFonts w:asciiTheme="majorHAnsi" w:hAnsiTheme="majorHAnsi" w:cstheme="majorHAnsi"/>
        </w:rPr>
      </w:pPr>
      <w:r w:rsidRPr="00DE4CD2">
        <w:rPr>
          <w:rFonts w:asciiTheme="majorHAnsi" w:hAnsiTheme="majorHAnsi" w:cstheme="majorHAnsi"/>
          <w:noProof/>
        </w:rPr>
        <w:drawing>
          <wp:inline distT="0" distB="0" distL="0" distR="0" wp14:anchorId="54A7CF40" wp14:editId="21C23E3B">
            <wp:extent cx="5409579" cy="2998520"/>
            <wp:effectExtent l="0" t="0" r="635" b="0"/>
            <wp:docPr id="70" name="Imag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 70"/>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422776" cy="3005835"/>
                    </a:xfrm>
                    <a:prstGeom prst="rect">
                      <a:avLst/>
                    </a:prstGeom>
                  </pic:spPr>
                </pic:pic>
              </a:graphicData>
            </a:graphic>
          </wp:inline>
        </w:drawing>
      </w:r>
    </w:p>
    <w:p w14:paraId="08BF656E" w14:textId="1332A4AC" w:rsidR="000921C9" w:rsidRPr="00DE4CD2" w:rsidRDefault="000921C9" w:rsidP="000921C9">
      <w:pPr>
        <w:pBdr>
          <w:top w:val="none" w:sz="0" w:space="0" w:color="auto"/>
          <w:left w:val="none" w:sz="0" w:space="0" w:color="auto"/>
          <w:bottom w:val="none" w:sz="0" w:space="0" w:color="auto"/>
          <w:right w:val="none" w:sz="0" w:space="0" w:color="auto"/>
          <w:between w:val="none" w:sz="0" w:space="0" w:color="auto"/>
        </w:pBdr>
        <w:spacing w:afterLines="100" w:after="240"/>
        <w:jc w:val="both"/>
        <w:rPr>
          <w:rFonts w:asciiTheme="majorHAnsi" w:hAnsiTheme="majorHAnsi" w:cstheme="majorHAnsi"/>
        </w:rPr>
      </w:pPr>
      <w:r w:rsidRPr="00DE4CD2">
        <w:rPr>
          <w:rFonts w:asciiTheme="majorHAnsi" w:hAnsiTheme="majorHAnsi" w:cstheme="majorHAnsi"/>
        </w:rPr>
        <w:t xml:space="preserve">The delineation of the CINNOB firms in the different databases has been carried out in 2022. The data were transferred to UGE during the summer 2022. The data are currently uploaded in the UGE RCF infrastructure. The final database design (a relation </w:t>
      </w:r>
      <w:proofErr w:type="spellStart"/>
      <w:r w:rsidRPr="00DE4CD2">
        <w:rPr>
          <w:rFonts w:asciiTheme="majorHAnsi" w:hAnsiTheme="majorHAnsi" w:cstheme="majorHAnsi"/>
        </w:rPr>
        <w:t>Mysql</w:t>
      </w:r>
      <w:proofErr w:type="spellEnd"/>
      <w:r w:rsidRPr="00DE4CD2">
        <w:rPr>
          <w:rFonts w:asciiTheme="majorHAnsi" w:hAnsiTheme="majorHAnsi" w:cstheme="majorHAnsi"/>
        </w:rPr>
        <w:t xml:space="preserve"> database) and the calculation of the data were processed. A first version of CINNOB is available and now accessible for researchers.</w:t>
      </w:r>
    </w:p>
    <w:p w14:paraId="18E4074B" w14:textId="77777777" w:rsidR="00B94B80" w:rsidRPr="00DE4CD2" w:rsidRDefault="00B94B80" w:rsidP="000921C9">
      <w:pPr>
        <w:pBdr>
          <w:top w:val="none" w:sz="0" w:space="0" w:color="auto"/>
          <w:left w:val="none" w:sz="0" w:space="0" w:color="auto"/>
          <w:bottom w:val="none" w:sz="0" w:space="0" w:color="auto"/>
          <w:right w:val="none" w:sz="0" w:space="0" w:color="auto"/>
          <w:between w:val="none" w:sz="0" w:space="0" w:color="auto"/>
        </w:pBdr>
        <w:spacing w:afterLines="100" w:after="240"/>
        <w:jc w:val="both"/>
        <w:rPr>
          <w:rFonts w:asciiTheme="majorHAnsi" w:hAnsiTheme="majorHAnsi" w:cstheme="majorHAnsi"/>
        </w:rPr>
      </w:pPr>
    </w:p>
    <w:p w14:paraId="31A2E1A3" w14:textId="77777777" w:rsidR="000921C9" w:rsidRPr="00DE4CD2" w:rsidRDefault="000921C9" w:rsidP="000921C9">
      <w:pPr>
        <w:rPr>
          <w:rFonts w:asciiTheme="majorHAnsi" w:hAnsiTheme="majorHAnsi" w:cstheme="majorHAnsi"/>
          <w:b/>
          <w:bCs/>
          <w:i/>
          <w:iCs/>
        </w:rPr>
      </w:pPr>
      <w:r w:rsidRPr="00DE4CD2">
        <w:rPr>
          <w:rFonts w:asciiTheme="majorHAnsi" w:hAnsiTheme="majorHAnsi" w:cstheme="majorHAnsi"/>
          <w:b/>
          <w:bCs/>
          <w:i/>
          <w:iCs/>
        </w:rPr>
        <w:lastRenderedPageBreak/>
        <w:t>Main achievements</w:t>
      </w:r>
    </w:p>
    <w:p w14:paraId="50B6F84A" w14:textId="1A6ABE11" w:rsidR="000921C9" w:rsidRPr="00DE4CD2" w:rsidRDefault="000921C9" w:rsidP="000921C9">
      <w:pPr>
        <w:pBdr>
          <w:top w:val="none" w:sz="0" w:space="0" w:color="auto"/>
          <w:left w:val="none" w:sz="0" w:space="0" w:color="auto"/>
          <w:bottom w:val="none" w:sz="0" w:space="0" w:color="auto"/>
          <w:right w:val="none" w:sz="0" w:space="0" w:color="auto"/>
          <w:between w:val="none" w:sz="0" w:space="0" w:color="auto"/>
        </w:pBdr>
        <w:spacing w:afterLines="100" w:after="240"/>
        <w:jc w:val="both"/>
        <w:rPr>
          <w:rFonts w:asciiTheme="majorHAnsi" w:hAnsiTheme="majorHAnsi" w:cstheme="majorHAnsi"/>
        </w:rPr>
      </w:pPr>
      <w:r w:rsidRPr="00DE4CD2">
        <w:rPr>
          <w:rFonts w:asciiTheme="majorHAnsi" w:hAnsiTheme="majorHAnsi" w:cstheme="majorHAnsi"/>
        </w:rPr>
        <w:t xml:space="preserve">The </w:t>
      </w:r>
      <w:proofErr w:type="spellStart"/>
      <w:r w:rsidRPr="00DE4CD2">
        <w:rPr>
          <w:rFonts w:asciiTheme="majorHAnsi" w:hAnsiTheme="majorHAnsi" w:cstheme="majorHAnsi"/>
        </w:rPr>
        <w:t>CinnoB</w:t>
      </w:r>
      <w:proofErr w:type="spellEnd"/>
      <w:r w:rsidRPr="00DE4CD2">
        <w:rPr>
          <w:rFonts w:asciiTheme="majorHAnsi" w:hAnsiTheme="majorHAnsi" w:cstheme="majorHAnsi"/>
        </w:rPr>
        <w:t xml:space="preserve"> </w:t>
      </w:r>
      <w:r w:rsidR="003310B6" w:rsidRPr="00DE4CD2">
        <w:rPr>
          <w:rFonts w:asciiTheme="majorHAnsi" w:hAnsiTheme="majorHAnsi" w:cstheme="majorHAnsi"/>
        </w:rPr>
        <w:t xml:space="preserve">indicator </w:t>
      </w:r>
      <w:r w:rsidRPr="00DE4CD2">
        <w:rPr>
          <w:rFonts w:asciiTheme="majorHAnsi" w:hAnsiTheme="majorHAnsi" w:cstheme="majorHAnsi"/>
        </w:rPr>
        <w:t>database is ready for use</w:t>
      </w:r>
      <w:r w:rsidR="0017098C" w:rsidRPr="00DE4CD2">
        <w:rPr>
          <w:rFonts w:asciiTheme="majorHAnsi" w:hAnsiTheme="majorHAnsi" w:cstheme="majorHAnsi"/>
        </w:rPr>
        <w:t xml:space="preserve"> enabled by RISIS2</w:t>
      </w:r>
      <w:r w:rsidRPr="00DE4CD2">
        <w:rPr>
          <w:rFonts w:asciiTheme="majorHAnsi" w:hAnsiTheme="majorHAnsi" w:cstheme="majorHAnsi"/>
        </w:rPr>
        <w:t>. Its documentation is finalised</w:t>
      </w:r>
      <w:r w:rsidR="0017098C" w:rsidRPr="00DE4CD2">
        <w:rPr>
          <w:rFonts w:asciiTheme="majorHAnsi" w:hAnsiTheme="majorHAnsi" w:cstheme="majorHAnsi"/>
        </w:rPr>
        <w:t xml:space="preserve"> and put online on the RISIS </w:t>
      </w:r>
      <w:proofErr w:type="spellStart"/>
      <w:r w:rsidR="0017098C" w:rsidRPr="00DE4CD2">
        <w:rPr>
          <w:rFonts w:asciiTheme="majorHAnsi" w:hAnsiTheme="majorHAnsi" w:cstheme="majorHAnsi"/>
        </w:rPr>
        <w:t>zenodo</w:t>
      </w:r>
      <w:proofErr w:type="spellEnd"/>
      <w:r w:rsidR="0017098C" w:rsidRPr="00DE4CD2">
        <w:rPr>
          <w:rFonts w:asciiTheme="majorHAnsi" w:hAnsiTheme="majorHAnsi" w:cstheme="majorHAnsi"/>
        </w:rPr>
        <w:t xml:space="preserve"> space (</w:t>
      </w:r>
      <w:hyperlink r:id="rId54" w:history="1">
        <w:r w:rsidR="0017098C" w:rsidRPr="00DE4CD2">
          <w:rPr>
            <w:rStyle w:val="Hyperlink"/>
            <w:rFonts w:asciiTheme="majorHAnsi" w:hAnsiTheme="majorHAnsi" w:cstheme="majorHAnsi"/>
            <w:color w:val="auto"/>
          </w:rPr>
          <w:t>https://zenodo.org/records/10353414</w:t>
        </w:r>
      </w:hyperlink>
      <w:r w:rsidR="0017098C" w:rsidRPr="00DE4CD2">
        <w:rPr>
          <w:rFonts w:asciiTheme="majorHAnsi" w:hAnsiTheme="majorHAnsi" w:cstheme="majorHAnsi"/>
        </w:rPr>
        <w:t>)</w:t>
      </w:r>
      <w:r w:rsidRPr="00DE4CD2">
        <w:rPr>
          <w:rFonts w:asciiTheme="majorHAnsi" w:hAnsiTheme="majorHAnsi" w:cstheme="majorHAnsi"/>
        </w:rPr>
        <w:t>.</w:t>
      </w:r>
    </w:p>
    <w:p w14:paraId="16601311" w14:textId="77777777" w:rsidR="000921C9" w:rsidRPr="00DE4CD2" w:rsidRDefault="000921C9" w:rsidP="000921C9">
      <w:pPr>
        <w:pBdr>
          <w:top w:val="none" w:sz="0" w:space="0" w:color="auto"/>
          <w:left w:val="none" w:sz="0" w:space="0" w:color="auto"/>
          <w:bottom w:val="none" w:sz="0" w:space="0" w:color="auto"/>
          <w:right w:val="none" w:sz="0" w:space="0" w:color="auto"/>
          <w:between w:val="none" w:sz="0" w:space="0" w:color="auto"/>
        </w:pBdr>
        <w:spacing w:afterLines="100" w:after="240"/>
        <w:jc w:val="both"/>
        <w:rPr>
          <w:rFonts w:asciiTheme="majorHAnsi" w:hAnsiTheme="majorHAnsi" w:cstheme="majorHAnsi"/>
          <w:b/>
          <w:bCs/>
          <w:i/>
          <w:iCs/>
        </w:rPr>
      </w:pPr>
      <w:r w:rsidRPr="00DE4CD2">
        <w:rPr>
          <w:rFonts w:asciiTheme="majorHAnsi" w:hAnsiTheme="majorHAnsi" w:cstheme="majorHAnsi"/>
          <w:b/>
          <w:bCs/>
          <w:i/>
          <w:iCs/>
        </w:rPr>
        <w:t>Description of use</w:t>
      </w:r>
    </w:p>
    <w:p w14:paraId="7EC82107" w14:textId="77777777" w:rsidR="000921C9" w:rsidRPr="00DE4CD2" w:rsidRDefault="000921C9" w:rsidP="000921C9">
      <w:pPr>
        <w:spacing w:afterLines="100" w:after="240"/>
        <w:jc w:val="both"/>
        <w:rPr>
          <w:rFonts w:asciiTheme="majorHAnsi" w:hAnsiTheme="majorHAnsi" w:cstheme="majorHAnsi"/>
          <w:lang w:val="en-US"/>
        </w:rPr>
      </w:pPr>
      <w:r w:rsidRPr="00DE4CD2">
        <w:rPr>
          <w:rFonts w:asciiTheme="majorHAnsi" w:hAnsiTheme="majorHAnsi" w:cstheme="majorHAnsi"/>
        </w:rPr>
        <w:t xml:space="preserve">Very first uses of </w:t>
      </w:r>
      <w:proofErr w:type="spellStart"/>
      <w:r w:rsidRPr="00DE4CD2">
        <w:rPr>
          <w:rFonts w:asciiTheme="majorHAnsi" w:hAnsiTheme="majorHAnsi" w:cstheme="majorHAnsi"/>
        </w:rPr>
        <w:t>CinnoB</w:t>
      </w:r>
      <w:proofErr w:type="spellEnd"/>
      <w:r w:rsidRPr="00DE4CD2">
        <w:rPr>
          <w:rFonts w:asciiTheme="majorHAnsi" w:hAnsiTheme="majorHAnsi" w:cstheme="majorHAnsi"/>
        </w:rPr>
        <w:t xml:space="preserve"> include a descriptive analysis of two of the most high-tech sectors, the sector of pharmaceutical preparation and the Manufacturing of Electronic components and boards. Each of the two sector includes around 300 large firms. They are quite similar in terms of turnover (900 bn euros) but the R&amp;D investments of the pharmaceutical sector is twice the investments in Electronics. The number of publications in the pharmaceuticals exceed by large the number of articles in Electronics. This is also true for the number of trademarks. The reverse is observed for patents. The firms leading the scientific production are the largest MNEs from the western countries. They are quite often are among the leaders in the inventive activities and trademarks. </w:t>
      </w:r>
      <w:r w:rsidRPr="00DE4CD2">
        <w:rPr>
          <w:rFonts w:asciiTheme="majorHAnsi" w:hAnsiTheme="majorHAnsi" w:cstheme="majorHAnsi"/>
          <w:lang w:val="en-US"/>
        </w:rPr>
        <w:t>The situation looks a bit different for MNEs in the Electronics. Four firms lead the production of publications, patents and trademarks. However, the most active firms in publications are not among the top firms for patents and trademarks and the firms filing the highest number of patents are not leading the trademark applications.</w:t>
      </w:r>
    </w:p>
    <w:p w14:paraId="5EA8100A" w14:textId="77777777" w:rsidR="000921C9" w:rsidRPr="00DE4CD2" w:rsidRDefault="000921C9" w:rsidP="000921C9">
      <w:pPr>
        <w:spacing w:afterLines="100" w:after="240"/>
        <w:jc w:val="both"/>
        <w:rPr>
          <w:rFonts w:asciiTheme="majorHAnsi" w:hAnsiTheme="majorHAnsi" w:cstheme="majorHAnsi"/>
          <w:lang w:val="en-US"/>
        </w:rPr>
      </w:pPr>
      <w:r w:rsidRPr="00DE4CD2">
        <w:rPr>
          <w:rFonts w:asciiTheme="majorHAnsi" w:hAnsiTheme="majorHAnsi" w:cstheme="majorHAnsi"/>
          <w:lang w:val="en-US"/>
        </w:rPr>
        <w:t xml:space="preserve">A research work using </w:t>
      </w:r>
      <w:proofErr w:type="spellStart"/>
      <w:r w:rsidRPr="00DE4CD2">
        <w:rPr>
          <w:rFonts w:asciiTheme="majorHAnsi" w:hAnsiTheme="majorHAnsi" w:cstheme="majorHAnsi"/>
          <w:lang w:val="en-US"/>
        </w:rPr>
        <w:t>CinnoB</w:t>
      </w:r>
      <w:proofErr w:type="spellEnd"/>
      <w:r w:rsidRPr="00DE4CD2">
        <w:rPr>
          <w:rFonts w:asciiTheme="majorHAnsi" w:hAnsiTheme="majorHAnsi" w:cstheme="majorHAnsi"/>
          <w:lang w:val="en-US"/>
        </w:rPr>
        <w:t xml:space="preserve"> data is currently under progress in a LISIS-UGE – University of Salerno collaboration. It aims at studying to which extent scientific activities of EU MNEs in the pharmaceutical and electronics sectors or their participations in EU FP projects contribute to increase the efficiency of their technological activities? This study is carried out using an efficiency analysis with Conditional Data Envelopment Analysis.</w:t>
      </w:r>
    </w:p>
    <w:p w14:paraId="6694D586" w14:textId="36BE19DB" w:rsidR="000921C9" w:rsidRPr="00DE4CD2" w:rsidRDefault="000921C9" w:rsidP="002C3BB1">
      <w:pPr>
        <w:pStyle w:val="Listenabsatz"/>
        <w:numPr>
          <w:ilvl w:val="0"/>
          <w:numId w:val="7"/>
        </w:numPr>
        <w:rPr>
          <w:rFonts w:asciiTheme="majorHAnsi" w:hAnsiTheme="majorHAnsi" w:cstheme="majorHAnsi"/>
          <w:b/>
          <w:bCs/>
          <w:i/>
          <w:iCs/>
        </w:rPr>
      </w:pPr>
      <w:r w:rsidRPr="00DE4CD2">
        <w:rPr>
          <w:rFonts w:asciiTheme="majorHAnsi" w:hAnsiTheme="majorHAnsi" w:cstheme="majorHAnsi"/>
          <w:b/>
          <w:bCs/>
          <w:i/>
          <w:iCs/>
        </w:rPr>
        <w:t>Corporate Invention Board (CIB3 edition)</w:t>
      </w:r>
    </w:p>
    <w:p w14:paraId="76D05F67" w14:textId="77777777" w:rsidR="000921C9" w:rsidRPr="00DE4CD2" w:rsidRDefault="000921C9" w:rsidP="000921C9">
      <w:pPr>
        <w:rPr>
          <w:rFonts w:asciiTheme="majorHAnsi" w:hAnsiTheme="majorHAnsi" w:cstheme="majorHAnsi"/>
        </w:rPr>
      </w:pPr>
    </w:p>
    <w:p w14:paraId="32E8D793" w14:textId="77777777" w:rsidR="000921C9" w:rsidRPr="00DE4CD2" w:rsidRDefault="000921C9" w:rsidP="000921C9">
      <w:pPr>
        <w:rPr>
          <w:rFonts w:asciiTheme="majorHAnsi" w:hAnsiTheme="majorHAnsi" w:cstheme="majorHAnsi"/>
          <w:b/>
          <w:bCs/>
          <w:i/>
          <w:iCs/>
        </w:rPr>
      </w:pPr>
      <w:r w:rsidRPr="00DE4CD2">
        <w:rPr>
          <w:rFonts w:asciiTheme="majorHAnsi" w:hAnsiTheme="majorHAnsi" w:cstheme="majorHAnsi"/>
          <w:b/>
          <w:bCs/>
          <w:i/>
          <w:iCs/>
        </w:rPr>
        <w:t xml:space="preserve">Present State and value added </w:t>
      </w:r>
    </w:p>
    <w:p w14:paraId="29A2DE46" w14:textId="77777777" w:rsidR="000921C9" w:rsidRPr="00DE4CD2" w:rsidRDefault="000921C9" w:rsidP="0063329C">
      <w:pPr>
        <w:spacing w:afterLines="100" w:after="240"/>
        <w:jc w:val="both"/>
        <w:rPr>
          <w:rFonts w:asciiTheme="majorHAnsi" w:hAnsiTheme="majorHAnsi" w:cstheme="majorHAnsi"/>
        </w:rPr>
      </w:pPr>
      <w:r w:rsidRPr="00DE4CD2">
        <w:rPr>
          <w:rFonts w:asciiTheme="majorHAnsi" w:hAnsiTheme="majorHAnsi" w:cstheme="majorHAnsi"/>
        </w:rPr>
        <w:t>An update of the CIB2 database has started in September 2022. It aims first at updating the list of the worldwide top R&amp;D performers and also at providing their patent applications using the updated RISIS Patent database RPD21.</w:t>
      </w:r>
    </w:p>
    <w:p w14:paraId="6835DBEC" w14:textId="77777777" w:rsidR="000921C9" w:rsidRPr="00DE4CD2" w:rsidRDefault="000921C9" w:rsidP="0063329C">
      <w:pPr>
        <w:jc w:val="both"/>
        <w:rPr>
          <w:rFonts w:asciiTheme="majorHAnsi" w:hAnsiTheme="majorHAnsi" w:cstheme="majorHAnsi"/>
        </w:rPr>
      </w:pPr>
      <w:r w:rsidRPr="00DE4CD2">
        <w:rPr>
          <w:rFonts w:asciiTheme="majorHAnsi" w:hAnsiTheme="majorHAnsi" w:cstheme="majorHAnsi"/>
        </w:rPr>
        <w:t xml:space="preserve">Compared to CIB2, the methodology to define the list of CIB3 firms was slightly modified. In order to restrict CIB3 only to firms with the largest R&amp;D investments, we rely only on the companies listed in the editions of the EU Industrial R&amp;D Investment Scoreboard (edition 2008 to 2021). For these companies, the Global Ultimate Owner (GUO or parent company) is identified using the Orbis database of Bureau van Dijk. The GUO is included in the list of CIB3 firms if it is an active company (not in liquidation, nor dissolved). If the GUO is not a company (but a state, a family, …), we search for the highest industrial company in the ownership cascade and included as an </w:t>
      </w:r>
      <w:proofErr w:type="spellStart"/>
      <w:r w:rsidRPr="00DE4CD2">
        <w:rPr>
          <w:rFonts w:asciiTheme="majorHAnsi" w:hAnsiTheme="majorHAnsi" w:cstheme="majorHAnsi"/>
        </w:rPr>
        <w:t>iGUO</w:t>
      </w:r>
      <w:proofErr w:type="spellEnd"/>
      <w:r w:rsidRPr="00DE4CD2">
        <w:rPr>
          <w:rFonts w:asciiTheme="majorHAnsi" w:hAnsiTheme="majorHAnsi" w:cstheme="majorHAnsi"/>
        </w:rPr>
        <w:t xml:space="preserve"> (industrial GUO) in the CIB3 list.</w:t>
      </w:r>
    </w:p>
    <w:p w14:paraId="7542EB49" w14:textId="77777777" w:rsidR="000921C9" w:rsidRPr="00DE4CD2" w:rsidRDefault="000921C9" w:rsidP="000921C9">
      <w:pPr>
        <w:rPr>
          <w:rFonts w:asciiTheme="majorHAnsi" w:hAnsiTheme="majorHAnsi" w:cstheme="majorHAnsi"/>
        </w:rPr>
      </w:pPr>
    </w:p>
    <w:p w14:paraId="234947B5" w14:textId="6F91EC1F" w:rsidR="000921C9" w:rsidRPr="00DE4CD2" w:rsidRDefault="000921C9" w:rsidP="0063329C">
      <w:pPr>
        <w:spacing w:afterLines="100" w:after="240"/>
        <w:jc w:val="both"/>
        <w:rPr>
          <w:rFonts w:asciiTheme="majorHAnsi" w:hAnsiTheme="majorHAnsi" w:cstheme="majorHAnsi"/>
        </w:rPr>
      </w:pPr>
      <w:r w:rsidRPr="00DE4CD2">
        <w:rPr>
          <w:rFonts w:asciiTheme="majorHAnsi" w:hAnsiTheme="majorHAnsi" w:cstheme="majorHAnsi"/>
        </w:rPr>
        <w:t xml:space="preserve">The list of the firms for CIB3 has been completed. It includes 2306 parent companies (1770 GUO (Global Ultimate Owner) + 536 </w:t>
      </w:r>
      <w:proofErr w:type="spellStart"/>
      <w:r w:rsidRPr="00DE4CD2">
        <w:rPr>
          <w:rFonts w:asciiTheme="majorHAnsi" w:hAnsiTheme="majorHAnsi" w:cstheme="majorHAnsi"/>
        </w:rPr>
        <w:t>iGUO</w:t>
      </w:r>
      <w:proofErr w:type="spellEnd"/>
      <w:r w:rsidRPr="00DE4CD2">
        <w:rPr>
          <w:rFonts w:asciiTheme="majorHAnsi" w:hAnsiTheme="majorHAnsi" w:cstheme="majorHAnsi"/>
        </w:rPr>
        <w:t xml:space="preserve"> (industrial Global Ultimate Owner) with their consolidated subsidiaries identified using the Orbis database (a total of nearly 400000 subsidiaries).  Compared to the previous CIB2 edition, the distribution of the country of the firm HQ shows the share of Chinese firms has almost tripled (from 7%in CIB2 to 20% in CIB3) whereas the share of US firms has declined (from 27% to 20%).</w:t>
      </w:r>
    </w:p>
    <w:p w14:paraId="0407FE86" w14:textId="7945F43D" w:rsidR="00170352" w:rsidRPr="00DE4CD2" w:rsidRDefault="00170352" w:rsidP="00170352">
      <w:pPr>
        <w:spacing w:after="120"/>
        <w:jc w:val="both"/>
        <w:rPr>
          <w:rFonts w:asciiTheme="majorHAnsi" w:eastAsiaTheme="minorHAnsi" w:hAnsiTheme="majorHAnsi" w:cstheme="majorHAnsi"/>
          <w:i/>
          <w:iCs/>
          <w:lang w:val="en-US" w:eastAsia="en-US"/>
        </w:rPr>
      </w:pPr>
      <w:r w:rsidRPr="00DE4CD2">
        <w:rPr>
          <w:rFonts w:asciiTheme="majorHAnsi" w:eastAsiaTheme="minorHAnsi" w:hAnsiTheme="majorHAnsi" w:cstheme="majorHAnsi"/>
          <w:i/>
          <w:iCs/>
          <w:lang w:val="en-US" w:eastAsia="en-US"/>
        </w:rPr>
        <w:lastRenderedPageBreak/>
        <w:t xml:space="preserve">Figure </w:t>
      </w:r>
      <w:r w:rsidR="0063329C" w:rsidRPr="00DE4CD2">
        <w:rPr>
          <w:rFonts w:asciiTheme="majorHAnsi" w:eastAsiaTheme="minorHAnsi" w:hAnsiTheme="majorHAnsi" w:cstheme="majorHAnsi"/>
          <w:i/>
          <w:iCs/>
          <w:lang w:val="en-US" w:eastAsia="en-US"/>
        </w:rPr>
        <w:t>24</w:t>
      </w:r>
      <w:r w:rsidRPr="00DE4CD2">
        <w:rPr>
          <w:rFonts w:asciiTheme="majorHAnsi" w:eastAsiaTheme="minorHAnsi" w:hAnsiTheme="majorHAnsi" w:cstheme="majorHAnsi"/>
          <w:i/>
          <w:iCs/>
          <w:lang w:val="en-US" w:eastAsia="en-US"/>
        </w:rPr>
        <w:t>: Distribution of CIB 3 firms</w:t>
      </w:r>
    </w:p>
    <w:p w14:paraId="2AD877D4" w14:textId="77777777" w:rsidR="000921C9" w:rsidRPr="00DE4CD2" w:rsidRDefault="000921C9" w:rsidP="000921C9">
      <w:pPr>
        <w:spacing w:afterLines="100" w:after="240"/>
        <w:jc w:val="center"/>
        <w:rPr>
          <w:rFonts w:asciiTheme="majorHAnsi" w:hAnsiTheme="majorHAnsi" w:cstheme="majorHAnsi"/>
        </w:rPr>
      </w:pPr>
      <w:r w:rsidRPr="00DE4CD2">
        <w:rPr>
          <w:rFonts w:asciiTheme="majorHAnsi" w:hAnsiTheme="majorHAnsi" w:cstheme="majorHAnsi"/>
          <w:noProof/>
        </w:rPr>
        <mc:AlternateContent>
          <mc:Choice Requires="cx1">
            <w:drawing>
              <wp:inline distT="0" distB="0" distL="0" distR="0" wp14:anchorId="1432D0CA" wp14:editId="7C8087CE">
                <wp:extent cx="5486400" cy="2826327"/>
                <wp:effectExtent l="0" t="0" r="0" b="6350"/>
                <wp:docPr id="71" name="Graphique 71">
                  <a:extLst xmlns:a="http://schemas.openxmlformats.org/drawingml/2006/main">
                    <a:ext uri="{FF2B5EF4-FFF2-40B4-BE49-F238E27FC236}">
                      <a16:creationId xmlns:a16="http://schemas.microsoft.com/office/drawing/2014/main" id="{90C6B393-35C7-274A-AEB9-DABC18FBF40F}"/>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55"/>
                  </a:graphicData>
                </a:graphic>
              </wp:inline>
            </w:drawing>
          </mc:Choice>
          <mc:Fallback>
            <w:drawing>
              <wp:inline distT="0" distB="0" distL="0" distR="0" wp14:anchorId="1432D0CA" wp14:editId="7C8087CE">
                <wp:extent cx="5486400" cy="2826327"/>
                <wp:effectExtent l="0" t="0" r="0" b="6350"/>
                <wp:docPr id="71" name="Graphique 71">
                  <a:extLst xmlns:a="http://schemas.openxmlformats.org/drawingml/2006/main">
                    <a:ext uri="{FF2B5EF4-FFF2-40B4-BE49-F238E27FC236}">
                      <a16:creationId xmlns:a16="http://schemas.microsoft.com/office/drawing/2014/main" id="{90C6B393-35C7-274A-AEB9-DABC18FBF40F}"/>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71" name="Graphique 71">
                          <a:extLst>
                            <a:ext uri="{FF2B5EF4-FFF2-40B4-BE49-F238E27FC236}">
                              <a16:creationId xmlns:a16="http://schemas.microsoft.com/office/drawing/2014/main" id="{90C6B393-35C7-274A-AEB9-DABC18FBF40F}"/>
                            </a:ext>
                          </a:extLst>
                        </pic:cNvPr>
                        <pic:cNvPicPr>
                          <a:picLocks noGrp="1" noRot="1" noChangeAspect="1" noMove="1" noResize="1" noEditPoints="1" noAdjustHandles="1" noChangeArrowheads="1" noChangeShapeType="1"/>
                        </pic:cNvPicPr>
                      </pic:nvPicPr>
                      <pic:blipFill>
                        <a:blip r:embed="rId56"/>
                        <a:stretch>
                          <a:fillRect/>
                        </a:stretch>
                      </pic:blipFill>
                      <pic:spPr>
                        <a:xfrm>
                          <a:off x="0" y="0"/>
                          <a:ext cx="5486400" cy="2825750"/>
                        </a:xfrm>
                        <a:prstGeom prst="rect">
                          <a:avLst/>
                        </a:prstGeom>
                      </pic:spPr>
                    </pic:pic>
                  </a:graphicData>
                </a:graphic>
              </wp:inline>
            </w:drawing>
          </mc:Fallback>
        </mc:AlternateContent>
      </w:r>
    </w:p>
    <w:p w14:paraId="4D79CC84" w14:textId="77777777" w:rsidR="000921C9" w:rsidRPr="00DE4CD2" w:rsidRDefault="000921C9" w:rsidP="000921C9">
      <w:pPr>
        <w:rPr>
          <w:rFonts w:asciiTheme="majorHAnsi" w:hAnsiTheme="majorHAnsi" w:cstheme="majorHAnsi"/>
        </w:rPr>
      </w:pPr>
      <w:r w:rsidRPr="00DE4CD2">
        <w:rPr>
          <w:rFonts w:asciiTheme="majorHAnsi" w:hAnsiTheme="majorHAnsi" w:cstheme="majorHAnsi"/>
        </w:rPr>
        <w:t xml:space="preserve">The next step will consist in identifying in the RPD21 patent database, those patents where the CIB3 firms (GUO, </w:t>
      </w:r>
      <w:proofErr w:type="spellStart"/>
      <w:r w:rsidRPr="00DE4CD2">
        <w:rPr>
          <w:rFonts w:asciiTheme="majorHAnsi" w:hAnsiTheme="majorHAnsi" w:cstheme="majorHAnsi"/>
        </w:rPr>
        <w:t>iGUO</w:t>
      </w:r>
      <w:proofErr w:type="spellEnd"/>
      <w:r w:rsidRPr="00DE4CD2">
        <w:rPr>
          <w:rFonts w:asciiTheme="majorHAnsi" w:hAnsiTheme="majorHAnsi" w:cstheme="majorHAnsi"/>
        </w:rPr>
        <w:t xml:space="preserve"> or subsidiaries) are applicants. It requires a fine-tuned matching between the 400000 names of the CIB3 list and the 22 million applicants in the recently updated </w:t>
      </w:r>
      <w:proofErr w:type="spellStart"/>
      <w:r w:rsidRPr="00DE4CD2">
        <w:rPr>
          <w:rFonts w:asciiTheme="majorHAnsi" w:hAnsiTheme="majorHAnsi" w:cstheme="majorHAnsi"/>
        </w:rPr>
        <w:t>Risis</w:t>
      </w:r>
      <w:proofErr w:type="spellEnd"/>
      <w:r w:rsidRPr="00DE4CD2">
        <w:rPr>
          <w:rFonts w:asciiTheme="majorHAnsi" w:hAnsiTheme="majorHAnsi" w:cstheme="majorHAnsi"/>
        </w:rPr>
        <w:t xml:space="preserve"> Patent Database (RPD21).</w:t>
      </w:r>
    </w:p>
    <w:p w14:paraId="03658142" w14:textId="77777777" w:rsidR="00301856" w:rsidRPr="00DE4CD2" w:rsidRDefault="00301856" w:rsidP="00FF0B92">
      <w:pPr>
        <w:rPr>
          <w:rFonts w:asciiTheme="majorHAnsi" w:hAnsiTheme="majorHAnsi" w:cstheme="majorHAnsi"/>
        </w:rPr>
      </w:pPr>
    </w:p>
    <w:p w14:paraId="38D61363" w14:textId="1296445F" w:rsidR="00FF0B92" w:rsidRPr="00DE4CD2" w:rsidRDefault="00FF0B92" w:rsidP="00FF0B92">
      <w:pPr>
        <w:pStyle w:val="berschrift3"/>
        <w:rPr>
          <w:rFonts w:asciiTheme="majorHAnsi" w:hAnsiTheme="majorHAnsi" w:cstheme="majorHAnsi"/>
          <w:color w:val="auto"/>
        </w:rPr>
      </w:pPr>
      <w:bookmarkStart w:id="21" w:name="_Toc153536130"/>
      <w:proofErr w:type="spellStart"/>
      <w:r w:rsidRPr="00DE4CD2">
        <w:rPr>
          <w:rFonts w:asciiTheme="majorHAnsi" w:hAnsiTheme="majorHAnsi" w:cstheme="majorHAnsi"/>
          <w:color w:val="auto"/>
        </w:rPr>
        <w:t>FirmReg</w:t>
      </w:r>
      <w:bookmarkEnd w:id="21"/>
      <w:proofErr w:type="spellEnd"/>
    </w:p>
    <w:p w14:paraId="0645A4F6" w14:textId="679C6BB8" w:rsidR="00FF0B92" w:rsidRPr="00DE4CD2" w:rsidRDefault="00FF0B92" w:rsidP="00FF0B92">
      <w:pPr>
        <w:rPr>
          <w:rFonts w:asciiTheme="majorHAnsi" w:hAnsiTheme="majorHAnsi" w:cstheme="majorHAnsi"/>
        </w:rPr>
      </w:pPr>
    </w:p>
    <w:p w14:paraId="6C51A3DC" w14:textId="77777777" w:rsidR="00666865" w:rsidRPr="00DE4CD2" w:rsidRDefault="00666865" w:rsidP="00666865">
      <w:pPr>
        <w:rPr>
          <w:rFonts w:asciiTheme="majorHAnsi" w:hAnsiTheme="majorHAnsi" w:cstheme="majorHAnsi"/>
          <w:b/>
          <w:i/>
        </w:rPr>
      </w:pPr>
      <w:r w:rsidRPr="00DE4CD2">
        <w:rPr>
          <w:rFonts w:asciiTheme="majorHAnsi" w:hAnsiTheme="majorHAnsi" w:cstheme="majorHAnsi"/>
          <w:b/>
          <w:i/>
        </w:rPr>
        <w:t>Aim and perimeter</w:t>
      </w:r>
    </w:p>
    <w:p w14:paraId="1308284F" w14:textId="5A4E06CE" w:rsidR="00666865" w:rsidRPr="00DE4CD2" w:rsidRDefault="00666865" w:rsidP="0063329C">
      <w:pPr>
        <w:jc w:val="both"/>
        <w:rPr>
          <w:rFonts w:asciiTheme="majorHAnsi" w:hAnsiTheme="majorHAnsi" w:cstheme="majorHAnsi"/>
        </w:rPr>
      </w:pPr>
      <w:r w:rsidRPr="00DE4CD2">
        <w:rPr>
          <w:rFonts w:asciiTheme="majorHAnsi" w:hAnsiTheme="majorHAnsi" w:cstheme="majorHAnsi"/>
        </w:rPr>
        <w:t xml:space="preserve">The aim of </w:t>
      </w:r>
      <w:proofErr w:type="spellStart"/>
      <w:r w:rsidRPr="00DE4CD2">
        <w:rPr>
          <w:rFonts w:asciiTheme="majorHAnsi" w:hAnsiTheme="majorHAnsi" w:cstheme="majorHAnsi"/>
        </w:rPr>
        <w:t>FirmReg</w:t>
      </w:r>
      <w:proofErr w:type="spellEnd"/>
      <w:r w:rsidRPr="00DE4CD2">
        <w:rPr>
          <w:rFonts w:asciiTheme="majorHAnsi" w:hAnsiTheme="majorHAnsi" w:cstheme="majorHAnsi"/>
        </w:rPr>
        <w:t xml:space="preserve"> is to uniquely identify and integrate the businesses included in the datasets which are part of RISIS. </w:t>
      </w:r>
      <w:proofErr w:type="spellStart"/>
      <w:r w:rsidRPr="00DE4CD2">
        <w:rPr>
          <w:rFonts w:asciiTheme="majorHAnsi" w:hAnsiTheme="majorHAnsi" w:cstheme="majorHAnsi"/>
        </w:rPr>
        <w:t>FirmReg</w:t>
      </w:r>
      <w:proofErr w:type="spellEnd"/>
      <w:r w:rsidRPr="00DE4CD2">
        <w:rPr>
          <w:rFonts w:asciiTheme="majorHAnsi" w:hAnsiTheme="majorHAnsi" w:cstheme="majorHAnsi"/>
        </w:rPr>
        <w:t xml:space="preserve"> provides an unambiguous list of these firms and attributes them a unique ID which can be used to:</w:t>
      </w:r>
    </w:p>
    <w:p w14:paraId="7E67F489" w14:textId="77777777" w:rsidR="0063329C" w:rsidRPr="00DE4CD2" w:rsidRDefault="0063329C" w:rsidP="0063329C">
      <w:pPr>
        <w:jc w:val="both"/>
        <w:rPr>
          <w:rFonts w:asciiTheme="majorHAnsi" w:hAnsiTheme="majorHAnsi" w:cstheme="majorHAnsi"/>
        </w:rPr>
      </w:pPr>
    </w:p>
    <w:p w14:paraId="3AFF1C11" w14:textId="77777777" w:rsidR="00666865" w:rsidRPr="00DE4CD2" w:rsidRDefault="00666865" w:rsidP="00666865">
      <w:pPr>
        <w:pStyle w:val="Listenabsatz"/>
        <w:numPr>
          <w:ilvl w:val="0"/>
          <w:numId w:val="19"/>
        </w:numPr>
        <w:jc w:val="both"/>
        <w:rPr>
          <w:rFonts w:asciiTheme="majorHAnsi" w:hAnsiTheme="majorHAnsi" w:cstheme="majorHAnsi"/>
        </w:rPr>
      </w:pPr>
      <w:r w:rsidRPr="00DE4CD2">
        <w:rPr>
          <w:rFonts w:asciiTheme="majorHAnsi" w:hAnsiTheme="majorHAnsi" w:cstheme="majorHAnsi"/>
        </w:rPr>
        <w:t>Match firms between RISIS firm-level datasets (i.e., CIB, Cheetah, VICO).</w:t>
      </w:r>
    </w:p>
    <w:p w14:paraId="67E488F2" w14:textId="77777777" w:rsidR="00666865" w:rsidRPr="00DE4CD2" w:rsidRDefault="00666865" w:rsidP="00666865">
      <w:pPr>
        <w:pStyle w:val="Listenabsatz"/>
        <w:numPr>
          <w:ilvl w:val="0"/>
          <w:numId w:val="19"/>
        </w:numPr>
        <w:jc w:val="both"/>
        <w:rPr>
          <w:rFonts w:asciiTheme="majorHAnsi" w:hAnsiTheme="majorHAnsi" w:cstheme="majorHAnsi"/>
        </w:rPr>
      </w:pPr>
      <w:r w:rsidRPr="00DE4CD2">
        <w:rPr>
          <w:rFonts w:asciiTheme="majorHAnsi" w:hAnsiTheme="majorHAnsi" w:cstheme="majorHAnsi"/>
        </w:rPr>
        <w:t>Allow the matching of the firms in RISIS firm-level datasets with other datasets within RISIS which contain firm-level data (e.g., patent, publications, trademarks, projects datasets).</w:t>
      </w:r>
    </w:p>
    <w:p w14:paraId="4566A4C6" w14:textId="77777777" w:rsidR="00666865" w:rsidRPr="00DE4CD2" w:rsidRDefault="00666865" w:rsidP="00666865">
      <w:pPr>
        <w:pStyle w:val="Listenabsatz"/>
        <w:numPr>
          <w:ilvl w:val="0"/>
          <w:numId w:val="19"/>
        </w:numPr>
        <w:jc w:val="both"/>
        <w:rPr>
          <w:rFonts w:asciiTheme="majorHAnsi" w:hAnsiTheme="majorHAnsi" w:cstheme="majorHAnsi"/>
        </w:rPr>
      </w:pPr>
      <w:r w:rsidRPr="00DE4CD2">
        <w:rPr>
          <w:rFonts w:asciiTheme="majorHAnsi" w:hAnsiTheme="majorHAnsi" w:cstheme="majorHAnsi"/>
        </w:rPr>
        <w:t>Keep track of linkages between firms in RISIS firm-level datasets (e.g., reflecting the parent/subsidiary structure of the firms included in the register).</w:t>
      </w:r>
    </w:p>
    <w:p w14:paraId="0DCC193F" w14:textId="77777777" w:rsidR="00666865" w:rsidRPr="00DE4CD2" w:rsidRDefault="00666865" w:rsidP="00666865">
      <w:pPr>
        <w:pStyle w:val="Listenabsatz"/>
        <w:numPr>
          <w:ilvl w:val="0"/>
          <w:numId w:val="19"/>
        </w:numPr>
        <w:jc w:val="both"/>
        <w:rPr>
          <w:rFonts w:asciiTheme="majorHAnsi" w:hAnsiTheme="majorHAnsi" w:cstheme="majorHAnsi"/>
        </w:rPr>
      </w:pPr>
      <w:r w:rsidRPr="00DE4CD2">
        <w:rPr>
          <w:rFonts w:asciiTheme="majorHAnsi" w:hAnsiTheme="majorHAnsi" w:cstheme="majorHAnsi"/>
        </w:rPr>
        <w:t>Keep track of the evolution of firms in RISIS firm-level datasets (e.g., changes in name, location).</w:t>
      </w:r>
    </w:p>
    <w:p w14:paraId="69F14D24" w14:textId="77777777" w:rsidR="00666865" w:rsidRPr="00DE4CD2" w:rsidRDefault="00666865" w:rsidP="00666865">
      <w:pPr>
        <w:pStyle w:val="Listenabsatz"/>
        <w:numPr>
          <w:ilvl w:val="0"/>
          <w:numId w:val="19"/>
        </w:numPr>
        <w:jc w:val="both"/>
        <w:rPr>
          <w:rFonts w:asciiTheme="majorHAnsi" w:hAnsiTheme="majorHAnsi" w:cstheme="majorHAnsi"/>
        </w:rPr>
      </w:pPr>
      <w:r w:rsidRPr="00DE4CD2">
        <w:rPr>
          <w:rFonts w:asciiTheme="majorHAnsi" w:hAnsiTheme="majorHAnsi" w:cstheme="majorHAnsi"/>
        </w:rPr>
        <w:t>Manage the addition of more firm-level datasets (if necessary).</w:t>
      </w:r>
    </w:p>
    <w:p w14:paraId="352AD130" w14:textId="77777777" w:rsidR="00666865" w:rsidRPr="00DE4CD2" w:rsidRDefault="00666865" w:rsidP="00666865">
      <w:pPr>
        <w:rPr>
          <w:rFonts w:asciiTheme="majorHAnsi" w:hAnsiTheme="majorHAnsi" w:cstheme="majorHAnsi"/>
        </w:rPr>
      </w:pPr>
    </w:p>
    <w:p w14:paraId="69295450" w14:textId="6235EA86" w:rsidR="00666865" w:rsidRPr="00DE4CD2" w:rsidRDefault="00666865" w:rsidP="00666865">
      <w:pPr>
        <w:rPr>
          <w:rFonts w:asciiTheme="majorHAnsi" w:hAnsiTheme="majorHAnsi" w:cstheme="majorHAnsi"/>
        </w:rPr>
      </w:pPr>
      <w:r w:rsidRPr="00DE4CD2">
        <w:rPr>
          <w:rFonts w:asciiTheme="majorHAnsi" w:hAnsiTheme="majorHAnsi" w:cstheme="majorHAnsi"/>
        </w:rPr>
        <w:t xml:space="preserve">The perimeter of </w:t>
      </w:r>
      <w:proofErr w:type="spellStart"/>
      <w:r w:rsidRPr="00DE4CD2">
        <w:rPr>
          <w:rFonts w:asciiTheme="majorHAnsi" w:hAnsiTheme="majorHAnsi" w:cstheme="majorHAnsi"/>
        </w:rPr>
        <w:t>FirmReg</w:t>
      </w:r>
      <w:proofErr w:type="spellEnd"/>
      <w:r w:rsidRPr="00DE4CD2">
        <w:rPr>
          <w:rFonts w:asciiTheme="majorHAnsi" w:hAnsiTheme="majorHAnsi" w:cstheme="majorHAnsi"/>
        </w:rPr>
        <w:t xml:space="preserve"> includes a frontend and a backend. The frontend is the main component of </w:t>
      </w:r>
      <w:proofErr w:type="spellStart"/>
      <w:r w:rsidRPr="00DE4CD2">
        <w:rPr>
          <w:rFonts w:asciiTheme="majorHAnsi" w:hAnsiTheme="majorHAnsi" w:cstheme="majorHAnsi"/>
        </w:rPr>
        <w:t>FirmReg</w:t>
      </w:r>
      <w:proofErr w:type="spellEnd"/>
      <w:r w:rsidRPr="00DE4CD2">
        <w:rPr>
          <w:rFonts w:asciiTheme="majorHAnsi" w:hAnsiTheme="majorHAnsi" w:cstheme="majorHAnsi"/>
        </w:rPr>
        <w:t xml:space="preserve"> and includes all the firms belonging to any of the RISIS firm-level datasets. In particular, the frontend includes the firms from the following 3 RISIS firm-level datasets:</w:t>
      </w:r>
    </w:p>
    <w:p w14:paraId="4972F5D7" w14:textId="77777777" w:rsidR="0063329C" w:rsidRPr="00DE4CD2" w:rsidRDefault="0063329C" w:rsidP="00666865">
      <w:pPr>
        <w:rPr>
          <w:rFonts w:asciiTheme="majorHAnsi" w:hAnsiTheme="majorHAnsi" w:cstheme="majorHAnsi"/>
        </w:rPr>
      </w:pPr>
    </w:p>
    <w:p w14:paraId="71947307" w14:textId="77777777" w:rsidR="00666865" w:rsidRPr="00DE4CD2" w:rsidRDefault="00666865" w:rsidP="00666865">
      <w:pPr>
        <w:pStyle w:val="Listenabsatz"/>
        <w:numPr>
          <w:ilvl w:val="0"/>
          <w:numId w:val="19"/>
        </w:numPr>
        <w:jc w:val="both"/>
        <w:rPr>
          <w:rFonts w:asciiTheme="majorHAnsi" w:hAnsiTheme="majorHAnsi" w:cstheme="majorHAnsi"/>
        </w:rPr>
      </w:pPr>
      <w:r w:rsidRPr="00DE4CD2">
        <w:rPr>
          <w:rFonts w:asciiTheme="majorHAnsi" w:hAnsiTheme="majorHAnsi" w:cstheme="majorHAnsi"/>
        </w:rPr>
        <w:t xml:space="preserve">CIB (Corporate Invention Board) is a dataset including the largest and most innovative industrial firms worldwide. </w:t>
      </w:r>
    </w:p>
    <w:p w14:paraId="670DB7F2" w14:textId="77777777" w:rsidR="00666865" w:rsidRPr="00DE4CD2" w:rsidRDefault="00666865" w:rsidP="00666865">
      <w:pPr>
        <w:pStyle w:val="Listenabsatz"/>
        <w:numPr>
          <w:ilvl w:val="0"/>
          <w:numId w:val="19"/>
        </w:numPr>
        <w:jc w:val="both"/>
        <w:rPr>
          <w:rFonts w:asciiTheme="majorHAnsi" w:hAnsiTheme="majorHAnsi" w:cstheme="majorHAnsi"/>
        </w:rPr>
      </w:pPr>
      <w:r w:rsidRPr="00DE4CD2">
        <w:rPr>
          <w:rFonts w:asciiTheme="majorHAnsi" w:hAnsiTheme="majorHAnsi" w:cstheme="majorHAnsi"/>
        </w:rPr>
        <w:lastRenderedPageBreak/>
        <w:t xml:space="preserve">Cheetah is a dataset including European medium-sized firms that experienced turnover or employment fast growth rates. </w:t>
      </w:r>
    </w:p>
    <w:p w14:paraId="1456A80B" w14:textId="77777777" w:rsidR="00666865" w:rsidRPr="00DE4CD2" w:rsidRDefault="00666865" w:rsidP="00666865">
      <w:pPr>
        <w:pStyle w:val="Listenabsatz"/>
        <w:numPr>
          <w:ilvl w:val="0"/>
          <w:numId w:val="19"/>
        </w:numPr>
        <w:jc w:val="both"/>
        <w:rPr>
          <w:rFonts w:asciiTheme="majorHAnsi" w:hAnsiTheme="majorHAnsi" w:cstheme="majorHAnsi"/>
        </w:rPr>
      </w:pPr>
      <w:r w:rsidRPr="00DE4CD2">
        <w:rPr>
          <w:rFonts w:asciiTheme="majorHAnsi" w:hAnsiTheme="majorHAnsi" w:cstheme="majorHAnsi"/>
        </w:rPr>
        <w:t>VICO is a dataset including about 38,000 companies from 28 European countries and Israel that have received venture capital or angel investments.</w:t>
      </w:r>
    </w:p>
    <w:p w14:paraId="52409A4D" w14:textId="77777777" w:rsidR="00666865" w:rsidRPr="00DE4CD2" w:rsidRDefault="00666865" w:rsidP="00666865">
      <w:pPr>
        <w:rPr>
          <w:rFonts w:asciiTheme="majorHAnsi" w:hAnsiTheme="majorHAnsi" w:cstheme="majorHAnsi"/>
        </w:rPr>
      </w:pPr>
    </w:p>
    <w:p w14:paraId="5B795B67" w14:textId="31192DD8" w:rsidR="00666865" w:rsidRPr="00DE4CD2" w:rsidRDefault="00666865" w:rsidP="00666865">
      <w:pPr>
        <w:rPr>
          <w:rFonts w:asciiTheme="majorHAnsi" w:hAnsiTheme="majorHAnsi" w:cstheme="majorHAnsi"/>
        </w:rPr>
      </w:pPr>
      <w:r w:rsidRPr="00DE4CD2">
        <w:rPr>
          <w:rFonts w:asciiTheme="majorHAnsi" w:hAnsiTheme="majorHAnsi" w:cstheme="majorHAnsi"/>
        </w:rPr>
        <w:t xml:space="preserve">The backend is an additional section of </w:t>
      </w:r>
      <w:proofErr w:type="spellStart"/>
      <w:r w:rsidRPr="00DE4CD2">
        <w:rPr>
          <w:rFonts w:asciiTheme="majorHAnsi" w:hAnsiTheme="majorHAnsi" w:cstheme="majorHAnsi"/>
        </w:rPr>
        <w:t>FirmReg</w:t>
      </w:r>
      <w:proofErr w:type="spellEnd"/>
      <w:r w:rsidRPr="00DE4CD2">
        <w:rPr>
          <w:rFonts w:asciiTheme="majorHAnsi" w:hAnsiTheme="majorHAnsi" w:cstheme="majorHAnsi"/>
        </w:rPr>
        <w:t xml:space="preserve"> that is provided in order to facilitate the matching of RISIS firm-level datasets with other datasets. It basically includes the subsidiaries of the firms listed in the frontend. Considering the differences among the three datasets in the frontend, it has been decided to have different inclusion criteria for the backend subsidiaries, depending on which RISIS firm-level dataset they belong. Specifically, the backend of </w:t>
      </w:r>
      <w:proofErr w:type="spellStart"/>
      <w:r w:rsidRPr="00DE4CD2">
        <w:rPr>
          <w:rFonts w:asciiTheme="majorHAnsi" w:hAnsiTheme="majorHAnsi" w:cstheme="majorHAnsi"/>
        </w:rPr>
        <w:t>FirmReg</w:t>
      </w:r>
      <w:proofErr w:type="spellEnd"/>
      <w:r w:rsidRPr="00DE4CD2">
        <w:rPr>
          <w:rFonts w:asciiTheme="majorHAnsi" w:hAnsiTheme="majorHAnsi" w:cstheme="majorHAnsi"/>
        </w:rPr>
        <w:t xml:space="preserve"> includes: </w:t>
      </w:r>
    </w:p>
    <w:p w14:paraId="2E007283" w14:textId="77777777" w:rsidR="0063329C" w:rsidRPr="00DE4CD2" w:rsidRDefault="0063329C" w:rsidP="00666865">
      <w:pPr>
        <w:rPr>
          <w:rFonts w:asciiTheme="majorHAnsi" w:hAnsiTheme="majorHAnsi" w:cstheme="majorHAnsi"/>
        </w:rPr>
      </w:pPr>
    </w:p>
    <w:p w14:paraId="59B45B1A" w14:textId="77777777" w:rsidR="00666865" w:rsidRPr="00DE4CD2" w:rsidRDefault="00666865" w:rsidP="00666865">
      <w:pPr>
        <w:pStyle w:val="Listenabsatz"/>
        <w:numPr>
          <w:ilvl w:val="0"/>
          <w:numId w:val="19"/>
        </w:numPr>
        <w:jc w:val="both"/>
        <w:rPr>
          <w:rFonts w:asciiTheme="majorHAnsi" w:hAnsiTheme="majorHAnsi" w:cstheme="majorHAnsi"/>
        </w:rPr>
      </w:pPr>
      <w:r w:rsidRPr="00DE4CD2">
        <w:rPr>
          <w:rFonts w:asciiTheme="majorHAnsi" w:hAnsiTheme="majorHAnsi" w:cstheme="majorHAnsi"/>
        </w:rPr>
        <w:t xml:space="preserve">The complete and consolidated list of subsidiaries for all CIB firms. Rationale: the majority of CIB firms are Ultimate Owners (i.e., at the top of a corporate ownership structure). </w:t>
      </w:r>
    </w:p>
    <w:p w14:paraId="7717E8BB" w14:textId="77777777" w:rsidR="00666865" w:rsidRPr="00DE4CD2" w:rsidRDefault="00666865" w:rsidP="00666865">
      <w:pPr>
        <w:pStyle w:val="Listenabsatz"/>
        <w:numPr>
          <w:ilvl w:val="0"/>
          <w:numId w:val="19"/>
        </w:numPr>
        <w:jc w:val="both"/>
        <w:rPr>
          <w:rFonts w:asciiTheme="majorHAnsi" w:hAnsiTheme="majorHAnsi" w:cstheme="majorHAnsi"/>
        </w:rPr>
      </w:pPr>
      <w:r w:rsidRPr="00DE4CD2">
        <w:rPr>
          <w:rFonts w:asciiTheme="majorHAnsi" w:hAnsiTheme="majorHAnsi" w:cstheme="majorHAnsi"/>
        </w:rPr>
        <w:t xml:space="preserve">The subsidiaries of Cheetah firms only when the Cheetah firm is at the top of the corporate structure (Ultimate Owner). Rationale: not all Cheetah firms are Ultimate Owners, some of them are independent companies, other are subsidiaries of other firms. </w:t>
      </w:r>
    </w:p>
    <w:p w14:paraId="6B484A89" w14:textId="77777777" w:rsidR="00666865" w:rsidRPr="00DE4CD2" w:rsidRDefault="00666865" w:rsidP="00666865">
      <w:pPr>
        <w:pStyle w:val="Listenabsatz"/>
        <w:numPr>
          <w:ilvl w:val="0"/>
          <w:numId w:val="19"/>
        </w:numPr>
        <w:jc w:val="both"/>
        <w:rPr>
          <w:rFonts w:asciiTheme="majorHAnsi" w:hAnsiTheme="majorHAnsi" w:cstheme="majorHAnsi"/>
        </w:rPr>
      </w:pPr>
      <w:r w:rsidRPr="00DE4CD2">
        <w:rPr>
          <w:rFonts w:asciiTheme="majorHAnsi" w:hAnsiTheme="majorHAnsi" w:cstheme="majorHAnsi"/>
        </w:rPr>
        <w:t xml:space="preserve">No VICO subsidiaries are included in the backend of </w:t>
      </w:r>
      <w:proofErr w:type="spellStart"/>
      <w:r w:rsidRPr="00DE4CD2">
        <w:rPr>
          <w:rFonts w:asciiTheme="majorHAnsi" w:hAnsiTheme="majorHAnsi" w:cstheme="majorHAnsi"/>
        </w:rPr>
        <w:t>FirmReg</w:t>
      </w:r>
      <w:proofErr w:type="spellEnd"/>
      <w:r w:rsidRPr="00DE4CD2">
        <w:rPr>
          <w:rFonts w:asciiTheme="majorHAnsi" w:hAnsiTheme="majorHAnsi" w:cstheme="majorHAnsi"/>
        </w:rPr>
        <w:t>. Rationale: VICO firms are generally small entrepreneurial startups at the time of receipt of external financing.</w:t>
      </w:r>
    </w:p>
    <w:p w14:paraId="4F606CAB" w14:textId="77777777" w:rsidR="00666865" w:rsidRPr="00DE4CD2" w:rsidRDefault="00666865" w:rsidP="00666865">
      <w:pPr>
        <w:jc w:val="both"/>
        <w:rPr>
          <w:rFonts w:asciiTheme="majorHAnsi" w:hAnsiTheme="majorHAnsi" w:cstheme="majorHAnsi"/>
        </w:rPr>
      </w:pPr>
    </w:p>
    <w:p w14:paraId="4135C28C" w14:textId="77777777" w:rsidR="00666865" w:rsidRPr="00DE4CD2" w:rsidRDefault="00666865" w:rsidP="00666865">
      <w:pPr>
        <w:jc w:val="both"/>
        <w:rPr>
          <w:rFonts w:asciiTheme="majorHAnsi" w:hAnsiTheme="majorHAnsi" w:cstheme="majorHAnsi"/>
          <w:b/>
          <w:i/>
        </w:rPr>
      </w:pPr>
      <w:proofErr w:type="spellStart"/>
      <w:r w:rsidRPr="00DE4CD2">
        <w:rPr>
          <w:rFonts w:asciiTheme="majorHAnsi" w:hAnsiTheme="majorHAnsi" w:cstheme="majorHAnsi"/>
          <w:b/>
          <w:i/>
        </w:rPr>
        <w:t>FirmReg</w:t>
      </w:r>
      <w:proofErr w:type="spellEnd"/>
      <w:r w:rsidRPr="00DE4CD2">
        <w:rPr>
          <w:rFonts w:asciiTheme="majorHAnsi" w:hAnsiTheme="majorHAnsi" w:cstheme="majorHAnsi"/>
          <w:b/>
          <w:i/>
        </w:rPr>
        <w:t xml:space="preserve"> structure</w:t>
      </w:r>
    </w:p>
    <w:p w14:paraId="46755A50" w14:textId="77777777" w:rsidR="00666865" w:rsidRPr="00DE4CD2" w:rsidRDefault="00666865" w:rsidP="00666865">
      <w:pPr>
        <w:jc w:val="both"/>
        <w:rPr>
          <w:rFonts w:asciiTheme="majorHAnsi" w:hAnsiTheme="majorHAnsi" w:cstheme="majorHAnsi"/>
        </w:rPr>
      </w:pPr>
      <w:proofErr w:type="spellStart"/>
      <w:r w:rsidRPr="00DE4CD2">
        <w:rPr>
          <w:rFonts w:asciiTheme="majorHAnsi" w:hAnsiTheme="majorHAnsi" w:cstheme="majorHAnsi"/>
        </w:rPr>
        <w:t>FirmReg</w:t>
      </w:r>
      <w:proofErr w:type="spellEnd"/>
      <w:r w:rsidRPr="00DE4CD2">
        <w:rPr>
          <w:rFonts w:asciiTheme="majorHAnsi" w:hAnsiTheme="majorHAnsi" w:cstheme="majorHAnsi"/>
        </w:rPr>
        <w:t xml:space="preserve"> is based on five tables: sources, entities, locations, names, characteristics, and linkages:</w:t>
      </w:r>
    </w:p>
    <w:p w14:paraId="1F1686A8" w14:textId="77777777" w:rsidR="00666865" w:rsidRPr="00DE4CD2" w:rsidRDefault="00666865" w:rsidP="00666865">
      <w:pPr>
        <w:pStyle w:val="Listenabsatz"/>
        <w:numPr>
          <w:ilvl w:val="0"/>
          <w:numId w:val="20"/>
        </w:numPr>
        <w:jc w:val="both"/>
        <w:rPr>
          <w:rFonts w:asciiTheme="majorHAnsi" w:hAnsiTheme="majorHAnsi" w:cstheme="majorHAnsi"/>
        </w:rPr>
      </w:pPr>
      <w:r w:rsidRPr="00DE4CD2">
        <w:rPr>
          <w:rFonts w:asciiTheme="majorHAnsi" w:hAnsiTheme="majorHAnsi" w:cstheme="majorHAnsi"/>
        </w:rPr>
        <w:t xml:space="preserve">Sources: this table contains all the firms in </w:t>
      </w:r>
      <w:proofErr w:type="spellStart"/>
      <w:r w:rsidRPr="00DE4CD2">
        <w:rPr>
          <w:rFonts w:asciiTheme="majorHAnsi" w:hAnsiTheme="majorHAnsi" w:cstheme="majorHAnsi"/>
        </w:rPr>
        <w:t>FirmReg</w:t>
      </w:r>
      <w:proofErr w:type="spellEnd"/>
      <w:r w:rsidRPr="00DE4CD2">
        <w:rPr>
          <w:rFonts w:asciiTheme="majorHAnsi" w:hAnsiTheme="majorHAnsi" w:cstheme="majorHAnsi"/>
        </w:rPr>
        <w:t xml:space="preserve"> (frontend and backend), identifies them by using a unique ID, and links them to their original datasets.</w:t>
      </w:r>
    </w:p>
    <w:p w14:paraId="3E389B78" w14:textId="77777777" w:rsidR="00666865" w:rsidRPr="00DE4CD2" w:rsidRDefault="00666865" w:rsidP="00666865">
      <w:pPr>
        <w:pStyle w:val="Listenabsatz"/>
        <w:numPr>
          <w:ilvl w:val="0"/>
          <w:numId w:val="20"/>
        </w:numPr>
        <w:jc w:val="both"/>
        <w:rPr>
          <w:rFonts w:asciiTheme="majorHAnsi" w:hAnsiTheme="majorHAnsi" w:cstheme="majorHAnsi"/>
        </w:rPr>
      </w:pPr>
      <w:r w:rsidRPr="00DE4CD2">
        <w:rPr>
          <w:rFonts w:asciiTheme="majorHAnsi" w:hAnsiTheme="majorHAnsi" w:cstheme="majorHAnsi"/>
        </w:rPr>
        <w:t xml:space="preserve">Entities: this table includes all the firms in </w:t>
      </w:r>
      <w:proofErr w:type="spellStart"/>
      <w:r w:rsidRPr="00DE4CD2">
        <w:rPr>
          <w:rFonts w:asciiTheme="majorHAnsi" w:hAnsiTheme="majorHAnsi" w:cstheme="majorHAnsi"/>
        </w:rPr>
        <w:t>FirmReg</w:t>
      </w:r>
      <w:proofErr w:type="spellEnd"/>
      <w:r w:rsidRPr="00DE4CD2">
        <w:rPr>
          <w:rFonts w:asciiTheme="majorHAnsi" w:hAnsiTheme="majorHAnsi" w:cstheme="majorHAnsi"/>
        </w:rPr>
        <w:t xml:space="preserve"> (frontend and backend) and contains some of their main demographic details (name, country, foundation year and remarks, closure year and remarks, parent/subsidiary level)</w:t>
      </w:r>
    </w:p>
    <w:p w14:paraId="1CB12C87" w14:textId="77777777" w:rsidR="00666865" w:rsidRPr="00DE4CD2" w:rsidRDefault="00666865" w:rsidP="00666865">
      <w:pPr>
        <w:pStyle w:val="Listenabsatz"/>
        <w:numPr>
          <w:ilvl w:val="0"/>
          <w:numId w:val="20"/>
        </w:numPr>
        <w:jc w:val="both"/>
        <w:rPr>
          <w:rFonts w:asciiTheme="majorHAnsi" w:hAnsiTheme="majorHAnsi" w:cstheme="majorHAnsi"/>
        </w:rPr>
      </w:pPr>
      <w:r w:rsidRPr="00DE4CD2">
        <w:rPr>
          <w:rFonts w:asciiTheme="majorHAnsi" w:hAnsiTheme="majorHAnsi" w:cstheme="majorHAnsi"/>
        </w:rPr>
        <w:t>Locations: this table includes only the firms belonging to the frontend and contains detailed information about their location(s) (country, city, postcode, NUTS3). The table is designed to accommodate multiple locations for each firm, and to indicate which location is the current one.</w:t>
      </w:r>
    </w:p>
    <w:p w14:paraId="5405FA07" w14:textId="77777777" w:rsidR="00666865" w:rsidRPr="00DE4CD2" w:rsidRDefault="00666865" w:rsidP="00666865">
      <w:pPr>
        <w:pStyle w:val="Listenabsatz"/>
        <w:numPr>
          <w:ilvl w:val="0"/>
          <w:numId w:val="20"/>
        </w:numPr>
        <w:jc w:val="both"/>
        <w:rPr>
          <w:rFonts w:asciiTheme="majorHAnsi" w:hAnsiTheme="majorHAnsi" w:cstheme="majorHAnsi"/>
        </w:rPr>
      </w:pPr>
      <w:r w:rsidRPr="00DE4CD2">
        <w:rPr>
          <w:rFonts w:asciiTheme="majorHAnsi" w:hAnsiTheme="majorHAnsi" w:cstheme="majorHAnsi"/>
        </w:rPr>
        <w:t xml:space="preserve">Names: this table includes all the firms in </w:t>
      </w:r>
      <w:proofErr w:type="spellStart"/>
      <w:r w:rsidRPr="00DE4CD2">
        <w:rPr>
          <w:rFonts w:asciiTheme="majorHAnsi" w:hAnsiTheme="majorHAnsi" w:cstheme="majorHAnsi"/>
        </w:rPr>
        <w:t>FirmReg</w:t>
      </w:r>
      <w:proofErr w:type="spellEnd"/>
      <w:r w:rsidRPr="00DE4CD2">
        <w:rPr>
          <w:rFonts w:asciiTheme="majorHAnsi" w:hAnsiTheme="majorHAnsi" w:cstheme="majorHAnsi"/>
        </w:rPr>
        <w:t xml:space="preserve"> (frontend and backend) and contains information about firm name variants (e.g., previous names, additional names, acronyms). </w:t>
      </w:r>
    </w:p>
    <w:p w14:paraId="0455C739" w14:textId="77777777" w:rsidR="00666865" w:rsidRPr="00DE4CD2" w:rsidRDefault="00666865" w:rsidP="00666865">
      <w:pPr>
        <w:pStyle w:val="Listenabsatz"/>
        <w:numPr>
          <w:ilvl w:val="0"/>
          <w:numId w:val="20"/>
        </w:numPr>
        <w:jc w:val="both"/>
        <w:rPr>
          <w:rFonts w:asciiTheme="majorHAnsi" w:hAnsiTheme="majorHAnsi" w:cstheme="majorHAnsi"/>
        </w:rPr>
      </w:pPr>
      <w:r w:rsidRPr="00DE4CD2">
        <w:rPr>
          <w:rFonts w:asciiTheme="majorHAnsi" w:hAnsiTheme="majorHAnsi" w:cstheme="majorHAnsi"/>
        </w:rPr>
        <w:t xml:space="preserve">Linkages: this table includes all the available parent/subsidiary linkages between firms in </w:t>
      </w:r>
      <w:proofErr w:type="spellStart"/>
      <w:r w:rsidRPr="00DE4CD2">
        <w:rPr>
          <w:rFonts w:asciiTheme="majorHAnsi" w:hAnsiTheme="majorHAnsi" w:cstheme="majorHAnsi"/>
        </w:rPr>
        <w:t>FirmReg</w:t>
      </w:r>
      <w:proofErr w:type="spellEnd"/>
      <w:r w:rsidRPr="00DE4CD2">
        <w:rPr>
          <w:rFonts w:asciiTheme="majorHAnsi" w:hAnsiTheme="majorHAnsi" w:cstheme="majorHAnsi"/>
        </w:rPr>
        <w:t>.</w:t>
      </w:r>
    </w:p>
    <w:p w14:paraId="69C87FAA" w14:textId="77777777" w:rsidR="00666865" w:rsidRPr="00DE4CD2" w:rsidRDefault="00666865" w:rsidP="00666865">
      <w:pPr>
        <w:jc w:val="both"/>
        <w:rPr>
          <w:rFonts w:asciiTheme="majorHAnsi" w:hAnsiTheme="majorHAnsi" w:cstheme="majorHAnsi"/>
        </w:rPr>
      </w:pPr>
    </w:p>
    <w:p w14:paraId="4BD6922C" w14:textId="6AB80809" w:rsidR="00666865" w:rsidRPr="00DE4CD2" w:rsidRDefault="00666865" w:rsidP="00666865">
      <w:pPr>
        <w:pStyle w:val="Beschriftung"/>
        <w:keepNext/>
        <w:rPr>
          <w:rFonts w:asciiTheme="majorHAnsi" w:eastAsiaTheme="minorHAnsi" w:hAnsiTheme="majorHAnsi" w:cstheme="majorHAnsi"/>
          <w:color w:val="auto"/>
          <w:sz w:val="24"/>
          <w:szCs w:val="24"/>
          <w:lang w:val="en-US" w:eastAsia="en-US"/>
        </w:rPr>
      </w:pPr>
      <w:r w:rsidRPr="00DE4CD2">
        <w:rPr>
          <w:rFonts w:asciiTheme="majorHAnsi" w:eastAsiaTheme="minorHAnsi" w:hAnsiTheme="majorHAnsi" w:cstheme="majorHAnsi"/>
          <w:color w:val="auto"/>
          <w:sz w:val="24"/>
          <w:szCs w:val="24"/>
          <w:lang w:val="en-US" w:eastAsia="en-US"/>
        </w:rPr>
        <w:lastRenderedPageBreak/>
        <w:t xml:space="preserve">Figure </w:t>
      </w:r>
      <w:r w:rsidR="0063329C" w:rsidRPr="00DE4CD2">
        <w:rPr>
          <w:rFonts w:asciiTheme="majorHAnsi" w:eastAsiaTheme="minorHAnsi" w:hAnsiTheme="majorHAnsi" w:cstheme="majorHAnsi"/>
          <w:color w:val="auto"/>
          <w:sz w:val="24"/>
          <w:szCs w:val="24"/>
          <w:lang w:val="en-US" w:eastAsia="en-US"/>
        </w:rPr>
        <w:t>25</w:t>
      </w:r>
      <w:r w:rsidRPr="00DE4CD2">
        <w:rPr>
          <w:rFonts w:asciiTheme="majorHAnsi" w:eastAsiaTheme="minorHAnsi" w:hAnsiTheme="majorHAnsi" w:cstheme="majorHAnsi"/>
          <w:color w:val="auto"/>
          <w:sz w:val="24"/>
          <w:szCs w:val="24"/>
          <w:lang w:val="en-US" w:eastAsia="en-US"/>
        </w:rPr>
        <w:t xml:space="preserve"> </w:t>
      </w:r>
      <w:proofErr w:type="spellStart"/>
      <w:r w:rsidRPr="00DE4CD2">
        <w:rPr>
          <w:rFonts w:asciiTheme="majorHAnsi" w:eastAsiaTheme="minorHAnsi" w:hAnsiTheme="majorHAnsi" w:cstheme="majorHAnsi"/>
          <w:color w:val="auto"/>
          <w:sz w:val="24"/>
          <w:szCs w:val="24"/>
          <w:lang w:val="en-US" w:eastAsia="en-US"/>
        </w:rPr>
        <w:t>FirmReg</w:t>
      </w:r>
      <w:proofErr w:type="spellEnd"/>
      <w:r w:rsidRPr="00DE4CD2">
        <w:rPr>
          <w:rFonts w:asciiTheme="majorHAnsi" w:eastAsiaTheme="minorHAnsi" w:hAnsiTheme="majorHAnsi" w:cstheme="majorHAnsi"/>
          <w:color w:val="auto"/>
          <w:sz w:val="24"/>
          <w:szCs w:val="24"/>
          <w:lang w:val="en-US" w:eastAsia="en-US"/>
        </w:rPr>
        <w:t xml:space="preserve"> structure and tables</w:t>
      </w:r>
    </w:p>
    <w:p w14:paraId="01B26DAB" w14:textId="77777777" w:rsidR="00666865" w:rsidRPr="00DE4CD2" w:rsidRDefault="00666865" w:rsidP="00666865">
      <w:pPr>
        <w:rPr>
          <w:rFonts w:asciiTheme="majorHAnsi" w:hAnsiTheme="majorHAnsi" w:cstheme="majorHAnsi"/>
          <w:i/>
        </w:rPr>
      </w:pPr>
      <w:r w:rsidRPr="00DE4CD2">
        <w:rPr>
          <w:rFonts w:asciiTheme="majorHAnsi" w:hAnsiTheme="majorHAnsi" w:cstheme="majorHAnsi"/>
          <w:i/>
          <w:noProof/>
          <w:lang w:val="en-US" w:eastAsia="en-US"/>
        </w:rPr>
        <w:drawing>
          <wp:inline distT="0" distB="0" distL="0" distR="0" wp14:anchorId="7FD72BDA" wp14:editId="472A792B">
            <wp:extent cx="4057785" cy="234696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magine1.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072253" cy="2355328"/>
                    </a:xfrm>
                    <a:prstGeom prst="rect">
                      <a:avLst/>
                    </a:prstGeom>
                  </pic:spPr>
                </pic:pic>
              </a:graphicData>
            </a:graphic>
          </wp:inline>
        </w:drawing>
      </w:r>
    </w:p>
    <w:p w14:paraId="52F85F67" w14:textId="77777777" w:rsidR="00666865" w:rsidRPr="00DE4CD2" w:rsidRDefault="00666865" w:rsidP="00666865">
      <w:pPr>
        <w:jc w:val="both"/>
        <w:rPr>
          <w:rFonts w:asciiTheme="majorHAnsi" w:hAnsiTheme="majorHAnsi" w:cstheme="majorHAnsi"/>
          <w:b/>
          <w:bCs/>
          <w:i/>
        </w:rPr>
      </w:pPr>
      <w:proofErr w:type="spellStart"/>
      <w:r w:rsidRPr="00DE4CD2">
        <w:rPr>
          <w:rFonts w:asciiTheme="majorHAnsi" w:hAnsiTheme="majorHAnsi" w:cstheme="majorHAnsi"/>
          <w:b/>
          <w:bCs/>
          <w:i/>
        </w:rPr>
        <w:t>FirmReg</w:t>
      </w:r>
      <w:proofErr w:type="spellEnd"/>
      <w:r w:rsidRPr="00DE4CD2">
        <w:rPr>
          <w:rFonts w:asciiTheme="majorHAnsi" w:hAnsiTheme="majorHAnsi" w:cstheme="majorHAnsi"/>
          <w:b/>
          <w:bCs/>
          <w:i/>
        </w:rPr>
        <w:t xml:space="preserve"> content</w:t>
      </w:r>
    </w:p>
    <w:p w14:paraId="1D70C285" w14:textId="77777777" w:rsidR="00666865" w:rsidRPr="00DE4CD2" w:rsidRDefault="00666865" w:rsidP="00666865">
      <w:pPr>
        <w:jc w:val="both"/>
        <w:rPr>
          <w:rFonts w:asciiTheme="majorHAnsi" w:hAnsiTheme="majorHAnsi" w:cstheme="majorHAnsi"/>
        </w:rPr>
      </w:pPr>
      <w:proofErr w:type="spellStart"/>
      <w:r w:rsidRPr="00DE4CD2">
        <w:rPr>
          <w:rFonts w:asciiTheme="majorHAnsi" w:hAnsiTheme="majorHAnsi" w:cstheme="majorHAnsi"/>
        </w:rPr>
        <w:t>FirmReg</w:t>
      </w:r>
      <w:proofErr w:type="spellEnd"/>
      <w:r w:rsidRPr="00DE4CD2">
        <w:rPr>
          <w:rFonts w:asciiTheme="majorHAnsi" w:hAnsiTheme="majorHAnsi" w:cstheme="majorHAnsi"/>
        </w:rPr>
        <w:t xml:space="preserve"> includes 480,296 firms, 136,525 in the frontend and 343,771 in the backend. The majority of the firms in the frontend belong to the Cheetah dataset (95,406 firms), followed by VICO firms (38,673) and CIB firms (3,993). </w:t>
      </w:r>
    </w:p>
    <w:p w14:paraId="09E32277" w14:textId="77777777" w:rsidR="00666865" w:rsidRPr="00DE4CD2" w:rsidRDefault="00666865" w:rsidP="00666865">
      <w:pPr>
        <w:rPr>
          <w:rFonts w:asciiTheme="majorHAnsi" w:hAnsiTheme="majorHAnsi" w:cstheme="majorHAnsi"/>
        </w:rPr>
      </w:pPr>
    </w:p>
    <w:p w14:paraId="69ADE0E8" w14:textId="72218AA6" w:rsidR="00666865" w:rsidRPr="00DE4CD2" w:rsidRDefault="00666865" w:rsidP="00666865">
      <w:pPr>
        <w:pStyle w:val="Beschriftung"/>
        <w:keepNext/>
        <w:rPr>
          <w:rFonts w:asciiTheme="majorHAnsi" w:eastAsiaTheme="minorHAnsi" w:hAnsiTheme="majorHAnsi" w:cstheme="majorHAnsi"/>
          <w:color w:val="auto"/>
          <w:sz w:val="24"/>
          <w:szCs w:val="24"/>
          <w:lang w:val="en-US" w:eastAsia="en-US"/>
        </w:rPr>
      </w:pPr>
      <w:r w:rsidRPr="00DE4CD2">
        <w:rPr>
          <w:rFonts w:asciiTheme="majorHAnsi" w:eastAsiaTheme="minorHAnsi" w:hAnsiTheme="majorHAnsi" w:cstheme="majorHAnsi"/>
          <w:color w:val="auto"/>
          <w:sz w:val="24"/>
          <w:szCs w:val="24"/>
          <w:lang w:val="en-US" w:eastAsia="en-US"/>
        </w:rPr>
        <w:t xml:space="preserve">Table </w:t>
      </w:r>
      <w:r w:rsidR="00050782" w:rsidRPr="00DE4CD2">
        <w:rPr>
          <w:rFonts w:asciiTheme="majorHAnsi" w:eastAsiaTheme="minorHAnsi" w:hAnsiTheme="majorHAnsi" w:cstheme="majorHAnsi"/>
          <w:color w:val="auto"/>
          <w:sz w:val="24"/>
          <w:szCs w:val="24"/>
          <w:lang w:val="en-US" w:eastAsia="en-US"/>
        </w:rPr>
        <w:t>11</w:t>
      </w:r>
      <w:r w:rsidRPr="00DE4CD2">
        <w:rPr>
          <w:rFonts w:asciiTheme="majorHAnsi" w:eastAsiaTheme="minorHAnsi" w:hAnsiTheme="majorHAnsi" w:cstheme="majorHAnsi"/>
          <w:color w:val="auto"/>
          <w:sz w:val="24"/>
          <w:szCs w:val="24"/>
          <w:lang w:val="en-US" w:eastAsia="en-US"/>
        </w:rPr>
        <w:t xml:space="preserve">. Breakdown of </w:t>
      </w:r>
      <w:proofErr w:type="spellStart"/>
      <w:r w:rsidRPr="00DE4CD2">
        <w:rPr>
          <w:rFonts w:asciiTheme="majorHAnsi" w:eastAsiaTheme="minorHAnsi" w:hAnsiTheme="majorHAnsi" w:cstheme="majorHAnsi"/>
          <w:color w:val="auto"/>
          <w:sz w:val="24"/>
          <w:szCs w:val="24"/>
          <w:lang w:val="en-US" w:eastAsia="en-US"/>
        </w:rPr>
        <w:t>FirmReg</w:t>
      </w:r>
      <w:proofErr w:type="spellEnd"/>
      <w:r w:rsidRPr="00DE4CD2">
        <w:rPr>
          <w:rFonts w:asciiTheme="majorHAnsi" w:eastAsiaTheme="minorHAnsi" w:hAnsiTheme="majorHAnsi" w:cstheme="majorHAnsi"/>
          <w:color w:val="auto"/>
          <w:sz w:val="24"/>
          <w:szCs w:val="24"/>
          <w:lang w:val="en-US" w:eastAsia="en-US"/>
        </w:rPr>
        <w:t xml:space="preserve"> firms by dataset of origin </w:t>
      </w:r>
    </w:p>
    <w:tbl>
      <w:tblPr>
        <w:tblStyle w:val="Tabellenraster"/>
        <w:tblW w:w="0" w:type="auto"/>
        <w:tblLook w:val="04A0" w:firstRow="1" w:lastRow="0" w:firstColumn="1" w:lastColumn="0" w:noHBand="0" w:noVBand="1"/>
      </w:tblPr>
      <w:tblGrid>
        <w:gridCol w:w="1115"/>
        <w:gridCol w:w="2126"/>
        <w:gridCol w:w="1088"/>
        <w:gridCol w:w="1180"/>
        <w:gridCol w:w="1180"/>
        <w:gridCol w:w="1180"/>
      </w:tblGrid>
      <w:tr w:rsidR="00FC3526" w:rsidRPr="00DE4CD2" w14:paraId="40183837" w14:textId="77777777" w:rsidTr="00666865">
        <w:tc>
          <w:tcPr>
            <w:tcW w:w="3114" w:type="dxa"/>
            <w:gridSpan w:val="2"/>
            <w:vAlign w:val="center"/>
          </w:tcPr>
          <w:p w14:paraId="4E9A0E87" w14:textId="77777777" w:rsidR="00666865" w:rsidRPr="00DE4CD2" w:rsidRDefault="00666865" w:rsidP="002B1C23">
            <w:pPr>
              <w:rPr>
                <w:rFonts w:asciiTheme="majorHAnsi" w:hAnsiTheme="majorHAnsi" w:cstheme="majorHAnsi"/>
                <w:b/>
                <w:bCs/>
                <w:sz w:val="24"/>
                <w:szCs w:val="24"/>
              </w:rPr>
            </w:pPr>
            <w:r w:rsidRPr="00DE4CD2">
              <w:rPr>
                <w:rFonts w:asciiTheme="majorHAnsi" w:hAnsiTheme="majorHAnsi" w:cstheme="majorHAnsi"/>
                <w:b/>
                <w:bCs/>
                <w:sz w:val="24"/>
                <w:szCs w:val="24"/>
              </w:rPr>
              <w:t>Dataset</w:t>
            </w:r>
          </w:p>
        </w:tc>
        <w:tc>
          <w:tcPr>
            <w:tcW w:w="1088" w:type="dxa"/>
            <w:vAlign w:val="center"/>
          </w:tcPr>
          <w:p w14:paraId="072C409D" w14:textId="77777777" w:rsidR="00666865" w:rsidRPr="00DE4CD2" w:rsidRDefault="00666865" w:rsidP="002B1C23">
            <w:pPr>
              <w:jc w:val="center"/>
              <w:rPr>
                <w:rFonts w:asciiTheme="majorHAnsi" w:hAnsiTheme="majorHAnsi" w:cstheme="majorHAnsi"/>
                <w:b/>
                <w:bCs/>
                <w:sz w:val="24"/>
                <w:szCs w:val="24"/>
              </w:rPr>
            </w:pPr>
            <w:r w:rsidRPr="00DE4CD2">
              <w:rPr>
                <w:rFonts w:asciiTheme="majorHAnsi" w:hAnsiTheme="majorHAnsi" w:cstheme="majorHAnsi"/>
                <w:b/>
                <w:bCs/>
                <w:sz w:val="24"/>
                <w:szCs w:val="24"/>
              </w:rPr>
              <w:t>N</w:t>
            </w:r>
          </w:p>
        </w:tc>
        <w:tc>
          <w:tcPr>
            <w:tcW w:w="1180" w:type="dxa"/>
            <w:vAlign w:val="center"/>
          </w:tcPr>
          <w:p w14:paraId="47B78C45" w14:textId="77777777" w:rsidR="00666865" w:rsidRPr="00DE4CD2" w:rsidRDefault="00666865" w:rsidP="002B1C23">
            <w:pPr>
              <w:jc w:val="center"/>
              <w:rPr>
                <w:rFonts w:asciiTheme="majorHAnsi" w:hAnsiTheme="majorHAnsi" w:cstheme="majorHAnsi"/>
                <w:b/>
                <w:bCs/>
                <w:sz w:val="24"/>
                <w:szCs w:val="24"/>
              </w:rPr>
            </w:pPr>
            <w:r w:rsidRPr="00DE4CD2">
              <w:rPr>
                <w:rFonts w:asciiTheme="majorHAnsi" w:hAnsiTheme="majorHAnsi" w:cstheme="majorHAnsi"/>
                <w:b/>
                <w:bCs/>
                <w:sz w:val="24"/>
                <w:szCs w:val="24"/>
              </w:rPr>
              <w:t>%</w:t>
            </w:r>
          </w:p>
        </w:tc>
        <w:tc>
          <w:tcPr>
            <w:tcW w:w="1180" w:type="dxa"/>
            <w:vAlign w:val="center"/>
          </w:tcPr>
          <w:p w14:paraId="678D069C" w14:textId="77777777" w:rsidR="00666865" w:rsidRPr="00DE4CD2" w:rsidRDefault="00666865" w:rsidP="002B1C23">
            <w:pPr>
              <w:jc w:val="center"/>
              <w:rPr>
                <w:rFonts w:asciiTheme="majorHAnsi" w:hAnsiTheme="majorHAnsi" w:cstheme="majorHAnsi"/>
                <w:b/>
                <w:bCs/>
                <w:sz w:val="24"/>
                <w:szCs w:val="24"/>
              </w:rPr>
            </w:pPr>
            <w:r w:rsidRPr="00DE4CD2">
              <w:rPr>
                <w:rFonts w:asciiTheme="majorHAnsi" w:hAnsiTheme="majorHAnsi" w:cstheme="majorHAnsi"/>
                <w:b/>
                <w:bCs/>
                <w:sz w:val="24"/>
                <w:szCs w:val="24"/>
              </w:rPr>
              <w:t>N</w:t>
            </w:r>
          </w:p>
        </w:tc>
        <w:tc>
          <w:tcPr>
            <w:tcW w:w="1180" w:type="dxa"/>
            <w:vAlign w:val="center"/>
          </w:tcPr>
          <w:p w14:paraId="28437CD1" w14:textId="77777777" w:rsidR="00666865" w:rsidRPr="00DE4CD2" w:rsidRDefault="00666865" w:rsidP="002B1C23">
            <w:pPr>
              <w:jc w:val="center"/>
              <w:rPr>
                <w:rFonts w:asciiTheme="majorHAnsi" w:hAnsiTheme="majorHAnsi" w:cstheme="majorHAnsi"/>
                <w:b/>
                <w:bCs/>
                <w:sz w:val="24"/>
                <w:szCs w:val="24"/>
              </w:rPr>
            </w:pPr>
            <w:r w:rsidRPr="00DE4CD2">
              <w:rPr>
                <w:rFonts w:asciiTheme="majorHAnsi" w:hAnsiTheme="majorHAnsi" w:cstheme="majorHAnsi"/>
                <w:b/>
                <w:bCs/>
                <w:sz w:val="24"/>
                <w:szCs w:val="24"/>
              </w:rPr>
              <w:t>%</w:t>
            </w:r>
          </w:p>
        </w:tc>
      </w:tr>
      <w:tr w:rsidR="00FC3526" w:rsidRPr="00DE4CD2" w14:paraId="24212165" w14:textId="77777777" w:rsidTr="00666865">
        <w:tc>
          <w:tcPr>
            <w:tcW w:w="988" w:type="dxa"/>
            <w:vMerge w:val="restart"/>
          </w:tcPr>
          <w:p w14:paraId="7C316B18" w14:textId="77777777" w:rsidR="00666865" w:rsidRPr="00DE4CD2" w:rsidRDefault="00666865" w:rsidP="002B1C23">
            <w:pPr>
              <w:rPr>
                <w:rFonts w:asciiTheme="majorHAnsi" w:hAnsiTheme="majorHAnsi" w:cstheme="majorHAnsi"/>
                <w:sz w:val="24"/>
                <w:szCs w:val="24"/>
              </w:rPr>
            </w:pPr>
            <w:r w:rsidRPr="00DE4CD2">
              <w:rPr>
                <w:rFonts w:asciiTheme="majorHAnsi" w:hAnsiTheme="majorHAnsi" w:cstheme="majorHAnsi"/>
                <w:sz w:val="24"/>
                <w:szCs w:val="24"/>
              </w:rPr>
              <w:t>Frontend</w:t>
            </w:r>
          </w:p>
        </w:tc>
        <w:tc>
          <w:tcPr>
            <w:tcW w:w="2126" w:type="dxa"/>
            <w:vAlign w:val="center"/>
          </w:tcPr>
          <w:p w14:paraId="0EE6851D" w14:textId="77777777" w:rsidR="00666865" w:rsidRPr="00DE4CD2" w:rsidRDefault="00666865" w:rsidP="002B1C23">
            <w:pPr>
              <w:rPr>
                <w:rFonts w:asciiTheme="majorHAnsi" w:hAnsiTheme="majorHAnsi" w:cstheme="majorHAnsi"/>
                <w:sz w:val="24"/>
                <w:szCs w:val="24"/>
              </w:rPr>
            </w:pPr>
            <w:r w:rsidRPr="00DE4CD2">
              <w:rPr>
                <w:rFonts w:asciiTheme="majorHAnsi" w:hAnsiTheme="majorHAnsi" w:cstheme="majorHAnsi"/>
                <w:sz w:val="24"/>
                <w:szCs w:val="24"/>
              </w:rPr>
              <w:t>CIB</w:t>
            </w:r>
          </w:p>
        </w:tc>
        <w:tc>
          <w:tcPr>
            <w:tcW w:w="1088" w:type="dxa"/>
            <w:vAlign w:val="center"/>
          </w:tcPr>
          <w:p w14:paraId="3C8D53B8" w14:textId="77777777" w:rsidR="00666865" w:rsidRPr="00DE4CD2" w:rsidRDefault="00666865" w:rsidP="002B1C23">
            <w:pPr>
              <w:jc w:val="right"/>
              <w:rPr>
                <w:rFonts w:asciiTheme="majorHAnsi" w:hAnsiTheme="majorHAnsi" w:cstheme="majorHAnsi"/>
                <w:sz w:val="24"/>
                <w:szCs w:val="24"/>
              </w:rPr>
            </w:pPr>
            <w:r w:rsidRPr="00DE4CD2">
              <w:rPr>
                <w:rFonts w:asciiTheme="majorHAnsi" w:hAnsiTheme="majorHAnsi" w:cstheme="majorHAnsi"/>
                <w:sz w:val="24"/>
                <w:szCs w:val="24"/>
              </w:rPr>
              <w:t>3,993</w:t>
            </w:r>
          </w:p>
        </w:tc>
        <w:tc>
          <w:tcPr>
            <w:tcW w:w="1180" w:type="dxa"/>
          </w:tcPr>
          <w:p w14:paraId="14D19DCD" w14:textId="77777777" w:rsidR="00666865" w:rsidRPr="00DE4CD2" w:rsidRDefault="00666865" w:rsidP="002B1C23">
            <w:pPr>
              <w:jc w:val="right"/>
              <w:rPr>
                <w:rFonts w:asciiTheme="majorHAnsi" w:hAnsiTheme="majorHAnsi" w:cstheme="majorHAnsi"/>
                <w:sz w:val="24"/>
                <w:szCs w:val="24"/>
              </w:rPr>
            </w:pPr>
            <w:r w:rsidRPr="00DE4CD2">
              <w:rPr>
                <w:rFonts w:asciiTheme="majorHAnsi" w:hAnsiTheme="majorHAnsi" w:cstheme="majorHAnsi"/>
                <w:sz w:val="24"/>
                <w:szCs w:val="24"/>
              </w:rPr>
              <w:t>0.8%</w:t>
            </w:r>
          </w:p>
        </w:tc>
        <w:tc>
          <w:tcPr>
            <w:tcW w:w="1180" w:type="dxa"/>
            <w:vMerge w:val="restart"/>
            <w:vAlign w:val="center"/>
          </w:tcPr>
          <w:p w14:paraId="489F80C9" w14:textId="77777777" w:rsidR="00666865" w:rsidRPr="00DE4CD2" w:rsidRDefault="00666865" w:rsidP="002B1C23">
            <w:pPr>
              <w:jc w:val="right"/>
              <w:rPr>
                <w:rFonts w:asciiTheme="majorHAnsi" w:hAnsiTheme="majorHAnsi" w:cstheme="majorHAnsi"/>
                <w:sz w:val="24"/>
                <w:szCs w:val="24"/>
              </w:rPr>
            </w:pPr>
            <w:r w:rsidRPr="00DE4CD2">
              <w:rPr>
                <w:rFonts w:asciiTheme="majorHAnsi" w:hAnsiTheme="majorHAnsi" w:cstheme="majorHAnsi"/>
                <w:sz w:val="24"/>
                <w:szCs w:val="24"/>
              </w:rPr>
              <w:t>136,525</w:t>
            </w:r>
          </w:p>
        </w:tc>
        <w:tc>
          <w:tcPr>
            <w:tcW w:w="1180" w:type="dxa"/>
            <w:vMerge w:val="restart"/>
            <w:vAlign w:val="center"/>
          </w:tcPr>
          <w:p w14:paraId="2A1C8B84" w14:textId="77777777" w:rsidR="00666865" w:rsidRPr="00DE4CD2" w:rsidRDefault="00666865" w:rsidP="002B1C23">
            <w:pPr>
              <w:jc w:val="right"/>
              <w:rPr>
                <w:rFonts w:asciiTheme="majorHAnsi" w:hAnsiTheme="majorHAnsi" w:cstheme="majorHAnsi"/>
                <w:sz w:val="24"/>
                <w:szCs w:val="24"/>
              </w:rPr>
            </w:pPr>
            <w:r w:rsidRPr="00DE4CD2">
              <w:rPr>
                <w:rFonts w:asciiTheme="majorHAnsi" w:hAnsiTheme="majorHAnsi" w:cstheme="majorHAnsi"/>
                <w:sz w:val="24"/>
                <w:szCs w:val="24"/>
              </w:rPr>
              <w:t>28.4%</w:t>
            </w:r>
          </w:p>
        </w:tc>
      </w:tr>
      <w:tr w:rsidR="00FC3526" w:rsidRPr="00DE4CD2" w14:paraId="4AC3EA71" w14:textId="77777777" w:rsidTr="00666865">
        <w:tc>
          <w:tcPr>
            <w:tcW w:w="988" w:type="dxa"/>
            <w:vMerge/>
          </w:tcPr>
          <w:p w14:paraId="260ADC63" w14:textId="77777777" w:rsidR="00666865" w:rsidRPr="00DE4CD2" w:rsidRDefault="00666865" w:rsidP="002B1C23">
            <w:pPr>
              <w:rPr>
                <w:rFonts w:asciiTheme="majorHAnsi" w:hAnsiTheme="majorHAnsi" w:cstheme="majorHAnsi"/>
                <w:sz w:val="24"/>
                <w:szCs w:val="24"/>
              </w:rPr>
            </w:pPr>
          </w:p>
        </w:tc>
        <w:tc>
          <w:tcPr>
            <w:tcW w:w="2126" w:type="dxa"/>
            <w:vAlign w:val="center"/>
          </w:tcPr>
          <w:p w14:paraId="09B57A64" w14:textId="77777777" w:rsidR="00666865" w:rsidRPr="00DE4CD2" w:rsidRDefault="00666865" w:rsidP="002B1C23">
            <w:pPr>
              <w:rPr>
                <w:rFonts w:asciiTheme="majorHAnsi" w:hAnsiTheme="majorHAnsi" w:cstheme="majorHAnsi"/>
                <w:sz w:val="24"/>
                <w:szCs w:val="24"/>
              </w:rPr>
            </w:pPr>
            <w:r w:rsidRPr="00DE4CD2">
              <w:rPr>
                <w:rFonts w:asciiTheme="majorHAnsi" w:hAnsiTheme="majorHAnsi" w:cstheme="majorHAnsi"/>
                <w:sz w:val="24"/>
                <w:szCs w:val="24"/>
              </w:rPr>
              <w:t>Cheetah</w:t>
            </w:r>
          </w:p>
        </w:tc>
        <w:tc>
          <w:tcPr>
            <w:tcW w:w="1088" w:type="dxa"/>
            <w:vAlign w:val="center"/>
          </w:tcPr>
          <w:p w14:paraId="1224F931" w14:textId="77777777" w:rsidR="00666865" w:rsidRPr="00DE4CD2" w:rsidRDefault="00666865" w:rsidP="002B1C23">
            <w:pPr>
              <w:jc w:val="right"/>
              <w:rPr>
                <w:rFonts w:asciiTheme="majorHAnsi" w:hAnsiTheme="majorHAnsi" w:cstheme="majorHAnsi"/>
                <w:sz w:val="24"/>
                <w:szCs w:val="24"/>
              </w:rPr>
            </w:pPr>
            <w:r w:rsidRPr="00DE4CD2">
              <w:rPr>
                <w:rFonts w:asciiTheme="majorHAnsi" w:hAnsiTheme="majorHAnsi" w:cstheme="majorHAnsi"/>
                <w:sz w:val="24"/>
                <w:szCs w:val="24"/>
              </w:rPr>
              <w:t>95,406</w:t>
            </w:r>
          </w:p>
        </w:tc>
        <w:tc>
          <w:tcPr>
            <w:tcW w:w="1180" w:type="dxa"/>
          </w:tcPr>
          <w:p w14:paraId="2F787C62" w14:textId="77777777" w:rsidR="00666865" w:rsidRPr="00DE4CD2" w:rsidRDefault="00666865" w:rsidP="002B1C23">
            <w:pPr>
              <w:jc w:val="right"/>
              <w:rPr>
                <w:rFonts w:asciiTheme="majorHAnsi" w:hAnsiTheme="majorHAnsi" w:cstheme="majorHAnsi"/>
                <w:sz w:val="24"/>
                <w:szCs w:val="24"/>
              </w:rPr>
            </w:pPr>
            <w:r w:rsidRPr="00DE4CD2">
              <w:rPr>
                <w:rFonts w:asciiTheme="majorHAnsi" w:hAnsiTheme="majorHAnsi" w:cstheme="majorHAnsi"/>
                <w:sz w:val="24"/>
                <w:szCs w:val="24"/>
              </w:rPr>
              <w:t>19.2%</w:t>
            </w:r>
          </w:p>
        </w:tc>
        <w:tc>
          <w:tcPr>
            <w:tcW w:w="1180" w:type="dxa"/>
            <w:vMerge/>
            <w:vAlign w:val="center"/>
          </w:tcPr>
          <w:p w14:paraId="3C487C31" w14:textId="77777777" w:rsidR="00666865" w:rsidRPr="00DE4CD2" w:rsidRDefault="00666865" w:rsidP="002B1C23">
            <w:pPr>
              <w:jc w:val="right"/>
              <w:rPr>
                <w:rFonts w:asciiTheme="majorHAnsi" w:hAnsiTheme="majorHAnsi" w:cstheme="majorHAnsi"/>
                <w:sz w:val="24"/>
                <w:szCs w:val="24"/>
              </w:rPr>
            </w:pPr>
          </w:p>
        </w:tc>
        <w:tc>
          <w:tcPr>
            <w:tcW w:w="1180" w:type="dxa"/>
            <w:vMerge/>
            <w:vAlign w:val="center"/>
          </w:tcPr>
          <w:p w14:paraId="43D12D4E" w14:textId="77777777" w:rsidR="00666865" w:rsidRPr="00DE4CD2" w:rsidRDefault="00666865" w:rsidP="002B1C23">
            <w:pPr>
              <w:jc w:val="right"/>
              <w:rPr>
                <w:rFonts w:asciiTheme="majorHAnsi" w:hAnsiTheme="majorHAnsi" w:cstheme="majorHAnsi"/>
                <w:sz w:val="24"/>
                <w:szCs w:val="24"/>
              </w:rPr>
            </w:pPr>
          </w:p>
        </w:tc>
      </w:tr>
      <w:tr w:rsidR="00FC3526" w:rsidRPr="00DE4CD2" w14:paraId="2B8D38A4" w14:textId="77777777" w:rsidTr="00666865">
        <w:tc>
          <w:tcPr>
            <w:tcW w:w="988" w:type="dxa"/>
            <w:vMerge/>
          </w:tcPr>
          <w:p w14:paraId="5905DA79" w14:textId="77777777" w:rsidR="00666865" w:rsidRPr="00DE4CD2" w:rsidRDefault="00666865" w:rsidP="002B1C23">
            <w:pPr>
              <w:rPr>
                <w:rFonts w:asciiTheme="majorHAnsi" w:hAnsiTheme="majorHAnsi" w:cstheme="majorHAnsi"/>
                <w:sz w:val="24"/>
                <w:szCs w:val="24"/>
              </w:rPr>
            </w:pPr>
          </w:p>
        </w:tc>
        <w:tc>
          <w:tcPr>
            <w:tcW w:w="2126" w:type="dxa"/>
            <w:vAlign w:val="center"/>
          </w:tcPr>
          <w:p w14:paraId="509B4399" w14:textId="77777777" w:rsidR="00666865" w:rsidRPr="00DE4CD2" w:rsidRDefault="00666865" w:rsidP="002B1C23">
            <w:pPr>
              <w:rPr>
                <w:rFonts w:asciiTheme="majorHAnsi" w:hAnsiTheme="majorHAnsi" w:cstheme="majorHAnsi"/>
                <w:sz w:val="24"/>
                <w:szCs w:val="24"/>
              </w:rPr>
            </w:pPr>
            <w:r w:rsidRPr="00DE4CD2">
              <w:rPr>
                <w:rFonts w:asciiTheme="majorHAnsi" w:hAnsiTheme="majorHAnsi" w:cstheme="majorHAnsi"/>
                <w:sz w:val="24"/>
                <w:szCs w:val="24"/>
              </w:rPr>
              <w:t>VICO</w:t>
            </w:r>
          </w:p>
        </w:tc>
        <w:tc>
          <w:tcPr>
            <w:tcW w:w="1088" w:type="dxa"/>
            <w:vAlign w:val="center"/>
          </w:tcPr>
          <w:p w14:paraId="6F7D3725" w14:textId="77777777" w:rsidR="00666865" w:rsidRPr="00DE4CD2" w:rsidRDefault="00666865" w:rsidP="002B1C23">
            <w:pPr>
              <w:jc w:val="right"/>
              <w:rPr>
                <w:rFonts w:asciiTheme="majorHAnsi" w:hAnsiTheme="majorHAnsi" w:cstheme="majorHAnsi"/>
                <w:sz w:val="24"/>
                <w:szCs w:val="24"/>
              </w:rPr>
            </w:pPr>
            <w:r w:rsidRPr="00DE4CD2">
              <w:rPr>
                <w:rFonts w:asciiTheme="majorHAnsi" w:hAnsiTheme="majorHAnsi" w:cstheme="majorHAnsi"/>
                <w:sz w:val="24"/>
                <w:szCs w:val="24"/>
              </w:rPr>
              <w:t>38,673</w:t>
            </w:r>
          </w:p>
        </w:tc>
        <w:tc>
          <w:tcPr>
            <w:tcW w:w="1180" w:type="dxa"/>
          </w:tcPr>
          <w:p w14:paraId="31B97C3B" w14:textId="77777777" w:rsidR="00666865" w:rsidRPr="00DE4CD2" w:rsidRDefault="00666865" w:rsidP="002B1C23">
            <w:pPr>
              <w:jc w:val="right"/>
              <w:rPr>
                <w:rFonts w:asciiTheme="majorHAnsi" w:hAnsiTheme="majorHAnsi" w:cstheme="majorHAnsi"/>
                <w:sz w:val="24"/>
                <w:szCs w:val="24"/>
              </w:rPr>
            </w:pPr>
            <w:r w:rsidRPr="00DE4CD2">
              <w:rPr>
                <w:rFonts w:asciiTheme="majorHAnsi" w:hAnsiTheme="majorHAnsi" w:cstheme="majorHAnsi"/>
                <w:sz w:val="24"/>
                <w:szCs w:val="24"/>
              </w:rPr>
              <w:t>7.8%</w:t>
            </w:r>
          </w:p>
        </w:tc>
        <w:tc>
          <w:tcPr>
            <w:tcW w:w="1180" w:type="dxa"/>
            <w:vMerge/>
            <w:vAlign w:val="center"/>
          </w:tcPr>
          <w:p w14:paraId="33DFAB97" w14:textId="77777777" w:rsidR="00666865" w:rsidRPr="00DE4CD2" w:rsidRDefault="00666865" w:rsidP="002B1C23">
            <w:pPr>
              <w:jc w:val="right"/>
              <w:rPr>
                <w:rFonts w:asciiTheme="majorHAnsi" w:hAnsiTheme="majorHAnsi" w:cstheme="majorHAnsi"/>
                <w:sz w:val="24"/>
                <w:szCs w:val="24"/>
              </w:rPr>
            </w:pPr>
          </w:p>
        </w:tc>
        <w:tc>
          <w:tcPr>
            <w:tcW w:w="1180" w:type="dxa"/>
            <w:vMerge/>
            <w:vAlign w:val="center"/>
          </w:tcPr>
          <w:p w14:paraId="26C696A0" w14:textId="77777777" w:rsidR="00666865" w:rsidRPr="00DE4CD2" w:rsidRDefault="00666865" w:rsidP="002B1C23">
            <w:pPr>
              <w:jc w:val="right"/>
              <w:rPr>
                <w:rFonts w:asciiTheme="majorHAnsi" w:hAnsiTheme="majorHAnsi" w:cstheme="majorHAnsi"/>
                <w:sz w:val="24"/>
                <w:szCs w:val="24"/>
              </w:rPr>
            </w:pPr>
          </w:p>
        </w:tc>
      </w:tr>
      <w:tr w:rsidR="00FC3526" w:rsidRPr="00DE4CD2" w14:paraId="78A0CFA8" w14:textId="77777777" w:rsidTr="00666865">
        <w:tc>
          <w:tcPr>
            <w:tcW w:w="988" w:type="dxa"/>
            <w:vMerge w:val="restart"/>
          </w:tcPr>
          <w:p w14:paraId="63C2AE1D" w14:textId="77777777" w:rsidR="00666865" w:rsidRPr="00DE4CD2" w:rsidRDefault="00666865" w:rsidP="002B1C23">
            <w:pPr>
              <w:rPr>
                <w:rFonts w:asciiTheme="majorHAnsi" w:hAnsiTheme="majorHAnsi" w:cstheme="majorHAnsi"/>
                <w:sz w:val="24"/>
                <w:szCs w:val="24"/>
              </w:rPr>
            </w:pPr>
            <w:r w:rsidRPr="00DE4CD2">
              <w:rPr>
                <w:rFonts w:asciiTheme="majorHAnsi" w:hAnsiTheme="majorHAnsi" w:cstheme="majorHAnsi"/>
                <w:sz w:val="24"/>
                <w:szCs w:val="24"/>
              </w:rPr>
              <w:t>Backend</w:t>
            </w:r>
          </w:p>
        </w:tc>
        <w:tc>
          <w:tcPr>
            <w:tcW w:w="2126" w:type="dxa"/>
            <w:vAlign w:val="center"/>
          </w:tcPr>
          <w:p w14:paraId="3E9E73C4" w14:textId="77777777" w:rsidR="00666865" w:rsidRPr="00DE4CD2" w:rsidRDefault="00666865" w:rsidP="002B1C23">
            <w:pPr>
              <w:rPr>
                <w:rFonts w:asciiTheme="majorHAnsi" w:hAnsiTheme="majorHAnsi" w:cstheme="majorHAnsi"/>
                <w:sz w:val="24"/>
                <w:szCs w:val="24"/>
              </w:rPr>
            </w:pPr>
            <w:r w:rsidRPr="00DE4CD2">
              <w:rPr>
                <w:rFonts w:asciiTheme="majorHAnsi" w:hAnsiTheme="majorHAnsi" w:cstheme="majorHAnsi"/>
                <w:sz w:val="24"/>
                <w:szCs w:val="24"/>
              </w:rPr>
              <w:t>CIB subsidiaries</w:t>
            </w:r>
          </w:p>
        </w:tc>
        <w:tc>
          <w:tcPr>
            <w:tcW w:w="1088" w:type="dxa"/>
            <w:vAlign w:val="center"/>
          </w:tcPr>
          <w:p w14:paraId="5FCBE8E3" w14:textId="77777777" w:rsidR="00666865" w:rsidRPr="00DE4CD2" w:rsidRDefault="00666865" w:rsidP="002B1C23">
            <w:pPr>
              <w:jc w:val="right"/>
              <w:rPr>
                <w:rFonts w:asciiTheme="majorHAnsi" w:hAnsiTheme="majorHAnsi" w:cstheme="majorHAnsi"/>
                <w:sz w:val="24"/>
                <w:szCs w:val="24"/>
              </w:rPr>
            </w:pPr>
            <w:r w:rsidRPr="00DE4CD2">
              <w:rPr>
                <w:rFonts w:asciiTheme="majorHAnsi" w:hAnsiTheme="majorHAnsi" w:cstheme="majorHAnsi"/>
                <w:sz w:val="24"/>
                <w:szCs w:val="24"/>
              </w:rPr>
              <w:t>277,698</w:t>
            </w:r>
          </w:p>
        </w:tc>
        <w:tc>
          <w:tcPr>
            <w:tcW w:w="1180" w:type="dxa"/>
          </w:tcPr>
          <w:p w14:paraId="2CB23FA2" w14:textId="77777777" w:rsidR="00666865" w:rsidRPr="00DE4CD2" w:rsidRDefault="00666865" w:rsidP="002B1C23">
            <w:pPr>
              <w:jc w:val="right"/>
              <w:rPr>
                <w:rFonts w:asciiTheme="majorHAnsi" w:hAnsiTheme="majorHAnsi" w:cstheme="majorHAnsi"/>
                <w:sz w:val="24"/>
                <w:szCs w:val="24"/>
              </w:rPr>
            </w:pPr>
            <w:r w:rsidRPr="00DE4CD2">
              <w:rPr>
                <w:rFonts w:asciiTheme="majorHAnsi" w:hAnsiTheme="majorHAnsi" w:cstheme="majorHAnsi"/>
                <w:sz w:val="24"/>
                <w:szCs w:val="24"/>
              </w:rPr>
              <w:t>55.7%</w:t>
            </w:r>
          </w:p>
        </w:tc>
        <w:tc>
          <w:tcPr>
            <w:tcW w:w="1180" w:type="dxa"/>
            <w:vMerge w:val="restart"/>
            <w:vAlign w:val="center"/>
          </w:tcPr>
          <w:p w14:paraId="4D3FE44C" w14:textId="77777777" w:rsidR="00666865" w:rsidRPr="00DE4CD2" w:rsidRDefault="00666865" w:rsidP="002B1C23">
            <w:pPr>
              <w:jc w:val="right"/>
              <w:rPr>
                <w:rFonts w:asciiTheme="majorHAnsi" w:hAnsiTheme="majorHAnsi" w:cstheme="majorHAnsi"/>
                <w:sz w:val="24"/>
                <w:szCs w:val="24"/>
              </w:rPr>
            </w:pPr>
            <w:r w:rsidRPr="00DE4CD2">
              <w:rPr>
                <w:rFonts w:asciiTheme="majorHAnsi" w:hAnsiTheme="majorHAnsi" w:cstheme="majorHAnsi"/>
                <w:sz w:val="24"/>
                <w:szCs w:val="24"/>
              </w:rPr>
              <w:t>343,771</w:t>
            </w:r>
          </w:p>
        </w:tc>
        <w:tc>
          <w:tcPr>
            <w:tcW w:w="1180" w:type="dxa"/>
            <w:vMerge w:val="restart"/>
            <w:vAlign w:val="center"/>
          </w:tcPr>
          <w:p w14:paraId="27260529" w14:textId="77777777" w:rsidR="00666865" w:rsidRPr="00DE4CD2" w:rsidRDefault="00666865" w:rsidP="002B1C23">
            <w:pPr>
              <w:jc w:val="right"/>
              <w:rPr>
                <w:rFonts w:asciiTheme="majorHAnsi" w:hAnsiTheme="majorHAnsi" w:cstheme="majorHAnsi"/>
                <w:sz w:val="24"/>
                <w:szCs w:val="24"/>
              </w:rPr>
            </w:pPr>
            <w:r w:rsidRPr="00DE4CD2">
              <w:rPr>
                <w:rFonts w:asciiTheme="majorHAnsi" w:hAnsiTheme="majorHAnsi" w:cstheme="majorHAnsi"/>
                <w:sz w:val="24"/>
                <w:szCs w:val="24"/>
              </w:rPr>
              <w:t>71.6%</w:t>
            </w:r>
          </w:p>
        </w:tc>
      </w:tr>
      <w:tr w:rsidR="00FC3526" w:rsidRPr="00DE4CD2" w14:paraId="3EA81B15" w14:textId="77777777" w:rsidTr="00666865">
        <w:tc>
          <w:tcPr>
            <w:tcW w:w="988" w:type="dxa"/>
            <w:vMerge/>
          </w:tcPr>
          <w:p w14:paraId="4C4B5119" w14:textId="77777777" w:rsidR="00666865" w:rsidRPr="00DE4CD2" w:rsidRDefault="00666865" w:rsidP="002B1C23">
            <w:pPr>
              <w:rPr>
                <w:rFonts w:asciiTheme="majorHAnsi" w:hAnsiTheme="majorHAnsi" w:cstheme="majorHAnsi"/>
                <w:sz w:val="24"/>
                <w:szCs w:val="24"/>
              </w:rPr>
            </w:pPr>
          </w:p>
        </w:tc>
        <w:tc>
          <w:tcPr>
            <w:tcW w:w="2126" w:type="dxa"/>
            <w:vAlign w:val="center"/>
          </w:tcPr>
          <w:p w14:paraId="007309AC" w14:textId="77777777" w:rsidR="00666865" w:rsidRPr="00DE4CD2" w:rsidRDefault="00666865" w:rsidP="002B1C23">
            <w:pPr>
              <w:rPr>
                <w:rFonts w:asciiTheme="majorHAnsi" w:hAnsiTheme="majorHAnsi" w:cstheme="majorHAnsi"/>
                <w:sz w:val="24"/>
                <w:szCs w:val="24"/>
              </w:rPr>
            </w:pPr>
            <w:r w:rsidRPr="00DE4CD2">
              <w:rPr>
                <w:rFonts w:asciiTheme="majorHAnsi" w:hAnsiTheme="majorHAnsi" w:cstheme="majorHAnsi"/>
                <w:sz w:val="24"/>
                <w:szCs w:val="24"/>
              </w:rPr>
              <w:t>Cheetah subsidiaries</w:t>
            </w:r>
          </w:p>
        </w:tc>
        <w:tc>
          <w:tcPr>
            <w:tcW w:w="1088" w:type="dxa"/>
            <w:vAlign w:val="center"/>
          </w:tcPr>
          <w:p w14:paraId="5846B9F0" w14:textId="77777777" w:rsidR="00666865" w:rsidRPr="00DE4CD2" w:rsidRDefault="00666865" w:rsidP="002B1C23">
            <w:pPr>
              <w:jc w:val="right"/>
              <w:rPr>
                <w:rFonts w:asciiTheme="majorHAnsi" w:hAnsiTheme="majorHAnsi" w:cstheme="majorHAnsi"/>
                <w:sz w:val="24"/>
                <w:szCs w:val="24"/>
              </w:rPr>
            </w:pPr>
            <w:r w:rsidRPr="00DE4CD2">
              <w:rPr>
                <w:rFonts w:asciiTheme="majorHAnsi" w:hAnsiTheme="majorHAnsi" w:cstheme="majorHAnsi"/>
                <w:sz w:val="24"/>
                <w:szCs w:val="24"/>
              </w:rPr>
              <w:t>82,343</w:t>
            </w:r>
          </w:p>
        </w:tc>
        <w:tc>
          <w:tcPr>
            <w:tcW w:w="1180" w:type="dxa"/>
            <w:vAlign w:val="center"/>
          </w:tcPr>
          <w:p w14:paraId="2C581DB5" w14:textId="77777777" w:rsidR="00666865" w:rsidRPr="00DE4CD2" w:rsidRDefault="00666865" w:rsidP="002B1C23">
            <w:pPr>
              <w:jc w:val="right"/>
              <w:rPr>
                <w:rFonts w:asciiTheme="majorHAnsi" w:hAnsiTheme="majorHAnsi" w:cstheme="majorHAnsi"/>
                <w:sz w:val="24"/>
                <w:szCs w:val="24"/>
              </w:rPr>
            </w:pPr>
            <w:r w:rsidRPr="00DE4CD2">
              <w:rPr>
                <w:rFonts w:asciiTheme="majorHAnsi" w:hAnsiTheme="majorHAnsi" w:cstheme="majorHAnsi"/>
                <w:sz w:val="24"/>
                <w:szCs w:val="24"/>
              </w:rPr>
              <w:t>16.5%</w:t>
            </w:r>
          </w:p>
        </w:tc>
        <w:tc>
          <w:tcPr>
            <w:tcW w:w="1180" w:type="dxa"/>
            <w:vMerge/>
          </w:tcPr>
          <w:p w14:paraId="4B786ED0" w14:textId="77777777" w:rsidR="00666865" w:rsidRPr="00DE4CD2" w:rsidRDefault="00666865" w:rsidP="002B1C23">
            <w:pPr>
              <w:jc w:val="right"/>
              <w:rPr>
                <w:rFonts w:asciiTheme="majorHAnsi" w:hAnsiTheme="majorHAnsi" w:cstheme="majorHAnsi"/>
                <w:sz w:val="24"/>
                <w:szCs w:val="24"/>
              </w:rPr>
            </w:pPr>
          </w:p>
        </w:tc>
        <w:tc>
          <w:tcPr>
            <w:tcW w:w="1180" w:type="dxa"/>
            <w:vMerge/>
          </w:tcPr>
          <w:p w14:paraId="663FF508" w14:textId="77777777" w:rsidR="00666865" w:rsidRPr="00DE4CD2" w:rsidRDefault="00666865" w:rsidP="002B1C23">
            <w:pPr>
              <w:jc w:val="right"/>
              <w:rPr>
                <w:rFonts w:asciiTheme="majorHAnsi" w:hAnsiTheme="majorHAnsi" w:cstheme="majorHAnsi"/>
                <w:sz w:val="24"/>
                <w:szCs w:val="24"/>
              </w:rPr>
            </w:pPr>
          </w:p>
        </w:tc>
      </w:tr>
      <w:tr w:rsidR="00666865" w:rsidRPr="00DE4CD2" w14:paraId="42130B43" w14:textId="77777777" w:rsidTr="00666865">
        <w:tc>
          <w:tcPr>
            <w:tcW w:w="3114" w:type="dxa"/>
            <w:gridSpan w:val="2"/>
            <w:vAlign w:val="center"/>
          </w:tcPr>
          <w:p w14:paraId="5223D30A" w14:textId="77777777" w:rsidR="00666865" w:rsidRPr="00DE4CD2" w:rsidRDefault="00666865" w:rsidP="002B1C23">
            <w:pPr>
              <w:rPr>
                <w:rFonts w:asciiTheme="majorHAnsi" w:hAnsiTheme="majorHAnsi" w:cstheme="majorHAnsi"/>
                <w:sz w:val="24"/>
                <w:szCs w:val="24"/>
              </w:rPr>
            </w:pPr>
            <w:r w:rsidRPr="00DE4CD2">
              <w:rPr>
                <w:rFonts w:asciiTheme="majorHAnsi" w:hAnsiTheme="majorHAnsi" w:cstheme="majorHAnsi"/>
                <w:sz w:val="24"/>
                <w:szCs w:val="24"/>
              </w:rPr>
              <w:t>Total (unduplicated)</w:t>
            </w:r>
          </w:p>
        </w:tc>
        <w:tc>
          <w:tcPr>
            <w:tcW w:w="1088" w:type="dxa"/>
            <w:vAlign w:val="center"/>
          </w:tcPr>
          <w:p w14:paraId="4363FB60" w14:textId="77777777" w:rsidR="00666865" w:rsidRPr="00DE4CD2" w:rsidRDefault="00666865" w:rsidP="002B1C23">
            <w:pPr>
              <w:jc w:val="right"/>
              <w:rPr>
                <w:rFonts w:asciiTheme="majorHAnsi" w:hAnsiTheme="majorHAnsi" w:cstheme="majorHAnsi"/>
                <w:sz w:val="24"/>
                <w:szCs w:val="24"/>
              </w:rPr>
            </w:pPr>
            <w:r w:rsidRPr="00DE4CD2">
              <w:rPr>
                <w:rFonts w:asciiTheme="majorHAnsi" w:hAnsiTheme="majorHAnsi" w:cstheme="majorHAnsi"/>
                <w:sz w:val="24"/>
                <w:szCs w:val="24"/>
              </w:rPr>
              <w:t>480,296</w:t>
            </w:r>
          </w:p>
        </w:tc>
        <w:tc>
          <w:tcPr>
            <w:tcW w:w="1180" w:type="dxa"/>
          </w:tcPr>
          <w:p w14:paraId="6DAF7C6C" w14:textId="77777777" w:rsidR="00666865" w:rsidRPr="00DE4CD2" w:rsidRDefault="00666865" w:rsidP="002B1C23">
            <w:pPr>
              <w:jc w:val="right"/>
              <w:rPr>
                <w:rFonts w:asciiTheme="majorHAnsi" w:hAnsiTheme="majorHAnsi" w:cstheme="majorHAnsi"/>
                <w:sz w:val="24"/>
                <w:szCs w:val="24"/>
              </w:rPr>
            </w:pPr>
            <w:r w:rsidRPr="00DE4CD2">
              <w:rPr>
                <w:rFonts w:asciiTheme="majorHAnsi" w:hAnsiTheme="majorHAnsi" w:cstheme="majorHAnsi"/>
                <w:sz w:val="24"/>
                <w:szCs w:val="24"/>
              </w:rPr>
              <w:t>100.0%</w:t>
            </w:r>
          </w:p>
        </w:tc>
        <w:tc>
          <w:tcPr>
            <w:tcW w:w="1180" w:type="dxa"/>
            <w:vMerge/>
          </w:tcPr>
          <w:p w14:paraId="00452051" w14:textId="77777777" w:rsidR="00666865" w:rsidRPr="00DE4CD2" w:rsidRDefault="00666865" w:rsidP="002B1C23">
            <w:pPr>
              <w:jc w:val="right"/>
              <w:rPr>
                <w:rFonts w:asciiTheme="majorHAnsi" w:hAnsiTheme="majorHAnsi" w:cstheme="majorHAnsi"/>
                <w:sz w:val="24"/>
                <w:szCs w:val="24"/>
              </w:rPr>
            </w:pPr>
          </w:p>
        </w:tc>
        <w:tc>
          <w:tcPr>
            <w:tcW w:w="1180" w:type="dxa"/>
            <w:vMerge/>
          </w:tcPr>
          <w:p w14:paraId="76F5783F" w14:textId="77777777" w:rsidR="00666865" w:rsidRPr="00DE4CD2" w:rsidRDefault="00666865" w:rsidP="002B1C23">
            <w:pPr>
              <w:jc w:val="right"/>
              <w:rPr>
                <w:rFonts w:asciiTheme="majorHAnsi" w:hAnsiTheme="majorHAnsi" w:cstheme="majorHAnsi"/>
                <w:sz w:val="24"/>
                <w:szCs w:val="24"/>
              </w:rPr>
            </w:pPr>
          </w:p>
        </w:tc>
      </w:tr>
    </w:tbl>
    <w:p w14:paraId="6FA3F3A9" w14:textId="77777777" w:rsidR="00666865" w:rsidRPr="00DE4CD2" w:rsidRDefault="00666865" w:rsidP="00666865">
      <w:pPr>
        <w:rPr>
          <w:rFonts w:asciiTheme="majorHAnsi" w:hAnsiTheme="majorHAnsi" w:cstheme="majorHAnsi"/>
        </w:rPr>
      </w:pPr>
    </w:p>
    <w:p w14:paraId="7FC790ED" w14:textId="7103B19B" w:rsidR="00666865" w:rsidRPr="00DE4CD2" w:rsidRDefault="00666865" w:rsidP="00666865">
      <w:pPr>
        <w:jc w:val="both"/>
        <w:rPr>
          <w:rFonts w:asciiTheme="majorHAnsi" w:hAnsiTheme="majorHAnsi" w:cstheme="majorHAnsi"/>
        </w:rPr>
      </w:pPr>
      <w:r w:rsidRPr="00DE4CD2">
        <w:rPr>
          <w:rFonts w:asciiTheme="majorHAnsi" w:hAnsiTheme="majorHAnsi" w:cstheme="majorHAnsi"/>
        </w:rPr>
        <w:t xml:space="preserve">Some of the firms in </w:t>
      </w:r>
      <w:proofErr w:type="spellStart"/>
      <w:r w:rsidRPr="00DE4CD2">
        <w:rPr>
          <w:rFonts w:asciiTheme="majorHAnsi" w:hAnsiTheme="majorHAnsi" w:cstheme="majorHAnsi"/>
        </w:rPr>
        <w:t>FirmReg</w:t>
      </w:r>
      <w:proofErr w:type="spellEnd"/>
      <w:r w:rsidRPr="00DE4CD2">
        <w:rPr>
          <w:rFonts w:asciiTheme="majorHAnsi" w:hAnsiTheme="majorHAnsi" w:cstheme="majorHAnsi"/>
        </w:rPr>
        <w:t xml:space="preserve"> belong to more than one dataset. These firms are listed only once, and they are identified by a unique </w:t>
      </w:r>
      <w:proofErr w:type="spellStart"/>
      <w:r w:rsidRPr="00DE4CD2">
        <w:rPr>
          <w:rFonts w:asciiTheme="majorHAnsi" w:hAnsiTheme="majorHAnsi" w:cstheme="majorHAnsi"/>
        </w:rPr>
        <w:t>FirmReg</w:t>
      </w:r>
      <w:proofErr w:type="spellEnd"/>
      <w:r w:rsidRPr="00DE4CD2">
        <w:rPr>
          <w:rFonts w:asciiTheme="majorHAnsi" w:hAnsiTheme="majorHAnsi" w:cstheme="majorHAnsi"/>
        </w:rPr>
        <w:t xml:space="preserve"> ID. The total number of firms including the duplicates (firms belonging to more than one dataset) is 498,113. In particular, among the frontend firms 1,482 firms (about 1.1%) are part of more than one dataset (e.g., a firm is both in CIB and Cheetah databases). If we consider both the frontend and the backend, we have 17,261 firms (about 3.6%) belonging to more than one dataset (e.g., a VICO firm that is also a subsidiary of a CIB firm).</w:t>
      </w:r>
    </w:p>
    <w:p w14:paraId="35C16C2A" w14:textId="77777777" w:rsidR="00666865" w:rsidRPr="00DE4CD2" w:rsidRDefault="00666865" w:rsidP="00666865">
      <w:pPr>
        <w:jc w:val="both"/>
        <w:rPr>
          <w:rFonts w:asciiTheme="majorHAnsi" w:hAnsiTheme="majorHAnsi" w:cstheme="majorHAnsi"/>
        </w:rPr>
      </w:pPr>
    </w:p>
    <w:p w14:paraId="260FE217" w14:textId="77777777" w:rsidR="00666865" w:rsidRPr="00DE4CD2" w:rsidRDefault="00666865" w:rsidP="00666865">
      <w:pPr>
        <w:jc w:val="both"/>
        <w:rPr>
          <w:rFonts w:asciiTheme="majorHAnsi" w:hAnsiTheme="majorHAnsi" w:cstheme="majorHAnsi"/>
          <w:lang w:val="en-US"/>
        </w:rPr>
      </w:pPr>
      <w:r w:rsidRPr="00DE4CD2">
        <w:rPr>
          <w:rFonts w:asciiTheme="majorHAnsi" w:hAnsiTheme="majorHAnsi" w:cstheme="majorHAnsi"/>
          <w:lang w:val="en-US"/>
        </w:rPr>
        <w:t xml:space="preserve">One of the purposes of </w:t>
      </w:r>
      <w:proofErr w:type="spellStart"/>
      <w:r w:rsidRPr="00DE4CD2">
        <w:rPr>
          <w:rFonts w:asciiTheme="majorHAnsi" w:hAnsiTheme="majorHAnsi" w:cstheme="majorHAnsi"/>
          <w:lang w:val="en-US"/>
        </w:rPr>
        <w:t>FirmReg</w:t>
      </w:r>
      <w:proofErr w:type="spellEnd"/>
      <w:r w:rsidRPr="00DE4CD2">
        <w:rPr>
          <w:rFonts w:asciiTheme="majorHAnsi" w:hAnsiTheme="majorHAnsi" w:cstheme="majorHAnsi"/>
          <w:lang w:val="en-US"/>
        </w:rPr>
        <w:t xml:space="preserve"> is to allow the matching of the firms in the register with other datasets within RISIS which contain firm-level data, namely: </w:t>
      </w:r>
    </w:p>
    <w:p w14:paraId="4A6147EC" w14:textId="77777777" w:rsidR="00666865" w:rsidRPr="00DE4CD2" w:rsidRDefault="00666865" w:rsidP="00666865">
      <w:pPr>
        <w:jc w:val="both"/>
        <w:rPr>
          <w:rFonts w:asciiTheme="majorHAnsi" w:hAnsiTheme="majorHAnsi" w:cstheme="majorHAnsi"/>
          <w:lang w:val="en-US"/>
        </w:rPr>
      </w:pPr>
    </w:p>
    <w:p w14:paraId="11111216" w14:textId="77777777" w:rsidR="00666865" w:rsidRPr="00DE4CD2" w:rsidRDefault="00666865" w:rsidP="00666865">
      <w:pPr>
        <w:pStyle w:val="Listenabsatz"/>
        <w:numPr>
          <w:ilvl w:val="0"/>
          <w:numId w:val="21"/>
        </w:numPr>
        <w:jc w:val="both"/>
        <w:rPr>
          <w:rFonts w:asciiTheme="majorHAnsi" w:hAnsiTheme="majorHAnsi" w:cstheme="majorHAnsi"/>
          <w:lang w:val="en-US"/>
        </w:rPr>
      </w:pPr>
      <w:r w:rsidRPr="00DE4CD2">
        <w:rPr>
          <w:rFonts w:asciiTheme="majorHAnsi" w:hAnsiTheme="majorHAnsi" w:cstheme="majorHAnsi"/>
          <w:lang w:val="en-US"/>
        </w:rPr>
        <w:t>RISIS Patents, operated by Université Gustave Eiffel;</w:t>
      </w:r>
    </w:p>
    <w:p w14:paraId="56EF984D" w14:textId="77777777" w:rsidR="00666865" w:rsidRPr="00DE4CD2" w:rsidRDefault="00666865" w:rsidP="00666865">
      <w:pPr>
        <w:pStyle w:val="Listenabsatz"/>
        <w:numPr>
          <w:ilvl w:val="0"/>
          <w:numId w:val="21"/>
        </w:numPr>
        <w:jc w:val="both"/>
        <w:rPr>
          <w:rFonts w:asciiTheme="majorHAnsi" w:hAnsiTheme="majorHAnsi" w:cstheme="majorHAnsi"/>
          <w:lang w:val="en-US"/>
        </w:rPr>
      </w:pPr>
      <w:r w:rsidRPr="00DE4CD2">
        <w:rPr>
          <w:rFonts w:asciiTheme="majorHAnsi" w:hAnsiTheme="majorHAnsi" w:cstheme="majorHAnsi"/>
          <w:lang w:val="en-US"/>
        </w:rPr>
        <w:t>CWTS Publications operated by Leiden University;</w:t>
      </w:r>
    </w:p>
    <w:p w14:paraId="40B2B8A9" w14:textId="77777777" w:rsidR="00666865" w:rsidRPr="00DE4CD2" w:rsidRDefault="00666865" w:rsidP="00666865">
      <w:pPr>
        <w:pStyle w:val="Listenabsatz"/>
        <w:numPr>
          <w:ilvl w:val="0"/>
          <w:numId w:val="21"/>
        </w:numPr>
        <w:jc w:val="both"/>
        <w:rPr>
          <w:rFonts w:asciiTheme="majorHAnsi" w:hAnsiTheme="majorHAnsi" w:cstheme="majorHAnsi"/>
          <w:lang w:val="en-US"/>
        </w:rPr>
      </w:pPr>
      <w:r w:rsidRPr="00DE4CD2">
        <w:rPr>
          <w:rFonts w:asciiTheme="majorHAnsi" w:hAnsiTheme="majorHAnsi" w:cstheme="majorHAnsi"/>
          <w:lang w:val="en-US"/>
        </w:rPr>
        <w:t>ISI-TM Trademarks operated by Fraunhofer ISI;</w:t>
      </w:r>
    </w:p>
    <w:p w14:paraId="2362FA72" w14:textId="77777777" w:rsidR="00666865" w:rsidRPr="00DE4CD2" w:rsidRDefault="00666865" w:rsidP="00666865">
      <w:pPr>
        <w:pStyle w:val="Listenabsatz"/>
        <w:numPr>
          <w:ilvl w:val="0"/>
          <w:numId w:val="21"/>
        </w:numPr>
        <w:jc w:val="both"/>
        <w:rPr>
          <w:rFonts w:asciiTheme="majorHAnsi" w:hAnsiTheme="majorHAnsi" w:cstheme="majorHAnsi"/>
          <w:lang w:val="en-US"/>
        </w:rPr>
      </w:pPr>
      <w:r w:rsidRPr="00DE4CD2">
        <w:rPr>
          <w:rFonts w:asciiTheme="majorHAnsi" w:hAnsiTheme="majorHAnsi" w:cstheme="majorHAnsi"/>
          <w:lang w:val="en-US"/>
        </w:rPr>
        <w:t>EUPRO Projects operated by the Austrian Institute of Technology.</w:t>
      </w:r>
    </w:p>
    <w:p w14:paraId="272EB318" w14:textId="77777777" w:rsidR="00666865" w:rsidRPr="00DE4CD2" w:rsidRDefault="00666865" w:rsidP="00666865">
      <w:pPr>
        <w:jc w:val="both"/>
        <w:rPr>
          <w:rFonts w:asciiTheme="majorHAnsi" w:hAnsiTheme="majorHAnsi" w:cstheme="majorHAnsi"/>
          <w:lang w:val="en-US"/>
        </w:rPr>
      </w:pPr>
    </w:p>
    <w:p w14:paraId="459964BA" w14:textId="399D62FE" w:rsidR="00666865" w:rsidRPr="00DE4CD2" w:rsidRDefault="00666865" w:rsidP="00666865">
      <w:pPr>
        <w:jc w:val="both"/>
        <w:rPr>
          <w:rFonts w:asciiTheme="majorHAnsi" w:hAnsiTheme="majorHAnsi" w:cstheme="majorHAnsi"/>
        </w:rPr>
      </w:pPr>
      <w:r w:rsidRPr="00DE4CD2">
        <w:rPr>
          <w:rFonts w:asciiTheme="majorHAnsi" w:hAnsiTheme="majorHAnsi" w:cstheme="majorHAnsi"/>
          <w:lang w:val="en-US"/>
        </w:rPr>
        <w:lastRenderedPageBreak/>
        <w:t xml:space="preserve">The purpose of this matching process is to find whether some of the firms included in the frontend of </w:t>
      </w:r>
      <w:proofErr w:type="spellStart"/>
      <w:r w:rsidRPr="00DE4CD2">
        <w:rPr>
          <w:rFonts w:asciiTheme="majorHAnsi" w:hAnsiTheme="majorHAnsi" w:cstheme="majorHAnsi"/>
          <w:lang w:val="en-US"/>
        </w:rPr>
        <w:t>FirmReg</w:t>
      </w:r>
      <w:proofErr w:type="spellEnd"/>
      <w:r w:rsidRPr="00DE4CD2">
        <w:rPr>
          <w:rFonts w:asciiTheme="majorHAnsi" w:hAnsiTheme="majorHAnsi" w:cstheme="majorHAnsi"/>
          <w:lang w:val="en-US"/>
        </w:rPr>
        <w:t xml:space="preserve"> were also listed in one or more RISIS datasets including firm-level data, and to assign a </w:t>
      </w:r>
      <w:proofErr w:type="spellStart"/>
      <w:r w:rsidRPr="00DE4CD2">
        <w:rPr>
          <w:rFonts w:asciiTheme="majorHAnsi" w:hAnsiTheme="majorHAnsi" w:cstheme="majorHAnsi"/>
          <w:lang w:val="en-US"/>
        </w:rPr>
        <w:t>FirmReg</w:t>
      </w:r>
      <w:proofErr w:type="spellEnd"/>
      <w:r w:rsidRPr="00DE4CD2">
        <w:rPr>
          <w:rFonts w:asciiTheme="majorHAnsi" w:hAnsiTheme="majorHAnsi" w:cstheme="majorHAnsi"/>
          <w:lang w:val="en-US"/>
        </w:rPr>
        <w:t xml:space="preserve"> ID to these occurrences (e.g., a CIB firms owning a patent, or a Cheetah firm owning a trademark). This matching process allows to create firm-level indicators about the innovative activities of firms in </w:t>
      </w:r>
      <w:proofErr w:type="spellStart"/>
      <w:r w:rsidRPr="00DE4CD2">
        <w:rPr>
          <w:rFonts w:asciiTheme="majorHAnsi" w:hAnsiTheme="majorHAnsi" w:cstheme="majorHAnsi"/>
          <w:lang w:val="en-US"/>
        </w:rPr>
        <w:t>FirmReg</w:t>
      </w:r>
      <w:proofErr w:type="spellEnd"/>
      <w:r w:rsidRPr="00DE4CD2">
        <w:rPr>
          <w:rFonts w:asciiTheme="majorHAnsi" w:hAnsiTheme="majorHAnsi" w:cstheme="majorHAnsi"/>
          <w:lang w:val="en-US"/>
        </w:rPr>
        <w:t xml:space="preserve">. It will also allow to indirectly link several RISIS datasets (e.g., firms co-patenting or co-publishing with other organizations included in </w:t>
      </w:r>
      <w:proofErr w:type="spellStart"/>
      <w:r w:rsidRPr="00DE4CD2">
        <w:rPr>
          <w:rFonts w:asciiTheme="majorHAnsi" w:hAnsiTheme="majorHAnsi" w:cstheme="majorHAnsi"/>
          <w:lang w:val="en-US"/>
        </w:rPr>
        <w:t>OrgReg</w:t>
      </w:r>
      <w:proofErr w:type="spellEnd"/>
      <w:r w:rsidRPr="00DE4CD2">
        <w:rPr>
          <w:rFonts w:asciiTheme="majorHAnsi" w:hAnsiTheme="majorHAnsi" w:cstheme="majorHAnsi"/>
          <w:lang w:val="en-US"/>
        </w:rPr>
        <w:t xml:space="preserve">). The matching was carried out by the respective dataset owners, who adopted the most suitable methodology to match their dataset with </w:t>
      </w:r>
      <w:proofErr w:type="spellStart"/>
      <w:r w:rsidRPr="00DE4CD2">
        <w:rPr>
          <w:rFonts w:asciiTheme="majorHAnsi" w:hAnsiTheme="majorHAnsi" w:cstheme="majorHAnsi"/>
          <w:lang w:val="en-US"/>
        </w:rPr>
        <w:t>FirmReg</w:t>
      </w:r>
      <w:proofErr w:type="spellEnd"/>
      <w:r w:rsidRPr="00DE4CD2">
        <w:rPr>
          <w:rFonts w:asciiTheme="majorHAnsi" w:hAnsiTheme="majorHAnsi" w:cstheme="majorHAnsi"/>
          <w:lang w:val="en-US"/>
        </w:rPr>
        <w:t xml:space="preserve">, considering the specific characteristics and organization of each dataset. The matching process was facilitated by the unique identification of firms in </w:t>
      </w:r>
      <w:proofErr w:type="spellStart"/>
      <w:r w:rsidRPr="00DE4CD2">
        <w:rPr>
          <w:rFonts w:asciiTheme="majorHAnsi" w:hAnsiTheme="majorHAnsi" w:cstheme="majorHAnsi"/>
          <w:lang w:val="en-US"/>
        </w:rPr>
        <w:t>FirmReg</w:t>
      </w:r>
      <w:proofErr w:type="spellEnd"/>
      <w:r w:rsidRPr="00DE4CD2">
        <w:rPr>
          <w:rFonts w:asciiTheme="majorHAnsi" w:hAnsiTheme="majorHAnsi" w:cstheme="majorHAnsi"/>
          <w:lang w:val="en-US"/>
        </w:rPr>
        <w:t xml:space="preserve">, and by the standardized data included in the </w:t>
      </w:r>
      <w:proofErr w:type="spellStart"/>
      <w:r w:rsidRPr="00DE4CD2">
        <w:rPr>
          <w:rFonts w:asciiTheme="majorHAnsi" w:hAnsiTheme="majorHAnsi" w:cstheme="majorHAnsi"/>
          <w:lang w:val="en-US"/>
        </w:rPr>
        <w:t>FirmReg</w:t>
      </w:r>
      <w:proofErr w:type="spellEnd"/>
      <w:r w:rsidRPr="00DE4CD2">
        <w:rPr>
          <w:rFonts w:asciiTheme="majorHAnsi" w:hAnsiTheme="majorHAnsi" w:cstheme="majorHAnsi"/>
          <w:lang w:val="en-US"/>
        </w:rPr>
        <w:t xml:space="preserve"> tables (e.g., list of subsidiaries, name variants, locations, etc.). </w:t>
      </w:r>
      <w:r w:rsidRPr="00DE4CD2">
        <w:rPr>
          <w:rFonts w:asciiTheme="majorHAnsi" w:hAnsiTheme="majorHAnsi" w:cstheme="majorHAnsi"/>
        </w:rPr>
        <w:t xml:space="preserve">The results of this matching process is summarised in Table </w:t>
      </w:r>
      <w:r w:rsidR="00050782" w:rsidRPr="00DE4CD2">
        <w:rPr>
          <w:rFonts w:asciiTheme="majorHAnsi" w:hAnsiTheme="majorHAnsi" w:cstheme="majorHAnsi"/>
        </w:rPr>
        <w:t>12</w:t>
      </w:r>
      <w:r w:rsidRPr="00DE4CD2">
        <w:rPr>
          <w:rFonts w:asciiTheme="majorHAnsi" w:hAnsiTheme="majorHAnsi" w:cstheme="majorHAnsi"/>
        </w:rPr>
        <w:t xml:space="preserve">. </w:t>
      </w:r>
    </w:p>
    <w:p w14:paraId="28BA1893" w14:textId="77777777" w:rsidR="00666865" w:rsidRPr="00DE4CD2" w:rsidRDefault="00666865" w:rsidP="00666865">
      <w:pPr>
        <w:jc w:val="both"/>
        <w:rPr>
          <w:rFonts w:asciiTheme="majorHAnsi" w:hAnsiTheme="majorHAnsi" w:cstheme="majorHAnsi"/>
        </w:rPr>
      </w:pPr>
    </w:p>
    <w:p w14:paraId="17847E84" w14:textId="4F53ECD6" w:rsidR="00666865" w:rsidRPr="00DE4CD2" w:rsidRDefault="00666865" w:rsidP="00666865">
      <w:pPr>
        <w:pStyle w:val="Beschriftung"/>
        <w:keepNext/>
        <w:rPr>
          <w:rFonts w:asciiTheme="majorHAnsi" w:eastAsiaTheme="minorHAnsi" w:hAnsiTheme="majorHAnsi" w:cstheme="majorHAnsi"/>
          <w:color w:val="auto"/>
          <w:sz w:val="24"/>
          <w:szCs w:val="24"/>
          <w:lang w:val="en-US" w:eastAsia="en-US"/>
        </w:rPr>
      </w:pPr>
      <w:r w:rsidRPr="00DE4CD2">
        <w:rPr>
          <w:rFonts w:asciiTheme="majorHAnsi" w:eastAsiaTheme="minorHAnsi" w:hAnsiTheme="majorHAnsi" w:cstheme="majorHAnsi"/>
          <w:color w:val="auto"/>
          <w:sz w:val="24"/>
          <w:szCs w:val="24"/>
          <w:lang w:val="en-US" w:eastAsia="en-US"/>
        </w:rPr>
        <w:t xml:space="preserve">Table </w:t>
      </w:r>
      <w:r w:rsidR="00050782" w:rsidRPr="00DE4CD2">
        <w:rPr>
          <w:rFonts w:asciiTheme="majorHAnsi" w:eastAsiaTheme="minorHAnsi" w:hAnsiTheme="majorHAnsi" w:cstheme="majorHAnsi"/>
          <w:color w:val="auto"/>
          <w:sz w:val="24"/>
          <w:szCs w:val="24"/>
          <w:lang w:val="en-US" w:eastAsia="en-US"/>
        </w:rPr>
        <w:t>12</w:t>
      </w:r>
      <w:r w:rsidRPr="00DE4CD2">
        <w:rPr>
          <w:rFonts w:asciiTheme="majorHAnsi" w:eastAsiaTheme="minorHAnsi" w:hAnsiTheme="majorHAnsi" w:cstheme="majorHAnsi"/>
          <w:color w:val="auto"/>
          <w:sz w:val="24"/>
          <w:szCs w:val="24"/>
          <w:lang w:val="en-US" w:eastAsia="en-US"/>
        </w:rPr>
        <w:t xml:space="preserve">. Matching between RISIS firm-level datasets and other RISIS datasets </w:t>
      </w:r>
    </w:p>
    <w:tbl>
      <w:tblPr>
        <w:tblStyle w:val="Tabellenraster"/>
        <w:tblW w:w="0" w:type="auto"/>
        <w:tblLook w:val="04A0" w:firstRow="1" w:lastRow="0" w:firstColumn="1" w:lastColumn="0" w:noHBand="0" w:noVBand="1"/>
      </w:tblPr>
      <w:tblGrid>
        <w:gridCol w:w="1814"/>
        <w:gridCol w:w="1134"/>
        <w:gridCol w:w="1134"/>
        <w:gridCol w:w="1434"/>
        <w:gridCol w:w="1399"/>
        <w:gridCol w:w="1071"/>
      </w:tblGrid>
      <w:tr w:rsidR="00FC3526" w:rsidRPr="00DE4CD2" w14:paraId="6B1E3BC7" w14:textId="77777777" w:rsidTr="00666865">
        <w:tc>
          <w:tcPr>
            <w:tcW w:w="1814" w:type="dxa"/>
            <w:vMerge w:val="restart"/>
          </w:tcPr>
          <w:p w14:paraId="50F65390" w14:textId="77777777" w:rsidR="00666865" w:rsidRPr="00DE4CD2" w:rsidRDefault="00666865" w:rsidP="002B1C23">
            <w:pPr>
              <w:rPr>
                <w:rFonts w:asciiTheme="majorHAnsi" w:hAnsiTheme="majorHAnsi" w:cstheme="majorHAnsi"/>
                <w:b/>
                <w:bCs/>
                <w:sz w:val="24"/>
                <w:szCs w:val="24"/>
              </w:rPr>
            </w:pPr>
            <w:r w:rsidRPr="00DE4CD2">
              <w:rPr>
                <w:rFonts w:asciiTheme="majorHAnsi" w:hAnsiTheme="majorHAnsi" w:cstheme="majorHAnsi"/>
                <w:b/>
                <w:bCs/>
                <w:sz w:val="24"/>
                <w:szCs w:val="24"/>
              </w:rPr>
              <w:t>RISIS firm-level datasets</w:t>
            </w:r>
          </w:p>
        </w:tc>
        <w:tc>
          <w:tcPr>
            <w:tcW w:w="6172" w:type="dxa"/>
            <w:gridSpan w:val="5"/>
          </w:tcPr>
          <w:p w14:paraId="14F08B57" w14:textId="77777777" w:rsidR="00666865" w:rsidRPr="00DE4CD2" w:rsidRDefault="00666865" w:rsidP="002B1C23">
            <w:pPr>
              <w:jc w:val="center"/>
              <w:rPr>
                <w:rFonts w:asciiTheme="majorHAnsi" w:hAnsiTheme="majorHAnsi" w:cstheme="majorHAnsi"/>
                <w:b/>
                <w:bCs/>
                <w:sz w:val="24"/>
                <w:szCs w:val="24"/>
              </w:rPr>
            </w:pPr>
            <w:r w:rsidRPr="00DE4CD2">
              <w:rPr>
                <w:rFonts w:asciiTheme="majorHAnsi" w:hAnsiTheme="majorHAnsi" w:cstheme="majorHAnsi"/>
                <w:b/>
                <w:bCs/>
                <w:sz w:val="24"/>
                <w:szCs w:val="24"/>
              </w:rPr>
              <w:t>Percentage of firms in RISIS firm-level datasets matched with other RISIS datasets</w:t>
            </w:r>
          </w:p>
        </w:tc>
      </w:tr>
      <w:tr w:rsidR="00FC3526" w:rsidRPr="00DE4CD2" w14:paraId="3A40A4AE" w14:textId="77777777" w:rsidTr="00666865">
        <w:tc>
          <w:tcPr>
            <w:tcW w:w="1814" w:type="dxa"/>
            <w:vMerge/>
          </w:tcPr>
          <w:p w14:paraId="01E843D2" w14:textId="77777777" w:rsidR="00666865" w:rsidRPr="00DE4CD2" w:rsidRDefault="00666865" w:rsidP="002B1C23">
            <w:pPr>
              <w:rPr>
                <w:rFonts w:asciiTheme="majorHAnsi" w:hAnsiTheme="majorHAnsi" w:cstheme="majorHAnsi"/>
                <w:b/>
                <w:bCs/>
                <w:sz w:val="24"/>
                <w:szCs w:val="24"/>
              </w:rPr>
            </w:pPr>
          </w:p>
        </w:tc>
        <w:tc>
          <w:tcPr>
            <w:tcW w:w="1134" w:type="dxa"/>
          </w:tcPr>
          <w:p w14:paraId="467E92F3" w14:textId="77777777" w:rsidR="00666865" w:rsidRPr="00DE4CD2" w:rsidRDefault="00666865" w:rsidP="002B1C23">
            <w:pPr>
              <w:jc w:val="center"/>
              <w:rPr>
                <w:rFonts w:asciiTheme="majorHAnsi" w:hAnsiTheme="majorHAnsi" w:cstheme="majorHAnsi"/>
                <w:b/>
                <w:bCs/>
                <w:sz w:val="24"/>
                <w:szCs w:val="24"/>
              </w:rPr>
            </w:pPr>
            <w:r w:rsidRPr="00DE4CD2">
              <w:rPr>
                <w:rFonts w:asciiTheme="majorHAnsi" w:hAnsiTheme="majorHAnsi" w:cstheme="majorHAnsi"/>
                <w:b/>
                <w:bCs/>
                <w:sz w:val="24"/>
                <w:szCs w:val="24"/>
              </w:rPr>
              <w:t>Total</w:t>
            </w:r>
          </w:p>
        </w:tc>
        <w:tc>
          <w:tcPr>
            <w:tcW w:w="1134" w:type="dxa"/>
          </w:tcPr>
          <w:p w14:paraId="00D84EF2" w14:textId="77777777" w:rsidR="00666865" w:rsidRPr="00DE4CD2" w:rsidRDefault="00666865" w:rsidP="002B1C23">
            <w:pPr>
              <w:jc w:val="center"/>
              <w:rPr>
                <w:rFonts w:asciiTheme="majorHAnsi" w:hAnsiTheme="majorHAnsi" w:cstheme="majorHAnsi"/>
                <w:b/>
                <w:bCs/>
                <w:sz w:val="24"/>
                <w:szCs w:val="24"/>
              </w:rPr>
            </w:pPr>
            <w:r w:rsidRPr="00DE4CD2">
              <w:rPr>
                <w:rFonts w:asciiTheme="majorHAnsi" w:hAnsiTheme="majorHAnsi" w:cstheme="majorHAnsi"/>
                <w:b/>
                <w:bCs/>
                <w:sz w:val="24"/>
                <w:szCs w:val="24"/>
              </w:rPr>
              <w:t>Patents</w:t>
            </w:r>
          </w:p>
        </w:tc>
        <w:tc>
          <w:tcPr>
            <w:tcW w:w="1434" w:type="dxa"/>
          </w:tcPr>
          <w:p w14:paraId="05595C28" w14:textId="77777777" w:rsidR="00666865" w:rsidRPr="00DE4CD2" w:rsidRDefault="00666865" w:rsidP="002B1C23">
            <w:pPr>
              <w:jc w:val="center"/>
              <w:rPr>
                <w:rFonts w:asciiTheme="majorHAnsi" w:hAnsiTheme="majorHAnsi" w:cstheme="majorHAnsi"/>
                <w:b/>
                <w:bCs/>
                <w:sz w:val="24"/>
                <w:szCs w:val="24"/>
              </w:rPr>
            </w:pPr>
            <w:r w:rsidRPr="00DE4CD2">
              <w:rPr>
                <w:rFonts w:asciiTheme="majorHAnsi" w:hAnsiTheme="majorHAnsi" w:cstheme="majorHAnsi"/>
                <w:b/>
                <w:bCs/>
                <w:sz w:val="24"/>
                <w:szCs w:val="24"/>
              </w:rPr>
              <w:t>Publications</w:t>
            </w:r>
          </w:p>
        </w:tc>
        <w:tc>
          <w:tcPr>
            <w:tcW w:w="1399" w:type="dxa"/>
          </w:tcPr>
          <w:p w14:paraId="50310D86" w14:textId="77777777" w:rsidR="00666865" w:rsidRPr="00DE4CD2" w:rsidRDefault="00666865" w:rsidP="002B1C23">
            <w:pPr>
              <w:jc w:val="center"/>
              <w:rPr>
                <w:rFonts w:asciiTheme="majorHAnsi" w:hAnsiTheme="majorHAnsi" w:cstheme="majorHAnsi"/>
                <w:b/>
                <w:bCs/>
                <w:sz w:val="24"/>
                <w:szCs w:val="24"/>
              </w:rPr>
            </w:pPr>
            <w:r w:rsidRPr="00DE4CD2">
              <w:rPr>
                <w:rFonts w:asciiTheme="majorHAnsi" w:hAnsiTheme="majorHAnsi" w:cstheme="majorHAnsi"/>
                <w:b/>
                <w:bCs/>
                <w:sz w:val="24"/>
                <w:szCs w:val="24"/>
              </w:rPr>
              <w:t>Trademarks</w:t>
            </w:r>
          </w:p>
        </w:tc>
        <w:tc>
          <w:tcPr>
            <w:tcW w:w="1071" w:type="dxa"/>
          </w:tcPr>
          <w:p w14:paraId="04E0AC5A" w14:textId="77777777" w:rsidR="00666865" w:rsidRPr="00DE4CD2" w:rsidRDefault="00666865" w:rsidP="002B1C23">
            <w:pPr>
              <w:jc w:val="center"/>
              <w:rPr>
                <w:rFonts w:asciiTheme="majorHAnsi" w:hAnsiTheme="majorHAnsi" w:cstheme="majorHAnsi"/>
                <w:b/>
                <w:bCs/>
                <w:sz w:val="24"/>
                <w:szCs w:val="24"/>
              </w:rPr>
            </w:pPr>
            <w:r w:rsidRPr="00DE4CD2">
              <w:rPr>
                <w:rFonts w:asciiTheme="majorHAnsi" w:hAnsiTheme="majorHAnsi" w:cstheme="majorHAnsi"/>
                <w:b/>
                <w:bCs/>
                <w:sz w:val="24"/>
                <w:szCs w:val="24"/>
              </w:rPr>
              <w:t>Projects</w:t>
            </w:r>
          </w:p>
        </w:tc>
      </w:tr>
      <w:tr w:rsidR="00FC3526" w:rsidRPr="00DE4CD2" w14:paraId="664054B4" w14:textId="77777777" w:rsidTr="00666865">
        <w:tc>
          <w:tcPr>
            <w:tcW w:w="1814" w:type="dxa"/>
          </w:tcPr>
          <w:p w14:paraId="5CFA7296" w14:textId="77777777" w:rsidR="00666865" w:rsidRPr="00DE4CD2" w:rsidRDefault="00666865" w:rsidP="002B1C23">
            <w:pPr>
              <w:rPr>
                <w:rFonts w:asciiTheme="majorHAnsi" w:hAnsiTheme="majorHAnsi" w:cstheme="majorHAnsi"/>
                <w:b/>
                <w:bCs/>
                <w:sz w:val="24"/>
                <w:szCs w:val="24"/>
              </w:rPr>
            </w:pPr>
            <w:r w:rsidRPr="00DE4CD2">
              <w:rPr>
                <w:rFonts w:asciiTheme="majorHAnsi" w:hAnsiTheme="majorHAnsi" w:cstheme="majorHAnsi"/>
                <w:b/>
                <w:bCs/>
                <w:sz w:val="24"/>
                <w:szCs w:val="24"/>
              </w:rPr>
              <w:t>CIB</w:t>
            </w:r>
          </w:p>
        </w:tc>
        <w:tc>
          <w:tcPr>
            <w:tcW w:w="1134" w:type="dxa"/>
          </w:tcPr>
          <w:p w14:paraId="0F0ADA5C" w14:textId="77777777" w:rsidR="00666865" w:rsidRPr="00DE4CD2" w:rsidRDefault="00666865" w:rsidP="002B1C23">
            <w:pPr>
              <w:jc w:val="right"/>
              <w:rPr>
                <w:rFonts w:asciiTheme="majorHAnsi" w:hAnsiTheme="majorHAnsi" w:cstheme="majorHAnsi"/>
                <w:sz w:val="24"/>
                <w:szCs w:val="24"/>
              </w:rPr>
            </w:pPr>
            <w:r w:rsidRPr="00DE4CD2">
              <w:rPr>
                <w:rFonts w:asciiTheme="majorHAnsi" w:hAnsiTheme="majorHAnsi" w:cstheme="majorHAnsi"/>
                <w:sz w:val="24"/>
                <w:szCs w:val="24"/>
              </w:rPr>
              <w:t>98.8%</w:t>
            </w:r>
          </w:p>
        </w:tc>
        <w:tc>
          <w:tcPr>
            <w:tcW w:w="1134" w:type="dxa"/>
          </w:tcPr>
          <w:p w14:paraId="2E67A42F" w14:textId="77777777" w:rsidR="00666865" w:rsidRPr="00DE4CD2" w:rsidRDefault="00666865" w:rsidP="002B1C23">
            <w:pPr>
              <w:jc w:val="right"/>
              <w:rPr>
                <w:rFonts w:asciiTheme="majorHAnsi" w:hAnsiTheme="majorHAnsi" w:cstheme="majorHAnsi"/>
                <w:sz w:val="24"/>
                <w:szCs w:val="24"/>
              </w:rPr>
            </w:pPr>
            <w:r w:rsidRPr="00DE4CD2">
              <w:rPr>
                <w:rFonts w:asciiTheme="majorHAnsi" w:hAnsiTheme="majorHAnsi" w:cstheme="majorHAnsi"/>
                <w:sz w:val="24"/>
                <w:szCs w:val="24"/>
              </w:rPr>
              <w:t>96.4%</w:t>
            </w:r>
          </w:p>
        </w:tc>
        <w:tc>
          <w:tcPr>
            <w:tcW w:w="1434" w:type="dxa"/>
          </w:tcPr>
          <w:p w14:paraId="591271B8" w14:textId="77777777" w:rsidR="00666865" w:rsidRPr="00DE4CD2" w:rsidRDefault="00666865" w:rsidP="002B1C23">
            <w:pPr>
              <w:jc w:val="right"/>
              <w:rPr>
                <w:rFonts w:asciiTheme="majorHAnsi" w:hAnsiTheme="majorHAnsi" w:cstheme="majorHAnsi"/>
                <w:sz w:val="24"/>
                <w:szCs w:val="24"/>
              </w:rPr>
            </w:pPr>
            <w:r w:rsidRPr="00DE4CD2">
              <w:rPr>
                <w:rFonts w:asciiTheme="majorHAnsi" w:hAnsiTheme="majorHAnsi" w:cstheme="majorHAnsi"/>
                <w:sz w:val="24"/>
                <w:szCs w:val="24"/>
              </w:rPr>
              <w:t>86.3%</w:t>
            </w:r>
          </w:p>
        </w:tc>
        <w:tc>
          <w:tcPr>
            <w:tcW w:w="1399" w:type="dxa"/>
          </w:tcPr>
          <w:p w14:paraId="33A18719" w14:textId="77777777" w:rsidR="00666865" w:rsidRPr="00DE4CD2" w:rsidRDefault="00666865" w:rsidP="002B1C23">
            <w:pPr>
              <w:jc w:val="right"/>
              <w:rPr>
                <w:rFonts w:asciiTheme="majorHAnsi" w:hAnsiTheme="majorHAnsi" w:cstheme="majorHAnsi"/>
                <w:sz w:val="24"/>
                <w:szCs w:val="24"/>
              </w:rPr>
            </w:pPr>
            <w:r w:rsidRPr="00DE4CD2">
              <w:rPr>
                <w:rFonts w:asciiTheme="majorHAnsi" w:hAnsiTheme="majorHAnsi" w:cstheme="majorHAnsi"/>
                <w:sz w:val="24"/>
                <w:szCs w:val="24"/>
              </w:rPr>
              <w:t>68.7%</w:t>
            </w:r>
          </w:p>
        </w:tc>
        <w:tc>
          <w:tcPr>
            <w:tcW w:w="1071" w:type="dxa"/>
          </w:tcPr>
          <w:p w14:paraId="56C88918" w14:textId="77777777" w:rsidR="00666865" w:rsidRPr="00DE4CD2" w:rsidRDefault="00666865" w:rsidP="002B1C23">
            <w:pPr>
              <w:jc w:val="right"/>
              <w:rPr>
                <w:rFonts w:asciiTheme="majorHAnsi" w:hAnsiTheme="majorHAnsi" w:cstheme="majorHAnsi"/>
                <w:sz w:val="24"/>
                <w:szCs w:val="24"/>
              </w:rPr>
            </w:pPr>
            <w:r w:rsidRPr="00DE4CD2">
              <w:rPr>
                <w:rFonts w:asciiTheme="majorHAnsi" w:hAnsiTheme="majorHAnsi" w:cstheme="majorHAnsi"/>
                <w:sz w:val="24"/>
                <w:szCs w:val="24"/>
              </w:rPr>
              <w:t>43.5%</w:t>
            </w:r>
          </w:p>
        </w:tc>
      </w:tr>
      <w:tr w:rsidR="00FC3526" w:rsidRPr="00DE4CD2" w14:paraId="4F1E1885" w14:textId="77777777" w:rsidTr="00666865">
        <w:tc>
          <w:tcPr>
            <w:tcW w:w="1814" w:type="dxa"/>
          </w:tcPr>
          <w:p w14:paraId="4CFE6850" w14:textId="77777777" w:rsidR="00666865" w:rsidRPr="00DE4CD2" w:rsidRDefault="00666865" w:rsidP="002B1C23">
            <w:pPr>
              <w:rPr>
                <w:rFonts w:asciiTheme="majorHAnsi" w:hAnsiTheme="majorHAnsi" w:cstheme="majorHAnsi"/>
                <w:b/>
                <w:bCs/>
                <w:sz w:val="24"/>
                <w:szCs w:val="24"/>
              </w:rPr>
            </w:pPr>
            <w:r w:rsidRPr="00DE4CD2">
              <w:rPr>
                <w:rFonts w:asciiTheme="majorHAnsi" w:hAnsiTheme="majorHAnsi" w:cstheme="majorHAnsi"/>
                <w:b/>
                <w:bCs/>
                <w:sz w:val="24"/>
                <w:szCs w:val="24"/>
              </w:rPr>
              <w:t>Cheetah</w:t>
            </w:r>
          </w:p>
        </w:tc>
        <w:tc>
          <w:tcPr>
            <w:tcW w:w="1134" w:type="dxa"/>
          </w:tcPr>
          <w:p w14:paraId="56F4A69E" w14:textId="77777777" w:rsidR="00666865" w:rsidRPr="00DE4CD2" w:rsidRDefault="00666865" w:rsidP="002B1C23">
            <w:pPr>
              <w:jc w:val="right"/>
              <w:rPr>
                <w:rFonts w:asciiTheme="majorHAnsi" w:hAnsiTheme="majorHAnsi" w:cstheme="majorHAnsi"/>
                <w:sz w:val="24"/>
                <w:szCs w:val="24"/>
              </w:rPr>
            </w:pPr>
            <w:r w:rsidRPr="00DE4CD2">
              <w:rPr>
                <w:rFonts w:asciiTheme="majorHAnsi" w:hAnsiTheme="majorHAnsi" w:cstheme="majorHAnsi"/>
                <w:sz w:val="24"/>
                <w:szCs w:val="24"/>
              </w:rPr>
              <w:t>29.4%</w:t>
            </w:r>
          </w:p>
        </w:tc>
        <w:tc>
          <w:tcPr>
            <w:tcW w:w="1134" w:type="dxa"/>
          </w:tcPr>
          <w:p w14:paraId="02A8E846" w14:textId="77777777" w:rsidR="00666865" w:rsidRPr="00DE4CD2" w:rsidRDefault="00666865" w:rsidP="002B1C23">
            <w:pPr>
              <w:jc w:val="right"/>
              <w:rPr>
                <w:rFonts w:asciiTheme="majorHAnsi" w:hAnsiTheme="majorHAnsi" w:cstheme="majorHAnsi"/>
                <w:sz w:val="24"/>
                <w:szCs w:val="24"/>
              </w:rPr>
            </w:pPr>
            <w:r w:rsidRPr="00DE4CD2">
              <w:rPr>
                <w:rFonts w:asciiTheme="majorHAnsi" w:hAnsiTheme="majorHAnsi" w:cstheme="majorHAnsi"/>
                <w:sz w:val="24"/>
                <w:szCs w:val="24"/>
              </w:rPr>
              <w:t>0.3%</w:t>
            </w:r>
          </w:p>
        </w:tc>
        <w:tc>
          <w:tcPr>
            <w:tcW w:w="1434" w:type="dxa"/>
          </w:tcPr>
          <w:p w14:paraId="24E375FC" w14:textId="77777777" w:rsidR="00666865" w:rsidRPr="00DE4CD2" w:rsidRDefault="00666865" w:rsidP="002B1C23">
            <w:pPr>
              <w:jc w:val="right"/>
              <w:rPr>
                <w:rFonts w:asciiTheme="majorHAnsi" w:hAnsiTheme="majorHAnsi" w:cstheme="majorHAnsi"/>
                <w:sz w:val="24"/>
                <w:szCs w:val="24"/>
              </w:rPr>
            </w:pPr>
            <w:r w:rsidRPr="00DE4CD2">
              <w:rPr>
                <w:rFonts w:asciiTheme="majorHAnsi" w:hAnsiTheme="majorHAnsi" w:cstheme="majorHAnsi"/>
                <w:sz w:val="24"/>
                <w:szCs w:val="24"/>
              </w:rPr>
              <w:t>8.5%</w:t>
            </w:r>
          </w:p>
        </w:tc>
        <w:tc>
          <w:tcPr>
            <w:tcW w:w="1399" w:type="dxa"/>
          </w:tcPr>
          <w:p w14:paraId="45321300" w14:textId="77777777" w:rsidR="00666865" w:rsidRPr="00DE4CD2" w:rsidRDefault="00666865" w:rsidP="002B1C23">
            <w:pPr>
              <w:jc w:val="right"/>
              <w:rPr>
                <w:rFonts w:asciiTheme="majorHAnsi" w:hAnsiTheme="majorHAnsi" w:cstheme="majorHAnsi"/>
                <w:sz w:val="24"/>
                <w:szCs w:val="24"/>
              </w:rPr>
            </w:pPr>
            <w:r w:rsidRPr="00DE4CD2">
              <w:rPr>
                <w:rFonts w:asciiTheme="majorHAnsi" w:hAnsiTheme="majorHAnsi" w:cstheme="majorHAnsi"/>
                <w:sz w:val="24"/>
                <w:szCs w:val="24"/>
              </w:rPr>
              <w:t>23.5%</w:t>
            </w:r>
          </w:p>
        </w:tc>
        <w:tc>
          <w:tcPr>
            <w:tcW w:w="1071" w:type="dxa"/>
          </w:tcPr>
          <w:p w14:paraId="2D0FB84C" w14:textId="77777777" w:rsidR="00666865" w:rsidRPr="00DE4CD2" w:rsidRDefault="00666865" w:rsidP="002B1C23">
            <w:pPr>
              <w:jc w:val="right"/>
              <w:rPr>
                <w:rFonts w:asciiTheme="majorHAnsi" w:hAnsiTheme="majorHAnsi" w:cstheme="majorHAnsi"/>
                <w:sz w:val="24"/>
                <w:szCs w:val="24"/>
              </w:rPr>
            </w:pPr>
            <w:r w:rsidRPr="00DE4CD2">
              <w:rPr>
                <w:rFonts w:asciiTheme="majorHAnsi" w:hAnsiTheme="majorHAnsi" w:cstheme="majorHAnsi"/>
                <w:sz w:val="24"/>
                <w:szCs w:val="24"/>
              </w:rPr>
              <w:t>3.5%</w:t>
            </w:r>
          </w:p>
        </w:tc>
      </w:tr>
      <w:tr w:rsidR="00FC3526" w:rsidRPr="00DE4CD2" w14:paraId="4A091EB0" w14:textId="77777777" w:rsidTr="00666865">
        <w:tc>
          <w:tcPr>
            <w:tcW w:w="1814" w:type="dxa"/>
          </w:tcPr>
          <w:p w14:paraId="509F8925" w14:textId="77777777" w:rsidR="00666865" w:rsidRPr="00DE4CD2" w:rsidRDefault="00666865" w:rsidP="002B1C23">
            <w:pPr>
              <w:rPr>
                <w:rFonts w:asciiTheme="majorHAnsi" w:hAnsiTheme="majorHAnsi" w:cstheme="majorHAnsi"/>
                <w:b/>
                <w:bCs/>
                <w:sz w:val="24"/>
                <w:szCs w:val="24"/>
              </w:rPr>
            </w:pPr>
            <w:r w:rsidRPr="00DE4CD2">
              <w:rPr>
                <w:rFonts w:asciiTheme="majorHAnsi" w:hAnsiTheme="majorHAnsi" w:cstheme="majorHAnsi"/>
                <w:b/>
                <w:bCs/>
                <w:sz w:val="24"/>
                <w:szCs w:val="24"/>
              </w:rPr>
              <w:t>VICO</w:t>
            </w:r>
          </w:p>
        </w:tc>
        <w:tc>
          <w:tcPr>
            <w:tcW w:w="1134" w:type="dxa"/>
          </w:tcPr>
          <w:p w14:paraId="135D40B0" w14:textId="77777777" w:rsidR="00666865" w:rsidRPr="00DE4CD2" w:rsidRDefault="00666865" w:rsidP="002B1C23">
            <w:pPr>
              <w:jc w:val="right"/>
              <w:rPr>
                <w:rFonts w:asciiTheme="majorHAnsi" w:hAnsiTheme="majorHAnsi" w:cstheme="majorHAnsi"/>
                <w:sz w:val="24"/>
                <w:szCs w:val="24"/>
              </w:rPr>
            </w:pPr>
            <w:r w:rsidRPr="00DE4CD2">
              <w:rPr>
                <w:rFonts w:asciiTheme="majorHAnsi" w:hAnsiTheme="majorHAnsi" w:cstheme="majorHAnsi"/>
                <w:sz w:val="24"/>
                <w:szCs w:val="24"/>
              </w:rPr>
              <w:t>41.1%</w:t>
            </w:r>
          </w:p>
        </w:tc>
        <w:tc>
          <w:tcPr>
            <w:tcW w:w="1134" w:type="dxa"/>
          </w:tcPr>
          <w:p w14:paraId="7B875728" w14:textId="77777777" w:rsidR="00666865" w:rsidRPr="00DE4CD2" w:rsidRDefault="00666865" w:rsidP="002B1C23">
            <w:pPr>
              <w:jc w:val="right"/>
              <w:rPr>
                <w:rFonts w:asciiTheme="majorHAnsi" w:hAnsiTheme="majorHAnsi" w:cstheme="majorHAnsi"/>
                <w:sz w:val="24"/>
                <w:szCs w:val="24"/>
              </w:rPr>
            </w:pPr>
            <w:r w:rsidRPr="00DE4CD2">
              <w:rPr>
                <w:rFonts w:asciiTheme="majorHAnsi" w:hAnsiTheme="majorHAnsi" w:cstheme="majorHAnsi"/>
                <w:sz w:val="24"/>
                <w:szCs w:val="24"/>
              </w:rPr>
              <w:t>0.4%</w:t>
            </w:r>
          </w:p>
        </w:tc>
        <w:tc>
          <w:tcPr>
            <w:tcW w:w="1434" w:type="dxa"/>
          </w:tcPr>
          <w:p w14:paraId="122794B7" w14:textId="77777777" w:rsidR="00666865" w:rsidRPr="00DE4CD2" w:rsidRDefault="00666865" w:rsidP="002B1C23">
            <w:pPr>
              <w:jc w:val="right"/>
              <w:rPr>
                <w:rFonts w:asciiTheme="majorHAnsi" w:hAnsiTheme="majorHAnsi" w:cstheme="majorHAnsi"/>
                <w:sz w:val="24"/>
                <w:szCs w:val="24"/>
              </w:rPr>
            </w:pPr>
            <w:r w:rsidRPr="00DE4CD2">
              <w:rPr>
                <w:rFonts w:asciiTheme="majorHAnsi" w:hAnsiTheme="majorHAnsi" w:cstheme="majorHAnsi"/>
                <w:sz w:val="24"/>
                <w:szCs w:val="24"/>
              </w:rPr>
              <w:t>14.6%</w:t>
            </w:r>
          </w:p>
        </w:tc>
        <w:tc>
          <w:tcPr>
            <w:tcW w:w="1399" w:type="dxa"/>
          </w:tcPr>
          <w:p w14:paraId="1380FBA3" w14:textId="77777777" w:rsidR="00666865" w:rsidRPr="00DE4CD2" w:rsidRDefault="00666865" w:rsidP="002B1C23">
            <w:pPr>
              <w:jc w:val="right"/>
              <w:rPr>
                <w:rFonts w:asciiTheme="majorHAnsi" w:hAnsiTheme="majorHAnsi" w:cstheme="majorHAnsi"/>
                <w:sz w:val="24"/>
                <w:szCs w:val="24"/>
              </w:rPr>
            </w:pPr>
            <w:r w:rsidRPr="00DE4CD2">
              <w:rPr>
                <w:rFonts w:asciiTheme="majorHAnsi" w:hAnsiTheme="majorHAnsi" w:cstheme="majorHAnsi"/>
                <w:sz w:val="24"/>
                <w:szCs w:val="24"/>
              </w:rPr>
              <w:t>31.1%</w:t>
            </w:r>
          </w:p>
        </w:tc>
        <w:tc>
          <w:tcPr>
            <w:tcW w:w="1071" w:type="dxa"/>
          </w:tcPr>
          <w:p w14:paraId="564256CF" w14:textId="77777777" w:rsidR="00666865" w:rsidRPr="00DE4CD2" w:rsidRDefault="00666865" w:rsidP="002B1C23">
            <w:pPr>
              <w:jc w:val="right"/>
              <w:rPr>
                <w:rFonts w:asciiTheme="majorHAnsi" w:hAnsiTheme="majorHAnsi" w:cstheme="majorHAnsi"/>
                <w:sz w:val="24"/>
                <w:szCs w:val="24"/>
              </w:rPr>
            </w:pPr>
            <w:r w:rsidRPr="00DE4CD2">
              <w:rPr>
                <w:rFonts w:asciiTheme="majorHAnsi" w:hAnsiTheme="majorHAnsi" w:cstheme="majorHAnsi"/>
                <w:sz w:val="24"/>
                <w:szCs w:val="24"/>
              </w:rPr>
              <w:t>7.9%</w:t>
            </w:r>
          </w:p>
        </w:tc>
      </w:tr>
      <w:tr w:rsidR="00FC3526" w:rsidRPr="00DE4CD2" w14:paraId="4EFE8189" w14:textId="77777777" w:rsidTr="00666865">
        <w:tc>
          <w:tcPr>
            <w:tcW w:w="1814" w:type="dxa"/>
          </w:tcPr>
          <w:p w14:paraId="5AEB1775" w14:textId="77777777" w:rsidR="00666865" w:rsidRPr="00DE4CD2" w:rsidRDefault="00666865" w:rsidP="002B1C23">
            <w:pPr>
              <w:rPr>
                <w:rFonts w:asciiTheme="majorHAnsi" w:hAnsiTheme="majorHAnsi" w:cstheme="majorHAnsi"/>
                <w:b/>
                <w:bCs/>
                <w:sz w:val="24"/>
                <w:szCs w:val="24"/>
              </w:rPr>
            </w:pPr>
            <w:r w:rsidRPr="00DE4CD2">
              <w:rPr>
                <w:rFonts w:asciiTheme="majorHAnsi" w:hAnsiTheme="majorHAnsi" w:cstheme="majorHAnsi"/>
                <w:b/>
                <w:bCs/>
                <w:sz w:val="24"/>
                <w:szCs w:val="24"/>
              </w:rPr>
              <w:t>Total</w:t>
            </w:r>
          </w:p>
        </w:tc>
        <w:tc>
          <w:tcPr>
            <w:tcW w:w="1134" w:type="dxa"/>
          </w:tcPr>
          <w:p w14:paraId="07EFD553" w14:textId="77777777" w:rsidR="00666865" w:rsidRPr="00DE4CD2" w:rsidRDefault="00666865" w:rsidP="002B1C23">
            <w:pPr>
              <w:jc w:val="right"/>
              <w:rPr>
                <w:rFonts w:asciiTheme="majorHAnsi" w:hAnsiTheme="majorHAnsi" w:cstheme="majorHAnsi"/>
                <w:sz w:val="24"/>
                <w:szCs w:val="24"/>
              </w:rPr>
            </w:pPr>
            <w:r w:rsidRPr="00DE4CD2">
              <w:rPr>
                <w:rFonts w:asciiTheme="majorHAnsi" w:hAnsiTheme="majorHAnsi" w:cstheme="majorHAnsi"/>
                <w:sz w:val="24"/>
                <w:szCs w:val="24"/>
              </w:rPr>
              <w:t>34.2%</w:t>
            </w:r>
          </w:p>
        </w:tc>
        <w:tc>
          <w:tcPr>
            <w:tcW w:w="1134" w:type="dxa"/>
          </w:tcPr>
          <w:p w14:paraId="16D78142" w14:textId="77777777" w:rsidR="00666865" w:rsidRPr="00DE4CD2" w:rsidRDefault="00666865" w:rsidP="002B1C23">
            <w:pPr>
              <w:jc w:val="right"/>
              <w:rPr>
                <w:rFonts w:asciiTheme="majorHAnsi" w:hAnsiTheme="majorHAnsi" w:cstheme="majorHAnsi"/>
                <w:sz w:val="24"/>
                <w:szCs w:val="24"/>
              </w:rPr>
            </w:pPr>
            <w:r w:rsidRPr="00DE4CD2">
              <w:rPr>
                <w:rFonts w:asciiTheme="majorHAnsi" w:hAnsiTheme="majorHAnsi" w:cstheme="majorHAnsi"/>
                <w:sz w:val="24"/>
                <w:szCs w:val="24"/>
              </w:rPr>
              <w:t>2.8%</w:t>
            </w:r>
          </w:p>
        </w:tc>
        <w:tc>
          <w:tcPr>
            <w:tcW w:w="1434" w:type="dxa"/>
          </w:tcPr>
          <w:p w14:paraId="64868BFA" w14:textId="77777777" w:rsidR="00666865" w:rsidRPr="00DE4CD2" w:rsidRDefault="00666865" w:rsidP="002B1C23">
            <w:pPr>
              <w:jc w:val="right"/>
              <w:rPr>
                <w:rFonts w:asciiTheme="majorHAnsi" w:hAnsiTheme="majorHAnsi" w:cstheme="majorHAnsi"/>
                <w:sz w:val="24"/>
                <w:szCs w:val="24"/>
              </w:rPr>
            </w:pPr>
            <w:r w:rsidRPr="00DE4CD2">
              <w:rPr>
                <w:rFonts w:asciiTheme="majorHAnsi" w:hAnsiTheme="majorHAnsi" w:cstheme="majorHAnsi"/>
                <w:sz w:val="24"/>
                <w:szCs w:val="24"/>
              </w:rPr>
              <w:t>12.0%</w:t>
            </w:r>
          </w:p>
        </w:tc>
        <w:tc>
          <w:tcPr>
            <w:tcW w:w="1399" w:type="dxa"/>
          </w:tcPr>
          <w:p w14:paraId="18B4EF35" w14:textId="77777777" w:rsidR="00666865" w:rsidRPr="00DE4CD2" w:rsidRDefault="00666865" w:rsidP="002B1C23">
            <w:pPr>
              <w:jc w:val="right"/>
              <w:rPr>
                <w:rFonts w:asciiTheme="majorHAnsi" w:hAnsiTheme="majorHAnsi" w:cstheme="majorHAnsi"/>
                <w:sz w:val="24"/>
                <w:szCs w:val="24"/>
              </w:rPr>
            </w:pPr>
            <w:r w:rsidRPr="00DE4CD2">
              <w:rPr>
                <w:rFonts w:asciiTheme="majorHAnsi" w:hAnsiTheme="majorHAnsi" w:cstheme="majorHAnsi"/>
                <w:sz w:val="24"/>
                <w:szCs w:val="24"/>
              </w:rPr>
              <w:t>26.5%</w:t>
            </w:r>
          </w:p>
        </w:tc>
        <w:tc>
          <w:tcPr>
            <w:tcW w:w="1071" w:type="dxa"/>
          </w:tcPr>
          <w:p w14:paraId="7049819E" w14:textId="77777777" w:rsidR="00666865" w:rsidRPr="00DE4CD2" w:rsidRDefault="00666865" w:rsidP="002B1C23">
            <w:pPr>
              <w:jc w:val="right"/>
              <w:rPr>
                <w:rFonts w:asciiTheme="majorHAnsi" w:hAnsiTheme="majorHAnsi" w:cstheme="majorHAnsi"/>
                <w:sz w:val="24"/>
                <w:szCs w:val="24"/>
              </w:rPr>
            </w:pPr>
            <w:r w:rsidRPr="00DE4CD2">
              <w:rPr>
                <w:rFonts w:asciiTheme="majorHAnsi" w:hAnsiTheme="majorHAnsi" w:cstheme="majorHAnsi"/>
                <w:sz w:val="24"/>
                <w:szCs w:val="24"/>
              </w:rPr>
              <w:t>5.6%</w:t>
            </w:r>
          </w:p>
        </w:tc>
      </w:tr>
    </w:tbl>
    <w:p w14:paraId="14BC376B" w14:textId="77777777" w:rsidR="00666865" w:rsidRPr="00DE4CD2" w:rsidRDefault="00666865" w:rsidP="00666865">
      <w:pPr>
        <w:rPr>
          <w:rFonts w:asciiTheme="majorHAnsi" w:hAnsiTheme="majorHAnsi" w:cstheme="majorHAnsi"/>
          <w:sz w:val="20"/>
          <w:szCs w:val="20"/>
        </w:rPr>
      </w:pPr>
      <w:r w:rsidRPr="00DE4CD2">
        <w:rPr>
          <w:rFonts w:asciiTheme="majorHAnsi" w:hAnsiTheme="majorHAnsi" w:cstheme="majorHAnsi"/>
          <w:sz w:val="20"/>
          <w:szCs w:val="20"/>
        </w:rPr>
        <w:t>Note: the patent data have only been matched with CIB dataset</w:t>
      </w:r>
    </w:p>
    <w:p w14:paraId="13A6C4C3" w14:textId="77777777" w:rsidR="00666865" w:rsidRPr="00DE4CD2" w:rsidRDefault="00666865" w:rsidP="00666865">
      <w:pPr>
        <w:rPr>
          <w:rFonts w:asciiTheme="majorHAnsi" w:hAnsiTheme="majorHAnsi" w:cstheme="majorHAnsi"/>
        </w:rPr>
      </w:pPr>
    </w:p>
    <w:p w14:paraId="03F9AC80" w14:textId="77777777" w:rsidR="004502BC" w:rsidRPr="00DE4CD2" w:rsidRDefault="004502BC" w:rsidP="00ED6220">
      <w:pPr>
        <w:rPr>
          <w:rFonts w:asciiTheme="majorHAnsi" w:hAnsiTheme="majorHAnsi" w:cstheme="majorHAnsi"/>
        </w:rPr>
      </w:pPr>
    </w:p>
    <w:p w14:paraId="137D2446" w14:textId="597EFF29" w:rsidR="005B3E1A" w:rsidRPr="00DE4CD2" w:rsidRDefault="005B3E1A" w:rsidP="005B3E1A">
      <w:pPr>
        <w:pStyle w:val="berschrift2"/>
        <w:rPr>
          <w:rFonts w:asciiTheme="majorHAnsi" w:hAnsiTheme="majorHAnsi" w:cstheme="majorHAnsi"/>
          <w:color w:val="auto"/>
        </w:rPr>
      </w:pPr>
      <w:bookmarkStart w:id="22" w:name="_Toc153536131"/>
      <w:r w:rsidRPr="00DE4CD2">
        <w:rPr>
          <w:rFonts w:asciiTheme="majorHAnsi" w:hAnsiTheme="majorHAnsi" w:cstheme="majorHAnsi"/>
          <w:color w:val="auto"/>
        </w:rPr>
        <w:t>Group 3 – Datasets on public research and human resources</w:t>
      </w:r>
      <w:bookmarkEnd w:id="22"/>
    </w:p>
    <w:p w14:paraId="07E73FD9" w14:textId="77777777" w:rsidR="005B3E1A" w:rsidRPr="00DE4CD2" w:rsidRDefault="005B3E1A" w:rsidP="005B3E1A">
      <w:pPr>
        <w:pStyle w:val="berschrift3"/>
        <w:rPr>
          <w:rFonts w:asciiTheme="majorHAnsi" w:hAnsiTheme="majorHAnsi" w:cstheme="majorHAnsi"/>
          <w:color w:val="auto"/>
        </w:rPr>
      </w:pPr>
      <w:bookmarkStart w:id="23" w:name="_Toc153536132"/>
      <w:r w:rsidRPr="00DE4CD2">
        <w:rPr>
          <w:rFonts w:asciiTheme="majorHAnsi" w:hAnsiTheme="majorHAnsi" w:cstheme="majorHAnsi"/>
          <w:color w:val="auto"/>
        </w:rPr>
        <w:t>RISIS-ETER</w:t>
      </w:r>
      <w:bookmarkEnd w:id="23"/>
    </w:p>
    <w:p w14:paraId="58C9C157" w14:textId="347FD25D" w:rsidR="00FF0B92" w:rsidRPr="00DE4CD2" w:rsidRDefault="00FF0B92" w:rsidP="00FF0B92">
      <w:pPr>
        <w:rPr>
          <w:rFonts w:asciiTheme="majorHAnsi" w:hAnsiTheme="majorHAnsi" w:cstheme="majorHAnsi"/>
        </w:rPr>
      </w:pPr>
    </w:p>
    <w:p w14:paraId="16618783" w14:textId="77777777" w:rsidR="009442D4" w:rsidRPr="00DE4CD2" w:rsidRDefault="009442D4" w:rsidP="009442D4">
      <w:pPr>
        <w:rPr>
          <w:rFonts w:asciiTheme="majorHAnsi" w:hAnsiTheme="majorHAnsi" w:cstheme="majorHAnsi"/>
          <w:b/>
          <w:bCs/>
          <w:i/>
          <w:iCs/>
        </w:rPr>
      </w:pPr>
      <w:r w:rsidRPr="00DE4CD2">
        <w:rPr>
          <w:rFonts w:asciiTheme="majorHAnsi" w:hAnsiTheme="majorHAnsi" w:cstheme="majorHAnsi"/>
          <w:b/>
          <w:bCs/>
          <w:i/>
          <w:iCs/>
        </w:rPr>
        <w:t xml:space="preserve">Present State and value added </w:t>
      </w:r>
    </w:p>
    <w:p w14:paraId="12D1E501" w14:textId="4ACC19AC" w:rsidR="009442D4" w:rsidRPr="00DE4CD2" w:rsidRDefault="009442D4" w:rsidP="009442D4">
      <w:pPr>
        <w:pStyle w:val="Standard1"/>
        <w:rPr>
          <w:rFonts w:asciiTheme="majorHAnsi" w:hAnsiTheme="majorHAnsi" w:cstheme="majorHAnsi"/>
        </w:rPr>
      </w:pPr>
      <w:r w:rsidRPr="00DE4CD2">
        <w:rPr>
          <w:rFonts w:asciiTheme="majorHAnsi" w:hAnsiTheme="majorHAnsi" w:cstheme="majorHAnsi"/>
        </w:rPr>
        <w:t xml:space="preserve">The European Tertiary Education Register (ETER; </w:t>
      </w:r>
      <w:hyperlink r:id="rId58" w:history="1">
        <w:r w:rsidRPr="00DE4CD2">
          <w:rPr>
            <w:rStyle w:val="Hyperlink"/>
            <w:rFonts w:asciiTheme="majorHAnsi" w:hAnsiTheme="majorHAnsi" w:cstheme="majorHAnsi"/>
            <w:color w:val="auto"/>
          </w:rPr>
          <w:t>https://www.eter-project.com/</w:t>
        </w:r>
      </w:hyperlink>
      <w:r w:rsidRPr="00DE4CD2">
        <w:rPr>
          <w:rFonts w:asciiTheme="majorHAnsi" w:hAnsiTheme="majorHAnsi" w:cstheme="majorHAnsi"/>
        </w:rPr>
        <w:t>) it is a reference database on European Higher Education Institutions supported through a set of contracts by the European Commission (</w:t>
      </w:r>
      <w:sdt>
        <w:sdtPr>
          <w:rPr>
            <w:rFonts w:asciiTheme="majorHAnsi" w:hAnsiTheme="majorHAnsi" w:cstheme="majorHAnsi"/>
            <w:highlight w:val="white"/>
          </w:rPr>
          <w:alias w:val="Citation"/>
          <w:tag w:val="{&quot;referencesIds&quot;:[&quot;doc:64abd5e454a44f062c84aa96&quot;],&quot;referencesOptions&quot;:{&quot;doc:64abd5e454a44f062c84aa96&quot;:{&quot;author&quot;:true,&quot;year&quot;:true,&quot;pageReplace&quot;:&quot;&quot;,&quot;prefix&quot;:&quot;&quot;,&quot;suffix&quot;:&quot;&quot;}},&quot;hasBrokenReferences&quot;:false,&quot;hasManualEdits&quot;:false,&quot;citationType&quot;:&quot;inline&quot;,&quot;id&quot;:-590622231,&quot;citationText&quot;:&quot;&lt;span style=\&quot;font-family:Cambria;font-size:16px;color:#000000\&quot;&gt;Lepori, Benedetto et al., 2023&lt;/span&gt;&quot;}"/>
          <w:id w:val="-590622231"/>
          <w:placeholder>
            <w:docPart w:val="E21EA81C6BAA42F3B078C4E72BD71277"/>
          </w:placeholder>
        </w:sdtPr>
        <w:sdtEndPr/>
        <w:sdtContent>
          <w:r w:rsidRPr="00DE4CD2">
            <w:rPr>
              <w:rFonts w:asciiTheme="majorHAnsi" w:eastAsia="Times New Roman" w:hAnsiTheme="majorHAnsi" w:cstheme="majorHAnsi"/>
            </w:rPr>
            <w:t>Lepori, Benedetto et al., 2023</w:t>
          </w:r>
        </w:sdtContent>
      </w:sdt>
      <w:r w:rsidRPr="00DE4CD2">
        <w:rPr>
          <w:rFonts w:asciiTheme="majorHAnsi" w:hAnsiTheme="majorHAnsi" w:cstheme="majorHAnsi"/>
        </w:rPr>
        <w:t>).</w:t>
      </w:r>
      <w:r w:rsidR="0017098C" w:rsidRPr="00DE4CD2">
        <w:rPr>
          <w:rFonts w:asciiTheme="majorHAnsi" w:hAnsiTheme="majorHAnsi" w:cstheme="majorHAnsi"/>
        </w:rPr>
        <w:t xml:space="preserve"> </w:t>
      </w:r>
      <w:r w:rsidRPr="00DE4CD2">
        <w:rPr>
          <w:rFonts w:asciiTheme="majorHAnsi" w:hAnsiTheme="majorHAnsi" w:cstheme="majorHAnsi"/>
        </w:rPr>
        <w:t>It provides a core set of data on Higher Education Institutions (HEIs) delivering degrees at the tertiary level in Europe. It includes descriptive information, such as legal status and foundation year, geographical information, students and graduates, personnel, HEI expenditures, research activities, as well as a set of pre-defined indicators characterising relevant dimensions of HEI activities, like the extent of subject specialisation, international mobility, or gender balance.</w:t>
      </w:r>
    </w:p>
    <w:p w14:paraId="1301C908" w14:textId="77777777" w:rsidR="0017098C" w:rsidRPr="00DE4CD2" w:rsidRDefault="0017098C" w:rsidP="009442D4">
      <w:pPr>
        <w:pStyle w:val="Standard1"/>
        <w:rPr>
          <w:rFonts w:asciiTheme="majorHAnsi" w:hAnsiTheme="majorHAnsi" w:cstheme="majorHAnsi"/>
        </w:rPr>
      </w:pPr>
    </w:p>
    <w:p w14:paraId="194B0B11" w14:textId="609FF19A" w:rsidR="009442D4" w:rsidRPr="00DE4CD2" w:rsidRDefault="009442D4" w:rsidP="009442D4">
      <w:pPr>
        <w:pStyle w:val="Standard1"/>
        <w:rPr>
          <w:rFonts w:asciiTheme="majorHAnsi" w:hAnsiTheme="majorHAnsi" w:cstheme="majorHAnsi"/>
        </w:rPr>
      </w:pPr>
      <w:r w:rsidRPr="00DE4CD2">
        <w:rPr>
          <w:rFonts w:asciiTheme="majorHAnsi" w:hAnsiTheme="majorHAnsi" w:cstheme="majorHAnsi"/>
        </w:rPr>
        <w:t xml:space="preserve">ETER is closely related to </w:t>
      </w:r>
      <w:proofErr w:type="spellStart"/>
      <w:r w:rsidRPr="00DE4CD2">
        <w:rPr>
          <w:rFonts w:asciiTheme="majorHAnsi" w:hAnsiTheme="majorHAnsi" w:cstheme="majorHAnsi"/>
        </w:rPr>
        <w:t>OrgReg</w:t>
      </w:r>
      <w:proofErr w:type="spellEnd"/>
      <w:r w:rsidRPr="00DE4CD2">
        <w:rPr>
          <w:rFonts w:asciiTheme="majorHAnsi" w:hAnsiTheme="majorHAnsi" w:cstheme="majorHAnsi"/>
        </w:rPr>
        <w:t xml:space="preserve"> as it shares the same identifiers and most descriptive information; the two databases are also hosted on the same platform. Moreover, </w:t>
      </w:r>
      <w:proofErr w:type="spellStart"/>
      <w:r w:rsidRPr="00DE4CD2">
        <w:rPr>
          <w:rFonts w:asciiTheme="majorHAnsi" w:hAnsiTheme="majorHAnsi" w:cstheme="majorHAnsi"/>
        </w:rPr>
        <w:t>OrgReg</w:t>
      </w:r>
      <w:proofErr w:type="spellEnd"/>
      <w:r w:rsidRPr="00DE4CD2">
        <w:rPr>
          <w:rFonts w:asciiTheme="majorHAnsi" w:hAnsiTheme="majorHAnsi" w:cstheme="majorHAnsi"/>
        </w:rPr>
        <w:t xml:space="preserve"> complementarily to ETER provides indicators on scientific publications, patents and European projects derived from other RISIS databases.</w:t>
      </w:r>
    </w:p>
    <w:p w14:paraId="73048040" w14:textId="77777777" w:rsidR="00B94B80" w:rsidRPr="00DE4CD2" w:rsidRDefault="00B94B80" w:rsidP="009442D4">
      <w:pPr>
        <w:pStyle w:val="Standard1"/>
        <w:rPr>
          <w:rFonts w:asciiTheme="majorHAnsi" w:hAnsiTheme="majorHAnsi" w:cstheme="majorHAnsi"/>
        </w:rPr>
      </w:pPr>
    </w:p>
    <w:p w14:paraId="6EF44B63" w14:textId="6992833C" w:rsidR="009442D4" w:rsidRPr="00DE4CD2" w:rsidRDefault="009442D4" w:rsidP="009442D4">
      <w:pPr>
        <w:pStyle w:val="Standard1"/>
        <w:rPr>
          <w:rFonts w:asciiTheme="majorHAnsi" w:hAnsiTheme="majorHAnsi" w:cstheme="majorHAnsi"/>
        </w:rPr>
      </w:pPr>
      <w:r w:rsidRPr="00DE4CD2">
        <w:rPr>
          <w:rFonts w:asciiTheme="majorHAnsi" w:hAnsiTheme="majorHAnsi" w:cstheme="majorHAnsi"/>
        </w:rPr>
        <w:t xml:space="preserve">Data are currently provided for the years 2011-2020 with the release of 2021 data foreseen in spring 2024. The ETER perimeter covers all 27 European Union member states, EEA-EFTA countries (Iceland, Liechtenstein, Norway and Switzerland), and candidate countries (Albania, Bosnia-Herzegovina, </w:t>
      </w:r>
      <w:r w:rsidRPr="00DE4CD2">
        <w:rPr>
          <w:rFonts w:asciiTheme="majorHAnsi" w:hAnsiTheme="majorHAnsi" w:cstheme="majorHAnsi"/>
        </w:rPr>
        <w:lastRenderedPageBreak/>
        <w:t>Kosovo, the Republic of North Macedonia, Montenegro, Serbia and Turkey), as well as Holy See and Andorra, and the UK for a total of 41 countries.</w:t>
      </w:r>
    </w:p>
    <w:p w14:paraId="34C195F9" w14:textId="01A350FF" w:rsidR="0017098C" w:rsidRPr="00DE4CD2" w:rsidRDefault="0017098C" w:rsidP="009442D4">
      <w:pPr>
        <w:pStyle w:val="Standard1"/>
        <w:rPr>
          <w:rFonts w:asciiTheme="majorHAnsi" w:hAnsiTheme="majorHAnsi" w:cstheme="majorHAnsi"/>
        </w:rPr>
      </w:pPr>
    </w:p>
    <w:p w14:paraId="143D373E" w14:textId="77777777" w:rsidR="0017098C" w:rsidRPr="00DE4CD2" w:rsidRDefault="0017098C" w:rsidP="0017098C">
      <w:pPr>
        <w:rPr>
          <w:rFonts w:asciiTheme="majorHAnsi" w:hAnsiTheme="majorHAnsi" w:cstheme="majorHAnsi"/>
          <w:b/>
          <w:bCs/>
          <w:i/>
          <w:iCs/>
        </w:rPr>
      </w:pPr>
      <w:r w:rsidRPr="00DE4CD2">
        <w:rPr>
          <w:rFonts w:asciiTheme="majorHAnsi" w:hAnsiTheme="majorHAnsi" w:cstheme="majorHAnsi"/>
          <w:b/>
          <w:bCs/>
          <w:i/>
          <w:iCs/>
        </w:rPr>
        <w:t>Main achievements</w:t>
      </w:r>
    </w:p>
    <w:p w14:paraId="2CFD085B" w14:textId="77777777" w:rsidR="009442D4" w:rsidRPr="00DE4CD2" w:rsidRDefault="009442D4" w:rsidP="009442D4">
      <w:pPr>
        <w:pStyle w:val="Standard1"/>
        <w:rPr>
          <w:rFonts w:asciiTheme="majorHAnsi" w:hAnsiTheme="majorHAnsi" w:cstheme="majorHAnsi"/>
        </w:rPr>
      </w:pPr>
      <w:r w:rsidRPr="00DE4CD2">
        <w:rPr>
          <w:rFonts w:asciiTheme="majorHAnsi" w:hAnsiTheme="majorHAnsi" w:cstheme="majorHAnsi"/>
        </w:rPr>
        <w:t>ETER has been significantly extended in the last years to include information on mode of study, age of students, teaching and research assistants, quality assurance indicators (thanks to cooperation with DEQAR). The two most significant recent extensions are:</w:t>
      </w:r>
    </w:p>
    <w:p w14:paraId="02365A69" w14:textId="77777777" w:rsidR="009442D4" w:rsidRPr="00DE4CD2" w:rsidRDefault="009442D4" w:rsidP="009442D4">
      <w:pPr>
        <w:pStyle w:val="Standard1"/>
        <w:numPr>
          <w:ilvl w:val="0"/>
          <w:numId w:val="16"/>
        </w:numPr>
        <w:rPr>
          <w:rFonts w:asciiTheme="majorHAnsi" w:hAnsiTheme="majorHAnsi" w:cstheme="majorHAnsi"/>
        </w:rPr>
      </w:pPr>
      <w:r w:rsidRPr="00DE4CD2">
        <w:rPr>
          <w:rFonts w:asciiTheme="majorHAnsi" w:hAnsiTheme="majorHAnsi" w:cstheme="majorHAnsi"/>
        </w:rPr>
        <w:t>Detailed data on participations to EU-FP thanks to the matching with RISIS-EUPRO: indicators include participations by field of education and training and subprogramme, coordination, industry cooperation and regional participation. These data allow for a fine—grained longitudinal analysis of HEIs participation patterns as related to their institutional characteristics.</w:t>
      </w:r>
    </w:p>
    <w:p w14:paraId="7A372F54" w14:textId="77777777" w:rsidR="009442D4" w:rsidRPr="00DE4CD2" w:rsidRDefault="009442D4" w:rsidP="009442D4">
      <w:pPr>
        <w:pStyle w:val="Standard1"/>
        <w:numPr>
          <w:ilvl w:val="0"/>
          <w:numId w:val="16"/>
        </w:numPr>
        <w:rPr>
          <w:rFonts w:asciiTheme="majorHAnsi" w:hAnsiTheme="majorHAnsi" w:cstheme="majorHAnsi"/>
        </w:rPr>
      </w:pPr>
      <w:r w:rsidRPr="00DE4CD2">
        <w:rPr>
          <w:rFonts w:asciiTheme="majorHAnsi" w:hAnsiTheme="majorHAnsi" w:cstheme="majorHAnsi"/>
        </w:rPr>
        <w:t>The breakdown of academic personnel by seniority level (senior, intermediate, junior) following the classification developed by OECD-INES. These data are important in order to analyse the structure of academic personnel and its variation across countries and HEIs.</w:t>
      </w:r>
    </w:p>
    <w:p w14:paraId="321FAAC5" w14:textId="77777777" w:rsidR="009442D4" w:rsidRPr="00DE4CD2" w:rsidRDefault="009442D4" w:rsidP="009442D4">
      <w:pPr>
        <w:rPr>
          <w:rFonts w:asciiTheme="majorHAnsi" w:hAnsiTheme="majorHAnsi" w:cstheme="majorHAnsi"/>
        </w:rPr>
      </w:pPr>
    </w:p>
    <w:p w14:paraId="03E71EB6" w14:textId="77777777" w:rsidR="009442D4" w:rsidRPr="00DE4CD2" w:rsidRDefault="009442D4" w:rsidP="009442D4">
      <w:pPr>
        <w:jc w:val="both"/>
        <w:rPr>
          <w:rFonts w:asciiTheme="majorHAnsi" w:hAnsiTheme="majorHAnsi" w:cstheme="majorHAnsi"/>
          <w:b/>
          <w:bCs/>
          <w:i/>
          <w:iCs/>
        </w:rPr>
      </w:pPr>
      <w:r w:rsidRPr="00DE4CD2">
        <w:rPr>
          <w:rFonts w:asciiTheme="majorHAnsi" w:hAnsiTheme="majorHAnsi" w:cstheme="majorHAnsi"/>
          <w:b/>
          <w:bCs/>
          <w:i/>
          <w:iCs/>
        </w:rPr>
        <w:t>Description of selected usage cases within RISIS</w:t>
      </w:r>
    </w:p>
    <w:p w14:paraId="5491E91C" w14:textId="77777777" w:rsidR="009442D4" w:rsidRPr="00DE4CD2" w:rsidRDefault="009442D4" w:rsidP="009442D4">
      <w:pPr>
        <w:jc w:val="both"/>
        <w:rPr>
          <w:rFonts w:asciiTheme="majorHAnsi" w:hAnsiTheme="majorHAnsi" w:cstheme="majorHAnsi"/>
        </w:rPr>
      </w:pPr>
      <w:r w:rsidRPr="00DE4CD2">
        <w:rPr>
          <w:rFonts w:asciiTheme="majorHAnsi" w:hAnsiTheme="majorHAnsi" w:cstheme="majorHAnsi"/>
        </w:rPr>
        <w:t xml:space="preserve">RISIS-ETER has been intensively used for a variety of questions directly related to Higher Education research, but in combination with other datasets also in related fields. A comprehensive overview of use cases can be found at </w:t>
      </w:r>
      <w:hyperlink r:id="rId59" w:history="1">
        <w:r w:rsidRPr="00DE4CD2">
          <w:rPr>
            <w:rStyle w:val="Hyperlink"/>
            <w:rFonts w:asciiTheme="majorHAnsi" w:hAnsiTheme="majorHAnsi" w:cstheme="majorHAnsi"/>
            <w:color w:val="auto"/>
          </w:rPr>
          <w:t>https://www.eter-project.com/category/results/use-cases/</w:t>
        </w:r>
      </w:hyperlink>
      <w:r w:rsidRPr="00DE4CD2">
        <w:rPr>
          <w:rFonts w:asciiTheme="majorHAnsi" w:hAnsiTheme="majorHAnsi" w:cstheme="majorHAnsi"/>
        </w:rPr>
        <w:t>.</w:t>
      </w:r>
    </w:p>
    <w:p w14:paraId="7CA8AB76" w14:textId="77777777" w:rsidR="009442D4" w:rsidRPr="00DE4CD2" w:rsidRDefault="009442D4" w:rsidP="009442D4">
      <w:pPr>
        <w:jc w:val="both"/>
        <w:rPr>
          <w:rFonts w:asciiTheme="majorHAnsi" w:hAnsiTheme="majorHAnsi" w:cstheme="majorHAnsi"/>
        </w:rPr>
      </w:pPr>
    </w:p>
    <w:p w14:paraId="6DC6DB54" w14:textId="0D788D2E" w:rsidR="009442D4" w:rsidRPr="00DE4CD2" w:rsidRDefault="009442D4" w:rsidP="009442D4">
      <w:pPr>
        <w:jc w:val="both"/>
        <w:rPr>
          <w:rFonts w:asciiTheme="majorHAnsi" w:hAnsiTheme="majorHAnsi" w:cstheme="majorHAnsi"/>
        </w:rPr>
      </w:pPr>
      <w:r w:rsidRPr="00DE4CD2">
        <w:rPr>
          <w:rFonts w:asciiTheme="majorHAnsi" w:hAnsiTheme="majorHAnsi" w:cstheme="majorHAnsi"/>
        </w:rPr>
        <w:t xml:space="preserve">A recent analysis of the ETER usage has been performed through the documents referencing ETER and available in Google Scholar. As documented by Figure </w:t>
      </w:r>
      <w:r w:rsidR="0063329C" w:rsidRPr="00DE4CD2">
        <w:rPr>
          <w:rFonts w:asciiTheme="majorHAnsi" w:hAnsiTheme="majorHAnsi" w:cstheme="majorHAnsi"/>
        </w:rPr>
        <w:t>26</w:t>
      </w:r>
      <w:r w:rsidRPr="00DE4CD2">
        <w:rPr>
          <w:rFonts w:asciiTheme="majorHAnsi" w:hAnsiTheme="majorHAnsi" w:cstheme="majorHAnsi"/>
        </w:rPr>
        <w:t>, about 200 publications have been retrieved, and their number has grown rapidly in the recent years.</w:t>
      </w:r>
    </w:p>
    <w:p w14:paraId="00D92353" w14:textId="77777777" w:rsidR="009442D4" w:rsidRPr="00DE4CD2" w:rsidRDefault="009442D4" w:rsidP="009442D4">
      <w:pPr>
        <w:jc w:val="both"/>
        <w:rPr>
          <w:rFonts w:asciiTheme="majorHAnsi" w:hAnsiTheme="majorHAnsi" w:cstheme="majorHAnsi"/>
        </w:rPr>
      </w:pPr>
    </w:p>
    <w:p w14:paraId="252CD9BB" w14:textId="192BBA70" w:rsidR="009442D4" w:rsidRPr="00DE4CD2" w:rsidRDefault="009442D4" w:rsidP="009442D4">
      <w:pPr>
        <w:spacing w:after="120"/>
        <w:jc w:val="both"/>
        <w:rPr>
          <w:rFonts w:asciiTheme="majorHAnsi" w:eastAsiaTheme="minorHAnsi" w:hAnsiTheme="majorHAnsi" w:cstheme="majorHAnsi"/>
          <w:i/>
          <w:iCs/>
          <w:lang w:val="en-US" w:eastAsia="en-US"/>
        </w:rPr>
      </w:pPr>
      <w:bookmarkStart w:id="24" w:name="_Ref153531185"/>
      <w:r w:rsidRPr="00DE4CD2">
        <w:rPr>
          <w:rFonts w:asciiTheme="majorHAnsi" w:eastAsiaTheme="minorHAnsi" w:hAnsiTheme="majorHAnsi" w:cstheme="majorHAnsi"/>
          <w:i/>
          <w:iCs/>
          <w:lang w:val="en-US" w:eastAsia="en-US"/>
        </w:rPr>
        <w:t xml:space="preserve">Figure </w:t>
      </w:r>
      <w:bookmarkEnd w:id="24"/>
      <w:r w:rsidR="0063329C" w:rsidRPr="00DE4CD2">
        <w:rPr>
          <w:rFonts w:asciiTheme="majorHAnsi" w:eastAsiaTheme="minorHAnsi" w:hAnsiTheme="majorHAnsi" w:cstheme="majorHAnsi"/>
          <w:i/>
          <w:iCs/>
          <w:lang w:val="en-US" w:eastAsia="en-US"/>
        </w:rPr>
        <w:t>26</w:t>
      </w:r>
      <w:r w:rsidRPr="00DE4CD2">
        <w:rPr>
          <w:rFonts w:asciiTheme="majorHAnsi" w:eastAsiaTheme="minorHAnsi" w:hAnsiTheme="majorHAnsi" w:cstheme="majorHAnsi"/>
          <w:i/>
          <w:iCs/>
          <w:lang w:val="en-US" w:eastAsia="en-US"/>
        </w:rPr>
        <w:t>. Number of documents using ETER in Google Scholar</w:t>
      </w:r>
    </w:p>
    <w:p w14:paraId="44A9A5B7" w14:textId="77777777" w:rsidR="009442D4" w:rsidRPr="00DE4CD2" w:rsidRDefault="009442D4" w:rsidP="009442D4">
      <w:pPr>
        <w:jc w:val="both"/>
        <w:rPr>
          <w:rFonts w:asciiTheme="majorHAnsi" w:hAnsiTheme="majorHAnsi" w:cstheme="majorHAnsi"/>
        </w:rPr>
      </w:pPr>
      <w:r w:rsidRPr="00DE4CD2">
        <w:rPr>
          <w:rFonts w:asciiTheme="majorHAnsi" w:hAnsiTheme="majorHAnsi" w:cstheme="majorHAnsi"/>
          <w:noProof/>
        </w:rPr>
        <w:drawing>
          <wp:inline distT="0" distB="0" distL="0" distR="0" wp14:anchorId="77E856FD" wp14:editId="275E17B4">
            <wp:extent cx="6116320" cy="3676650"/>
            <wp:effectExtent l="0" t="0" r="0" b="0"/>
            <wp:docPr id="74" name="Picture 74">
              <a:extLst xmlns:a="http://schemas.openxmlformats.org/drawingml/2006/main">
                <a:ext uri="{FF2B5EF4-FFF2-40B4-BE49-F238E27FC236}">
                  <a16:creationId xmlns:a16="http://schemas.microsoft.com/office/drawing/2014/main" id="{827C30DB-A47C-6FE4-6005-0B62C885659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827C30DB-A47C-6FE4-6005-0B62C885659B}"/>
                        </a:ext>
                      </a:extLst>
                    </pic:cNvPr>
                    <pic:cNvPicPr>
                      <a:picLocks noChangeAspect="1"/>
                    </pic:cNvPicPr>
                  </pic:nvPicPr>
                  <pic:blipFill>
                    <a:blip r:embed="rId60"/>
                    <a:stretch>
                      <a:fillRect/>
                    </a:stretch>
                  </pic:blipFill>
                  <pic:spPr>
                    <a:xfrm>
                      <a:off x="0" y="0"/>
                      <a:ext cx="6116320" cy="3676650"/>
                    </a:xfrm>
                    <a:prstGeom prst="rect">
                      <a:avLst/>
                    </a:prstGeom>
                  </pic:spPr>
                </pic:pic>
              </a:graphicData>
            </a:graphic>
          </wp:inline>
        </w:drawing>
      </w:r>
    </w:p>
    <w:p w14:paraId="3B472719" w14:textId="5D769939" w:rsidR="009442D4" w:rsidRPr="00DE4CD2" w:rsidRDefault="009442D4" w:rsidP="009442D4">
      <w:pPr>
        <w:jc w:val="both"/>
        <w:rPr>
          <w:rFonts w:asciiTheme="majorHAnsi" w:hAnsiTheme="majorHAnsi" w:cstheme="majorHAnsi"/>
        </w:rPr>
      </w:pPr>
      <w:r w:rsidRPr="00DE4CD2">
        <w:rPr>
          <w:rFonts w:asciiTheme="majorHAnsi" w:hAnsiTheme="majorHAnsi" w:cstheme="majorHAnsi"/>
        </w:rPr>
        <w:lastRenderedPageBreak/>
        <w:t>The analysis of the keywords and of the authors using ETER display a great range of topics and a broad network of authors, suggesting that ETER has indeed become a reference database for several communities in the research policy and higher education field. More specifically, we could distinguish the following main areas of ETER usage (see</w:t>
      </w:r>
      <w:r w:rsidR="006E27F4" w:rsidRPr="00DE4CD2">
        <w:rPr>
          <w:rFonts w:asciiTheme="majorHAnsi" w:hAnsiTheme="majorHAnsi" w:cstheme="majorHAnsi"/>
        </w:rPr>
        <w:t xml:space="preserve"> Figure </w:t>
      </w:r>
      <w:r w:rsidR="0063329C" w:rsidRPr="00DE4CD2">
        <w:rPr>
          <w:rFonts w:asciiTheme="majorHAnsi" w:hAnsiTheme="majorHAnsi" w:cstheme="majorHAnsi"/>
        </w:rPr>
        <w:t>27</w:t>
      </w:r>
      <w:r w:rsidRPr="00DE4CD2">
        <w:rPr>
          <w:rFonts w:asciiTheme="majorHAnsi" w:hAnsiTheme="majorHAnsi" w:cstheme="majorHAnsi"/>
        </w:rPr>
        <w:t>):</w:t>
      </w:r>
    </w:p>
    <w:p w14:paraId="5B21DF57" w14:textId="77777777" w:rsidR="009442D4" w:rsidRPr="00DE4CD2" w:rsidRDefault="009442D4" w:rsidP="009442D4">
      <w:pPr>
        <w:jc w:val="both"/>
        <w:rPr>
          <w:rFonts w:asciiTheme="majorHAnsi" w:hAnsiTheme="majorHAnsi" w:cstheme="majorHAnsi"/>
        </w:rPr>
      </w:pPr>
    </w:p>
    <w:p w14:paraId="33B3C280" w14:textId="77777777" w:rsidR="009442D4" w:rsidRPr="00DE4CD2" w:rsidRDefault="009442D4" w:rsidP="009442D4">
      <w:pPr>
        <w:numPr>
          <w:ilvl w:val="0"/>
          <w:numId w:val="17"/>
        </w:numPr>
        <w:jc w:val="both"/>
        <w:rPr>
          <w:rFonts w:asciiTheme="majorHAnsi" w:hAnsiTheme="majorHAnsi" w:cstheme="majorHAnsi"/>
        </w:rPr>
      </w:pPr>
      <w:r w:rsidRPr="00DE4CD2">
        <w:rPr>
          <w:rFonts w:asciiTheme="majorHAnsi" w:hAnsiTheme="majorHAnsi" w:cstheme="majorHAnsi"/>
          <w:lang w:val="en-US"/>
        </w:rPr>
        <w:t>HEI systems and types</w:t>
      </w:r>
    </w:p>
    <w:p w14:paraId="123968DE" w14:textId="77777777" w:rsidR="009442D4" w:rsidRPr="00DE4CD2" w:rsidRDefault="009442D4" w:rsidP="009442D4">
      <w:pPr>
        <w:numPr>
          <w:ilvl w:val="0"/>
          <w:numId w:val="17"/>
        </w:numPr>
        <w:jc w:val="both"/>
        <w:rPr>
          <w:rFonts w:asciiTheme="majorHAnsi" w:hAnsiTheme="majorHAnsi" w:cstheme="majorHAnsi"/>
        </w:rPr>
      </w:pPr>
      <w:r w:rsidRPr="00DE4CD2">
        <w:rPr>
          <w:rFonts w:asciiTheme="majorHAnsi" w:hAnsiTheme="majorHAnsi" w:cstheme="majorHAnsi"/>
          <w:lang w:val="en-US"/>
        </w:rPr>
        <w:t>European higher education and mobility</w:t>
      </w:r>
    </w:p>
    <w:p w14:paraId="3F78C140" w14:textId="77777777" w:rsidR="009442D4" w:rsidRPr="00DE4CD2" w:rsidRDefault="009442D4" w:rsidP="009442D4">
      <w:pPr>
        <w:numPr>
          <w:ilvl w:val="0"/>
          <w:numId w:val="17"/>
        </w:numPr>
        <w:jc w:val="both"/>
        <w:rPr>
          <w:rFonts w:asciiTheme="majorHAnsi" w:hAnsiTheme="majorHAnsi" w:cstheme="majorHAnsi"/>
        </w:rPr>
      </w:pPr>
      <w:r w:rsidRPr="00DE4CD2">
        <w:rPr>
          <w:rFonts w:asciiTheme="majorHAnsi" w:hAnsiTheme="majorHAnsi" w:cstheme="majorHAnsi"/>
          <w:lang w:val="en-US"/>
        </w:rPr>
        <w:t>Rankings and benchmarking</w:t>
      </w:r>
    </w:p>
    <w:p w14:paraId="169A7B5C" w14:textId="77777777" w:rsidR="009442D4" w:rsidRPr="00DE4CD2" w:rsidRDefault="009442D4" w:rsidP="009442D4">
      <w:pPr>
        <w:numPr>
          <w:ilvl w:val="0"/>
          <w:numId w:val="17"/>
        </w:numPr>
        <w:jc w:val="both"/>
        <w:rPr>
          <w:rFonts w:asciiTheme="majorHAnsi" w:hAnsiTheme="majorHAnsi" w:cstheme="majorHAnsi"/>
        </w:rPr>
      </w:pPr>
      <w:r w:rsidRPr="00DE4CD2">
        <w:rPr>
          <w:rFonts w:asciiTheme="majorHAnsi" w:hAnsiTheme="majorHAnsi" w:cstheme="majorHAnsi"/>
          <w:lang w:val="en-US"/>
        </w:rPr>
        <w:t>Regional development</w:t>
      </w:r>
    </w:p>
    <w:p w14:paraId="3F7B3A5C" w14:textId="77777777" w:rsidR="009442D4" w:rsidRPr="00DE4CD2" w:rsidRDefault="009442D4" w:rsidP="009442D4">
      <w:pPr>
        <w:numPr>
          <w:ilvl w:val="0"/>
          <w:numId w:val="17"/>
        </w:numPr>
        <w:jc w:val="both"/>
        <w:rPr>
          <w:rFonts w:asciiTheme="majorHAnsi" w:hAnsiTheme="majorHAnsi" w:cstheme="majorHAnsi"/>
        </w:rPr>
      </w:pPr>
      <w:r w:rsidRPr="00DE4CD2">
        <w:rPr>
          <w:rFonts w:asciiTheme="majorHAnsi" w:hAnsiTheme="majorHAnsi" w:cstheme="majorHAnsi"/>
          <w:lang w:val="en-US"/>
        </w:rPr>
        <w:t>Innovation and knowledge transfer</w:t>
      </w:r>
    </w:p>
    <w:p w14:paraId="757AAF44" w14:textId="77777777" w:rsidR="009442D4" w:rsidRPr="00DE4CD2" w:rsidRDefault="009442D4" w:rsidP="009442D4">
      <w:pPr>
        <w:jc w:val="both"/>
        <w:rPr>
          <w:rFonts w:asciiTheme="majorHAnsi" w:hAnsiTheme="majorHAnsi" w:cstheme="majorHAnsi"/>
        </w:rPr>
      </w:pPr>
    </w:p>
    <w:p w14:paraId="7EA2A75B" w14:textId="265B653B" w:rsidR="009442D4" w:rsidRPr="00DE4CD2" w:rsidRDefault="009442D4" w:rsidP="009442D4">
      <w:pPr>
        <w:jc w:val="both"/>
        <w:rPr>
          <w:rFonts w:asciiTheme="majorHAnsi" w:hAnsiTheme="majorHAnsi" w:cstheme="majorHAnsi"/>
        </w:rPr>
      </w:pPr>
      <w:r w:rsidRPr="00DE4CD2">
        <w:rPr>
          <w:rFonts w:asciiTheme="majorHAnsi" w:hAnsiTheme="majorHAnsi" w:cstheme="majorHAnsi"/>
        </w:rPr>
        <w:t>The analysis of the authors’ network using ETER also shows that, while the scholars involved in the development of ETER still represent core users, the network has expanded significantly into a much broader user community (</w:t>
      </w:r>
      <w:r w:rsidRPr="00DE4CD2">
        <w:rPr>
          <w:rFonts w:asciiTheme="majorHAnsi" w:hAnsiTheme="majorHAnsi" w:cstheme="majorHAnsi"/>
        </w:rPr>
        <w:fldChar w:fldCharType="begin"/>
      </w:r>
      <w:r w:rsidRPr="00DE4CD2">
        <w:rPr>
          <w:rFonts w:asciiTheme="majorHAnsi" w:hAnsiTheme="majorHAnsi" w:cstheme="majorHAnsi"/>
        </w:rPr>
        <w:instrText xml:space="preserve"> REF _Ref153531348 \h  \* MERGEFORMAT </w:instrText>
      </w:r>
      <w:r w:rsidRPr="00DE4CD2">
        <w:rPr>
          <w:rFonts w:asciiTheme="majorHAnsi" w:hAnsiTheme="majorHAnsi" w:cstheme="majorHAnsi"/>
        </w:rPr>
      </w:r>
      <w:r w:rsidRPr="00DE4CD2">
        <w:rPr>
          <w:rFonts w:asciiTheme="majorHAnsi" w:hAnsiTheme="majorHAnsi" w:cstheme="majorHAnsi"/>
        </w:rPr>
        <w:fldChar w:fldCharType="separate"/>
      </w:r>
      <w:r w:rsidRPr="00DE4CD2">
        <w:rPr>
          <w:rFonts w:asciiTheme="majorHAnsi" w:hAnsiTheme="majorHAnsi" w:cstheme="majorHAnsi"/>
        </w:rPr>
        <w:fldChar w:fldCharType="begin"/>
      </w:r>
      <w:r w:rsidRPr="00DE4CD2">
        <w:rPr>
          <w:rFonts w:asciiTheme="majorHAnsi" w:hAnsiTheme="majorHAnsi" w:cstheme="majorHAnsi"/>
        </w:rPr>
        <w:instrText xml:space="preserve"> REF _Ref153531185 \h  \* MERGEFORMAT </w:instrText>
      </w:r>
      <w:r w:rsidRPr="00DE4CD2">
        <w:rPr>
          <w:rFonts w:asciiTheme="majorHAnsi" w:hAnsiTheme="majorHAnsi" w:cstheme="majorHAnsi"/>
        </w:rPr>
      </w:r>
      <w:r w:rsidRPr="00DE4CD2">
        <w:rPr>
          <w:rFonts w:asciiTheme="majorHAnsi" w:hAnsiTheme="majorHAnsi" w:cstheme="majorHAnsi"/>
        </w:rPr>
        <w:fldChar w:fldCharType="separate"/>
      </w:r>
      <w:r w:rsidRPr="00DE4CD2">
        <w:rPr>
          <w:rFonts w:asciiTheme="majorHAnsi" w:hAnsiTheme="majorHAnsi" w:cstheme="majorHAnsi"/>
        </w:rPr>
        <w:t xml:space="preserve">Figure </w:t>
      </w:r>
      <w:r w:rsidRPr="00DE4CD2">
        <w:rPr>
          <w:rFonts w:asciiTheme="majorHAnsi" w:hAnsiTheme="majorHAnsi" w:cstheme="majorHAnsi"/>
        </w:rPr>
        <w:fldChar w:fldCharType="end"/>
      </w:r>
      <w:r w:rsidRPr="00DE4CD2">
        <w:rPr>
          <w:rFonts w:asciiTheme="majorHAnsi" w:hAnsiTheme="majorHAnsi" w:cstheme="majorHAnsi"/>
        </w:rPr>
        <w:fldChar w:fldCharType="end"/>
      </w:r>
      <w:r w:rsidR="0063329C" w:rsidRPr="00DE4CD2">
        <w:rPr>
          <w:rFonts w:asciiTheme="majorHAnsi" w:hAnsiTheme="majorHAnsi" w:cstheme="majorHAnsi"/>
        </w:rPr>
        <w:t>28</w:t>
      </w:r>
      <w:r w:rsidRPr="00DE4CD2">
        <w:rPr>
          <w:rFonts w:asciiTheme="majorHAnsi" w:hAnsiTheme="majorHAnsi" w:cstheme="majorHAnsi"/>
        </w:rPr>
        <w:t>).</w:t>
      </w:r>
    </w:p>
    <w:p w14:paraId="40FB3E60" w14:textId="77777777" w:rsidR="009442D4" w:rsidRPr="00DE4CD2" w:rsidRDefault="009442D4" w:rsidP="009442D4">
      <w:pPr>
        <w:jc w:val="both"/>
        <w:rPr>
          <w:rFonts w:asciiTheme="majorHAnsi" w:hAnsiTheme="majorHAnsi" w:cstheme="majorHAnsi"/>
        </w:rPr>
      </w:pPr>
    </w:p>
    <w:p w14:paraId="0194CD82" w14:textId="00612316" w:rsidR="009442D4" w:rsidRPr="00DE4CD2" w:rsidRDefault="009442D4" w:rsidP="009442D4">
      <w:pPr>
        <w:spacing w:after="120"/>
        <w:jc w:val="both"/>
        <w:rPr>
          <w:rFonts w:asciiTheme="majorHAnsi" w:eastAsiaTheme="minorHAnsi" w:hAnsiTheme="majorHAnsi" w:cstheme="majorHAnsi"/>
          <w:i/>
          <w:iCs/>
          <w:lang w:val="en-US" w:eastAsia="en-US"/>
        </w:rPr>
      </w:pPr>
      <w:bookmarkStart w:id="25" w:name="_Ref153531215"/>
      <w:r w:rsidRPr="00DE4CD2">
        <w:rPr>
          <w:rFonts w:asciiTheme="majorHAnsi" w:eastAsiaTheme="minorHAnsi" w:hAnsiTheme="majorHAnsi" w:cstheme="majorHAnsi"/>
          <w:i/>
          <w:iCs/>
          <w:lang w:val="en-US" w:eastAsia="en-US"/>
        </w:rPr>
        <w:t xml:space="preserve">Figure </w:t>
      </w:r>
      <w:bookmarkEnd w:id="25"/>
      <w:r w:rsidR="0063329C" w:rsidRPr="00DE4CD2">
        <w:rPr>
          <w:rFonts w:asciiTheme="majorHAnsi" w:eastAsiaTheme="minorHAnsi" w:hAnsiTheme="majorHAnsi" w:cstheme="majorHAnsi"/>
          <w:i/>
          <w:iCs/>
          <w:lang w:val="en-US" w:eastAsia="en-US"/>
        </w:rPr>
        <w:t>27</w:t>
      </w:r>
      <w:r w:rsidRPr="00DE4CD2">
        <w:rPr>
          <w:rFonts w:asciiTheme="majorHAnsi" w:eastAsiaTheme="minorHAnsi" w:hAnsiTheme="majorHAnsi" w:cstheme="majorHAnsi"/>
          <w:i/>
          <w:iCs/>
          <w:lang w:val="en-US" w:eastAsia="en-US"/>
        </w:rPr>
        <w:t>. Keywords in ETER-using documents (source: Google Scholar)</w:t>
      </w:r>
    </w:p>
    <w:p w14:paraId="449CA588" w14:textId="77777777" w:rsidR="009442D4" w:rsidRPr="00DE4CD2" w:rsidRDefault="009442D4" w:rsidP="009442D4">
      <w:pPr>
        <w:jc w:val="both"/>
        <w:rPr>
          <w:rFonts w:asciiTheme="majorHAnsi" w:hAnsiTheme="majorHAnsi" w:cstheme="majorHAnsi"/>
        </w:rPr>
      </w:pPr>
      <w:r w:rsidRPr="00DE4CD2">
        <w:rPr>
          <w:rFonts w:asciiTheme="majorHAnsi" w:hAnsiTheme="majorHAnsi" w:cstheme="majorHAnsi"/>
          <w:noProof/>
        </w:rPr>
        <w:drawing>
          <wp:inline distT="0" distB="0" distL="0" distR="0" wp14:anchorId="5FC02E87" wp14:editId="5ADD23D0">
            <wp:extent cx="6208218" cy="4333460"/>
            <wp:effectExtent l="0" t="0" r="2540" b="0"/>
            <wp:docPr id="75" name="Picture 75" descr="A network of colorful dots and lines">
              <a:extLst xmlns:a="http://schemas.openxmlformats.org/drawingml/2006/main">
                <a:ext uri="{FF2B5EF4-FFF2-40B4-BE49-F238E27FC236}">
                  <a16:creationId xmlns:a16="http://schemas.microsoft.com/office/drawing/2014/main" id="{3DEE09EB-86E5-6851-48A5-C382A4557B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network of colorful dots and lines">
                      <a:extLst>
                        <a:ext uri="{FF2B5EF4-FFF2-40B4-BE49-F238E27FC236}">
                          <a16:creationId xmlns:a16="http://schemas.microsoft.com/office/drawing/2014/main" id="{3DEE09EB-86E5-6851-48A5-C382A4557BD8}"/>
                        </a:ext>
                      </a:extLst>
                    </pic:cNvPr>
                    <pic:cNvPicPr>
                      <a:picLocks noChangeAspect="1"/>
                    </pic:cNvPicPr>
                  </pic:nvPicPr>
                  <pic:blipFill rotWithShape="1">
                    <a:blip r:embed="rId61" cstate="print">
                      <a:extLst>
                        <a:ext uri="{28A0092B-C50C-407E-A947-70E740481C1C}">
                          <a14:useLocalDpi xmlns:a14="http://schemas.microsoft.com/office/drawing/2010/main" val="0"/>
                        </a:ext>
                      </a:extLst>
                    </a:blip>
                    <a:srcRect l="7361" r="4700" b="5297"/>
                    <a:stretch/>
                  </pic:blipFill>
                  <pic:spPr bwMode="auto">
                    <a:xfrm>
                      <a:off x="0" y="0"/>
                      <a:ext cx="6220853" cy="4342279"/>
                    </a:xfrm>
                    <a:prstGeom prst="rect">
                      <a:avLst/>
                    </a:prstGeom>
                    <a:ln>
                      <a:noFill/>
                    </a:ln>
                    <a:extLst>
                      <a:ext uri="{53640926-AAD7-44D8-BBD7-CCE9431645EC}">
                        <a14:shadowObscured xmlns:a14="http://schemas.microsoft.com/office/drawing/2010/main"/>
                      </a:ext>
                    </a:extLst>
                  </pic:spPr>
                </pic:pic>
              </a:graphicData>
            </a:graphic>
          </wp:inline>
        </w:drawing>
      </w:r>
    </w:p>
    <w:p w14:paraId="488719D0" w14:textId="77777777" w:rsidR="009442D4" w:rsidRPr="00DE4CD2" w:rsidRDefault="009442D4" w:rsidP="009442D4">
      <w:pPr>
        <w:jc w:val="both"/>
        <w:rPr>
          <w:rFonts w:asciiTheme="majorHAnsi" w:hAnsiTheme="majorHAnsi" w:cstheme="majorHAnsi"/>
        </w:rPr>
      </w:pPr>
    </w:p>
    <w:p w14:paraId="60E7265C" w14:textId="77777777" w:rsidR="00B94B80" w:rsidRPr="00DE4CD2" w:rsidRDefault="00B94B80" w:rsidP="006E27F4">
      <w:pPr>
        <w:spacing w:after="120"/>
        <w:jc w:val="both"/>
        <w:rPr>
          <w:rFonts w:asciiTheme="majorHAnsi" w:eastAsiaTheme="minorHAnsi" w:hAnsiTheme="majorHAnsi" w:cstheme="majorHAnsi"/>
          <w:i/>
          <w:iCs/>
          <w:lang w:val="en-US" w:eastAsia="en-US"/>
        </w:rPr>
      </w:pPr>
      <w:bookmarkStart w:id="26" w:name="_Ref153531348"/>
    </w:p>
    <w:p w14:paraId="00BFCF27" w14:textId="77777777" w:rsidR="00B94B80" w:rsidRPr="00DE4CD2" w:rsidRDefault="00B94B80" w:rsidP="006E27F4">
      <w:pPr>
        <w:spacing w:after="120"/>
        <w:jc w:val="both"/>
        <w:rPr>
          <w:rFonts w:asciiTheme="majorHAnsi" w:eastAsiaTheme="minorHAnsi" w:hAnsiTheme="majorHAnsi" w:cstheme="majorHAnsi"/>
          <w:i/>
          <w:iCs/>
          <w:lang w:val="en-US" w:eastAsia="en-US"/>
        </w:rPr>
      </w:pPr>
    </w:p>
    <w:p w14:paraId="52167276" w14:textId="77777777" w:rsidR="00B94B80" w:rsidRPr="00DE4CD2" w:rsidRDefault="00B94B80" w:rsidP="006E27F4">
      <w:pPr>
        <w:spacing w:after="120"/>
        <w:jc w:val="both"/>
        <w:rPr>
          <w:rFonts w:asciiTheme="majorHAnsi" w:eastAsiaTheme="minorHAnsi" w:hAnsiTheme="majorHAnsi" w:cstheme="majorHAnsi"/>
          <w:i/>
          <w:iCs/>
          <w:lang w:val="en-US" w:eastAsia="en-US"/>
        </w:rPr>
      </w:pPr>
    </w:p>
    <w:p w14:paraId="14831589" w14:textId="77777777" w:rsidR="00B94B80" w:rsidRPr="00DE4CD2" w:rsidRDefault="00B94B80" w:rsidP="006E27F4">
      <w:pPr>
        <w:spacing w:after="120"/>
        <w:jc w:val="both"/>
        <w:rPr>
          <w:rFonts w:asciiTheme="majorHAnsi" w:eastAsiaTheme="minorHAnsi" w:hAnsiTheme="majorHAnsi" w:cstheme="majorHAnsi"/>
          <w:i/>
          <w:iCs/>
          <w:lang w:val="en-US" w:eastAsia="en-US"/>
        </w:rPr>
      </w:pPr>
    </w:p>
    <w:p w14:paraId="01F629D7" w14:textId="423208A9" w:rsidR="009442D4" w:rsidRPr="00DE4CD2" w:rsidRDefault="009442D4" w:rsidP="006E27F4">
      <w:pPr>
        <w:spacing w:after="120"/>
        <w:jc w:val="both"/>
        <w:rPr>
          <w:rFonts w:asciiTheme="majorHAnsi" w:eastAsiaTheme="minorHAnsi" w:hAnsiTheme="majorHAnsi" w:cstheme="majorHAnsi"/>
          <w:i/>
          <w:iCs/>
          <w:lang w:val="en-US" w:eastAsia="en-US"/>
        </w:rPr>
      </w:pPr>
      <w:r w:rsidRPr="00DE4CD2">
        <w:rPr>
          <w:rFonts w:asciiTheme="majorHAnsi" w:eastAsiaTheme="minorHAnsi" w:hAnsiTheme="majorHAnsi" w:cstheme="majorHAnsi"/>
          <w:i/>
          <w:iCs/>
          <w:lang w:val="en-US" w:eastAsia="en-US"/>
        </w:rPr>
        <w:lastRenderedPageBreak/>
        <w:t xml:space="preserve">Figure </w:t>
      </w:r>
      <w:bookmarkEnd w:id="26"/>
      <w:r w:rsidR="0063329C" w:rsidRPr="00DE4CD2">
        <w:rPr>
          <w:rFonts w:asciiTheme="majorHAnsi" w:eastAsiaTheme="minorHAnsi" w:hAnsiTheme="majorHAnsi" w:cstheme="majorHAnsi"/>
          <w:i/>
          <w:iCs/>
          <w:lang w:val="en-US" w:eastAsia="en-US"/>
        </w:rPr>
        <w:t>28</w:t>
      </w:r>
      <w:r w:rsidRPr="00DE4CD2">
        <w:rPr>
          <w:rFonts w:asciiTheme="majorHAnsi" w:eastAsiaTheme="minorHAnsi" w:hAnsiTheme="majorHAnsi" w:cstheme="majorHAnsi"/>
          <w:i/>
          <w:iCs/>
          <w:lang w:val="en-US" w:eastAsia="en-US"/>
        </w:rPr>
        <w:t>. Network of authors using ETER</w:t>
      </w:r>
    </w:p>
    <w:p w14:paraId="5BAFD873" w14:textId="77777777" w:rsidR="009442D4" w:rsidRPr="00DE4CD2" w:rsidRDefault="009442D4" w:rsidP="009442D4">
      <w:pPr>
        <w:rPr>
          <w:rFonts w:asciiTheme="majorHAnsi" w:hAnsiTheme="majorHAnsi" w:cstheme="majorHAnsi"/>
        </w:rPr>
      </w:pPr>
      <w:r w:rsidRPr="00DE4CD2">
        <w:rPr>
          <w:rFonts w:asciiTheme="majorHAnsi" w:hAnsiTheme="majorHAnsi" w:cstheme="majorHAnsi"/>
          <w:noProof/>
        </w:rPr>
        <w:drawing>
          <wp:inline distT="0" distB="0" distL="0" distR="0" wp14:anchorId="43F90FC3" wp14:editId="1006EAE1">
            <wp:extent cx="6098215" cy="5446643"/>
            <wp:effectExtent l="0" t="0" r="0" b="1905"/>
            <wp:docPr id="76" name="Picture 76" descr="A close-up of a network">
              <a:extLst xmlns:a="http://schemas.openxmlformats.org/drawingml/2006/main">
                <a:ext uri="{FF2B5EF4-FFF2-40B4-BE49-F238E27FC236}">
                  <a16:creationId xmlns:a16="http://schemas.microsoft.com/office/drawing/2014/main" id="{88C057F5-F37E-3B4D-48E5-DDC8E588D2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close-up of a network">
                      <a:extLst>
                        <a:ext uri="{FF2B5EF4-FFF2-40B4-BE49-F238E27FC236}">
                          <a16:creationId xmlns:a16="http://schemas.microsoft.com/office/drawing/2014/main" id="{88C057F5-F37E-3B4D-48E5-DDC8E588D261}"/>
                        </a:ext>
                      </a:extLst>
                    </pic:cNvPr>
                    <pic:cNvPicPr>
                      <a:picLocks noChangeAspect="1"/>
                    </pic:cNvPicPr>
                  </pic:nvPicPr>
                  <pic:blipFill rotWithShape="1">
                    <a:blip r:embed="rId62" cstate="print">
                      <a:extLst>
                        <a:ext uri="{28A0092B-C50C-407E-A947-70E740481C1C}">
                          <a14:useLocalDpi xmlns:a14="http://schemas.microsoft.com/office/drawing/2010/main" val="0"/>
                        </a:ext>
                      </a:extLst>
                    </a:blip>
                    <a:srcRect l="16944" r="14995" b="6222"/>
                    <a:stretch/>
                  </pic:blipFill>
                  <pic:spPr bwMode="auto">
                    <a:xfrm>
                      <a:off x="0" y="0"/>
                      <a:ext cx="6117371" cy="5463752"/>
                    </a:xfrm>
                    <a:prstGeom prst="rect">
                      <a:avLst/>
                    </a:prstGeom>
                    <a:ln>
                      <a:noFill/>
                    </a:ln>
                    <a:extLst>
                      <a:ext uri="{53640926-AAD7-44D8-BBD7-CCE9431645EC}">
                        <a14:shadowObscured xmlns:a14="http://schemas.microsoft.com/office/drawing/2010/main"/>
                      </a:ext>
                    </a:extLst>
                  </pic:spPr>
                </pic:pic>
              </a:graphicData>
            </a:graphic>
          </wp:inline>
        </w:drawing>
      </w:r>
    </w:p>
    <w:p w14:paraId="040F883A" w14:textId="77777777" w:rsidR="009442D4" w:rsidRPr="00DE4CD2" w:rsidRDefault="009442D4" w:rsidP="009442D4">
      <w:pPr>
        <w:jc w:val="both"/>
        <w:rPr>
          <w:rFonts w:asciiTheme="majorHAnsi" w:hAnsiTheme="majorHAnsi" w:cstheme="majorHAnsi"/>
        </w:rPr>
      </w:pPr>
    </w:p>
    <w:p w14:paraId="62E9D862" w14:textId="3E42FE64" w:rsidR="009442D4" w:rsidRPr="00DE4CD2" w:rsidRDefault="009442D4" w:rsidP="009442D4">
      <w:pPr>
        <w:pStyle w:val="Standard1"/>
        <w:rPr>
          <w:rFonts w:asciiTheme="majorHAnsi" w:hAnsiTheme="majorHAnsi" w:cstheme="majorHAnsi"/>
          <w:sz w:val="20"/>
          <w:szCs w:val="20"/>
          <w:lang w:val="en-US"/>
        </w:rPr>
      </w:pPr>
      <w:r w:rsidRPr="00DE4CD2">
        <w:rPr>
          <w:rFonts w:asciiTheme="majorHAnsi" w:hAnsiTheme="majorHAnsi" w:cstheme="majorHAnsi"/>
          <w:sz w:val="20"/>
          <w:szCs w:val="20"/>
          <w:lang w:val="en-US"/>
        </w:rPr>
        <w:t>ETER has been used, for example, to analyze the internationalization process of European HEIs (</w:t>
      </w:r>
      <w:sdt>
        <w:sdtPr>
          <w:rPr>
            <w:rFonts w:asciiTheme="majorHAnsi" w:hAnsiTheme="majorHAnsi" w:cstheme="majorHAnsi"/>
            <w:sz w:val="20"/>
            <w:szCs w:val="20"/>
            <w:highlight w:val="white"/>
            <w:lang w:val="en-US"/>
          </w:rPr>
          <w:alias w:val="Citation"/>
          <w:tag w:val="{&quot;referencesIds&quot;:[&quot;doc:5b9b57afe4b00224ec738805&quot;],&quot;referencesOptions&quot;:{&quot;doc:5b9b57afe4b00224ec738805&quot;:{&quot;author&quot;:true,&quot;year&quot;:true,&quot;pageReplace&quot;:&quot;&quot;,&quot;prefix&quot;:&quot;&quot;,&quot;suffix&quot;:&quot;&quot;}},&quot;hasBrokenReferences&quot;:false,&quot;hasManualEdits&quot;:false,&quot;citationType&quot;:&quot;inline&quot;,&quot;id&quot;:1056590012,&quot;citationText&quot;:&quot;&lt;span style=\&quot;font-family:Cambria;font-size:16px;color:#000000\&quot;&gt;Lepori, B. et al., 2014&lt;/span&gt;&quot;}"/>
          <w:id w:val="1056590012"/>
          <w:placeholder>
            <w:docPart w:val="3216C51E24D747159066C44EEC697C06"/>
          </w:placeholder>
        </w:sdtPr>
        <w:sdtEndPr/>
        <w:sdtContent>
          <w:r w:rsidRPr="00DE4CD2">
            <w:rPr>
              <w:rFonts w:asciiTheme="majorHAnsi" w:hAnsiTheme="majorHAnsi" w:cstheme="majorHAnsi"/>
              <w:sz w:val="20"/>
              <w:szCs w:val="20"/>
            </w:rPr>
            <w:t>Lepori, B. et al., 2014</w:t>
          </w:r>
        </w:sdtContent>
      </w:sdt>
      <w:r w:rsidRPr="00DE4CD2">
        <w:rPr>
          <w:rFonts w:asciiTheme="majorHAnsi" w:hAnsiTheme="majorHAnsi" w:cstheme="majorHAnsi"/>
          <w:sz w:val="20"/>
          <w:szCs w:val="20"/>
          <w:highlight w:val="white"/>
          <w:lang w:val="en-US"/>
        </w:rPr>
        <w:t xml:space="preserve">; </w:t>
      </w:r>
      <w:sdt>
        <w:sdtPr>
          <w:rPr>
            <w:rFonts w:asciiTheme="majorHAnsi" w:hAnsiTheme="majorHAnsi" w:cstheme="majorHAnsi"/>
            <w:sz w:val="20"/>
            <w:szCs w:val="20"/>
            <w:highlight w:val="white"/>
            <w:lang w:val="en-US"/>
          </w:rPr>
          <w:alias w:val="Citation"/>
          <w:tag w:val="{&quot;referencesIds&quot;:[&quot;doc:5feae7f38f086f28cd45bb3e&quot;],&quot;referencesOptions&quot;:{&quot;doc:5feae7f38f086f28cd45bb3e&quot;:{&quot;author&quot;:true,&quot;year&quot;:true,&quot;pageReplace&quot;:&quot;&quot;,&quot;prefix&quot;:&quot;&quot;,&quot;suffix&quot;:&quot;&quot;}},&quot;hasBrokenReferences&quot;:false,&quot;hasManualEdits&quot;:false,&quot;citationType&quot;:&quot;inline&quot;,&quot;id&quot;:-2052442031,&quot;citationText&quot;:&quot;&lt;span style=\&quot;font-family:Cambria;font-size:16px;color:#000000\&quot;&gt;Seeber et al., 2020&lt;/span&gt;&quot;}"/>
          <w:id w:val="-2052442031"/>
          <w:placeholder>
            <w:docPart w:val="380065E1BAF841B295E71D48B3BF6CF2"/>
          </w:placeholder>
        </w:sdtPr>
        <w:sdtEndPr/>
        <w:sdtContent>
          <w:proofErr w:type="spellStart"/>
          <w:r w:rsidRPr="00DE4CD2">
            <w:rPr>
              <w:rFonts w:asciiTheme="majorHAnsi" w:hAnsiTheme="majorHAnsi" w:cstheme="majorHAnsi"/>
              <w:sz w:val="20"/>
              <w:szCs w:val="20"/>
            </w:rPr>
            <w:t>Seeber</w:t>
          </w:r>
          <w:proofErr w:type="spellEnd"/>
          <w:r w:rsidRPr="00DE4CD2">
            <w:rPr>
              <w:rFonts w:asciiTheme="majorHAnsi" w:hAnsiTheme="majorHAnsi" w:cstheme="majorHAnsi"/>
              <w:sz w:val="20"/>
              <w:szCs w:val="20"/>
            </w:rPr>
            <w:t xml:space="preserve"> et al., 2020</w:t>
          </w:r>
        </w:sdtContent>
      </w:sdt>
      <w:r w:rsidRPr="00DE4CD2">
        <w:rPr>
          <w:rFonts w:asciiTheme="majorHAnsi" w:hAnsiTheme="majorHAnsi" w:cstheme="majorHAnsi"/>
          <w:sz w:val="20"/>
          <w:szCs w:val="20"/>
          <w:lang w:val="en-US"/>
        </w:rPr>
        <w:t>), to study the staff composition of HEIs (</w:t>
      </w:r>
      <w:sdt>
        <w:sdtPr>
          <w:rPr>
            <w:rFonts w:asciiTheme="majorHAnsi" w:hAnsiTheme="majorHAnsi" w:cstheme="majorHAnsi"/>
            <w:sz w:val="20"/>
            <w:szCs w:val="20"/>
            <w:highlight w:val="white"/>
            <w:lang w:val="en-US"/>
          </w:rPr>
          <w:alias w:val="Citation"/>
          <w:tag w:val="{&quot;referencesIds&quot;:[&quot;doc:6422a1532b3cbd05558454a2&quot;],&quot;referencesOptions&quot;:{&quot;doc:6422a1532b3cbd05558454a2&quot;:{&quot;author&quot;:true,&quot;year&quot;:true,&quot;pageReplace&quot;:&quot;&quot;,&quot;prefix&quot;:&quot;&quot;,&quot;suffix&quot;:&quot;&quot;}},&quot;hasBrokenReferences&quot;:false,&quot;hasManualEdits&quot;:false,&quot;citationType&quot;:&quot;inline&quot;,&quot;id&quot;:-1713192117,&quot;citationText&quot;:&quot;&lt;span style=\&quot;font-family:Cambria;font-size:16px;color:#000000\&quot;&gt;Afonso, 2016&lt;/span&gt;&quot;}"/>
          <w:id w:val="-1713192117"/>
          <w:placeholder>
            <w:docPart w:val="106F1AD108A74E338062C2563D29736D"/>
          </w:placeholder>
        </w:sdtPr>
        <w:sdtEndPr/>
        <w:sdtContent>
          <w:r w:rsidRPr="00DE4CD2">
            <w:rPr>
              <w:rFonts w:asciiTheme="majorHAnsi" w:hAnsiTheme="majorHAnsi" w:cstheme="majorHAnsi"/>
              <w:sz w:val="20"/>
              <w:szCs w:val="20"/>
            </w:rPr>
            <w:t>Afonso, 2016</w:t>
          </w:r>
        </w:sdtContent>
      </w:sdt>
      <w:r w:rsidRPr="00DE4CD2">
        <w:rPr>
          <w:rFonts w:asciiTheme="majorHAnsi" w:hAnsiTheme="majorHAnsi" w:cstheme="majorHAnsi"/>
          <w:sz w:val="20"/>
          <w:szCs w:val="20"/>
          <w:highlight w:val="white"/>
          <w:lang w:val="en-US"/>
        </w:rPr>
        <w:t xml:space="preserve">; </w:t>
      </w:r>
      <w:sdt>
        <w:sdtPr>
          <w:rPr>
            <w:rFonts w:asciiTheme="majorHAnsi" w:hAnsiTheme="majorHAnsi" w:cstheme="majorHAnsi"/>
            <w:sz w:val="20"/>
            <w:szCs w:val="20"/>
            <w:highlight w:val="white"/>
            <w:lang w:val="en-US"/>
          </w:rPr>
          <w:alias w:val="Citation"/>
          <w:tag w:val="{&quot;referencesIds&quot;:[&quot;doc:6422a1839dce920553565ac8&quot;],&quot;referencesOptions&quot;:{&quot;doc:6422a1839dce920553565ac8&quot;:{&quot;author&quot;:true,&quot;year&quot;:true,&quot;pageReplace&quot;:&quot;&quot;,&quot;prefix&quot;:&quot;&quot;,&quot;suffix&quot;:&quot;&quot;}},&quot;hasBrokenReferences&quot;:false,&quot;hasManualEdits&quot;:false,&quot;citationType&quot;:&quot;inline&quot;,&quot;id&quot;:67470018,&quot;citationText&quot;:&quot;&lt;span style=\&quot;font-family:Cambria;font-size:16px;color:#000000\&quot;&gt;Baltaru and Soysal, 2018&lt;/span&gt;&quot;}"/>
          <w:id w:val="67470018"/>
          <w:placeholder>
            <w:docPart w:val="513C994187CB4D49955230DB02B70411"/>
          </w:placeholder>
        </w:sdtPr>
        <w:sdtEndPr/>
        <w:sdtContent>
          <w:proofErr w:type="spellStart"/>
          <w:r w:rsidRPr="00DE4CD2">
            <w:rPr>
              <w:rFonts w:asciiTheme="majorHAnsi" w:hAnsiTheme="majorHAnsi" w:cstheme="majorHAnsi"/>
              <w:sz w:val="20"/>
              <w:szCs w:val="20"/>
            </w:rPr>
            <w:t>Baltaru</w:t>
          </w:r>
          <w:proofErr w:type="spellEnd"/>
          <w:r w:rsidRPr="00DE4CD2">
            <w:rPr>
              <w:rFonts w:asciiTheme="majorHAnsi" w:hAnsiTheme="majorHAnsi" w:cstheme="majorHAnsi"/>
              <w:sz w:val="20"/>
              <w:szCs w:val="20"/>
            </w:rPr>
            <w:t xml:space="preserve"> and </w:t>
          </w:r>
          <w:proofErr w:type="spellStart"/>
          <w:r w:rsidRPr="00DE4CD2">
            <w:rPr>
              <w:rFonts w:asciiTheme="majorHAnsi" w:hAnsiTheme="majorHAnsi" w:cstheme="majorHAnsi"/>
              <w:sz w:val="20"/>
              <w:szCs w:val="20"/>
            </w:rPr>
            <w:t>Soysal</w:t>
          </w:r>
          <w:proofErr w:type="spellEnd"/>
          <w:r w:rsidRPr="00DE4CD2">
            <w:rPr>
              <w:rFonts w:asciiTheme="majorHAnsi" w:hAnsiTheme="majorHAnsi" w:cstheme="majorHAnsi"/>
              <w:sz w:val="20"/>
              <w:szCs w:val="20"/>
            </w:rPr>
            <w:t>, 2018</w:t>
          </w:r>
        </w:sdtContent>
      </w:sdt>
      <w:r w:rsidRPr="00DE4CD2">
        <w:rPr>
          <w:rFonts w:asciiTheme="majorHAnsi" w:hAnsiTheme="majorHAnsi" w:cstheme="majorHAnsi"/>
          <w:sz w:val="20"/>
          <w:szCs w:val="20"/>
          <w:highlight w:val="white"/>
          <w:lang w:val="en-US"/>
        </w:rPr>
        <w:t xml:space="preserve">; </w:t>
      </w:r>
      <w:sdt>
        <w:sdtPr>
          <w:rPr>
            <w:rFonts w:asciiTheme="majorHAnsi" w:hAnsiTheme="majorHAnsi" w:cstheme="majorHAnsi"/>
            <w:sz w:val="20"/>
            <w:szCs w:val="20"/>
            <w:highlight w:val="white"/>
            <w:lang w:val="en-US"/>
          </w:rPr>
          <w:alias w:val="Citation"/>
          <w:tag w:val="{&quot;referencesIds&quot;:[&quot;doc:6442a71db9161217e1957111&quot;],&quot;referencesOptions&quot;:{&quot;doc:6442a71db9161217e1957111&quot;:{&quot;author&quot;:true,&quot;year&quot;:true,&quot;pageReplace&quot;:&quot;&quot;,&quot;prefix&quot;:&quot;&quot;,&quot;suffix&quot;:&quot;&quot;}},&quot;hasBrokenReferences&quot;:false,&quot;hasManualEdits&quot;:false,&quot;citationType&quot;:&quot;inline&quot;,&quot;id&quot;:-152217147,&quot;citationText&quot;:&quot;&lt;span style=\&quot;font-family:Cambria;font-size:16px;color:#000000\&quot;&gt;Avenali et al., 2023&lt;/span&gt;&quot;}"/>
          <w:id w:val="-152217147"/>
          <w:placeholder>
            <w:docPart w:val="6A38A2221D8B46B6A97812657DEFB3AB"/>
          </w:placeholder>
        </w:sdtPr>
        <w:sdtEndPr/>
        <w:sdtContent>
          <w:proofErr w:type="spellStart"/>
          <w:r w:rsidRPr="00DE4CD2">
            <w:rPr>
              <w:rFonts w:asciiTheme="majorHAnsi" w:hAnsiTheme="majorHAnsi" w:cstheme="majorHAnsi"/>
              <w:sz w:val="20"/>
              <w:szCs w:val="20"/>
            </w:rPr>
            <w:t>Avenali</w:t>
          </w:r>
          <w:proofErr w:type="spellEnd"/>
          <w:r w:rsidRPr="00DE4CD2">
            <w:rPr>
              <w:rFonts w:asciiTheme="majorHAnsi" w:hAnsiTheme="majorHAnsi" w:cstheme="majorHAnsi"/>
              <w:sz w:val="20"/>
              <w:szCs w:val="20"/>
            </w:rPr>
            <w:t xml:space="preserve"> et al., 2023</w:t>
          </w:r>
        </w:sdtContent>
      </w:sdt>
      <w:r w:rsidRPr="00DE4CD2">
        <w:rPr>
          <w:rFonts w:asciiTheme="majorHAnsi" w:hAnsiTheme="majorHAnsi" w:cstheme="majorHAnsi"/>
          <w:sz w:val="20"/>
          <w:szCs w:val="20"/>
          <w:lang w:val="en-US"/>
        </w:rPr>
        <w:t>) and to analyze the mobility of students in Europe (</w:t>
      </w:r>
      <w:sdt>
        <w:sdtPr>
          <w:rPr>
            <w:rFonts w:asciiTheme="majorHAnsi" w:hAnsiTheme="majorHAnsi" w:cstheme="majorHAnsi"/>
            <w:sz w:val="20"/>
            <w:szCs w:val="20"/>
            <w:highlight w:val="white"/>
            <w:lang w:val="en-US"/>
          </w:rPr>
          <w:alias w:val="Citation"/>
          <w:tag w:val="{&quot;referencesIds&quot;:[&quot;doc:6422a0e1d6a111055640aec5&quot;],&quot;referencesOptions&quot;:{&quot;doc:6422a0e1d6a111055640aec5&quot;:{&quot;author&quot;:true,&quot;year&quot;:true,&quot;pageReplace&quot;:&quot;&quot;,&quot;prefix&quot;:&quot;&quot;,&quot;suffix&quot;:&quot;&quot;}},&quot;hasBrokenReferences&quot;:false,&quot;hasManualEdits&quot;:false,&quot;citationType&quot;:&quot;inline&quot;,&quot;id&quot;:1772508618,&quot;citationText&quot;:&quot;&lt;span style=\&quot;font-family:Cambria;font-size:16px;color:#000000\&quot;&gt;Barrioluengo and Flisi, 2017&lt;/span&gt;&quot;}"/>
          <w:id w:val="1772508618"/>
          <w:placeholder>
            <w:docPart w:val="21BB85600CB3440192B2EE20029317ED"/>
          </w:placeholder>
        </w:sdtPr>
        <w:sdtEndPr/>
        <w:sdtContent>
          <w:proofErr w:type="spellStart"/>
          <w:r w:rsidRPr="00DE4CD2">
            <w:rPr>
              <w:rFonts w:asciiTheme="majorHAnsi" w:hAnsiTheme="majorHAnsi" w:cstheme="majorHAnsi"/>
              <w:sz w:val="20"/>
              <w:szCs w:val="20"/>
            </w:rPr>
            <w:t>Barrioluengo</w:t>
          </w:r>
          <w:proofErr w:type="spellEnd"/>
          <w:r w:rsidRPr="00DE4CD2">
            <w:rPr>
              <w:rFonts w:asciiTheme="majorHAnsi" w:hAnsiTheme="majorHAnsi" w:cstheme="majorHAnsi"/>
              <w:sz w:val="20"/>
              <w:szCs w:val="20"/>
            </w:rPr>
            <w:t xml:space="preserve"> and </w:t>
          </w:r>
          <w:proofErr w:type="spellStart"/>
          <w:r w:rsidRPr="00DE4CD2">
            <w:rPr>
              <w:rFonts w:asciiTheme="majorHAnsi" w:hAnsiTheme="majorHAnsi" w:cstheme="majorHAnsi"/>
              <w:sz w:val="20"/>
              <w:szCs w:val="20"/>
            </w:rPr>
            <w:t>Flisi</w:t>
          </w:r>
          <w:proofErr w:type="spellEnd"/>
          <w:r w:rsidRPr="00DE4CD2">
            <w:rPr>
              <w:rFonts w:asciiTheme="majorHAnsi" w:hAnsiTheme="majorHAnsi" w:cstheme="majorHAnsi"/>
              <w:sz w:val="20"/>
              <w:szCs w:val="20"/>
            </w:rPr>
            <w:t>, 2017</w:t>
          </w:r>
        </w:sdtContent>
      </w:sdt>
      <w:r w:rsidRPr="00DE4CD2">
        <w:rPr>
          <w:rFonts w:asciiTheme="majorHAnsi" w:hAnsiTheme="majorHAnsi" w:cstheme="majorHAnsi"/>
          <w:sz w:val="20"/>
          <w:szCs w:val="20"/>
          <w:highlight w:val="white"/>
          <w:lang w:val="en-US"/>
        </w:rPr>
        <w:t xml:space="preserve">; </w:t>
      </w:r>
      <w:sdt>
        <w:sdtPr>
          <w:rPr>
            <w:rFonts w:asciiTheme="majorHAnsi" w:hAnsiTheme="majorHAnsi" w:cstheme="majorHAnsi"/>
            <w:sz w:val="20"/>
            <w:szCs w:val="20"/>
            <w:highlight w:val="white"/>
            <w:lang w:val="en-US"/>
          </w:rPr>
          <w:alias w:val="Citation"/>
          <w:tag w:val="{&quot;referencesIds&quot;:[&quot;doc:6422a0947b285b054f445e90&quot;],&quot;referencesOptions&quot;:{&quot;doc:6422a0947b285b054f445e90&quot;:{&quot;author&quot;:true,&quot;year&quot;:true,&quot;pageReplace&quot;:&quot;&quot;,&quot;prefix&quot;:&quot;&quot;,&quot;suffix&quot;:&quot;&quot;}},&quot;hasBrokenReferences&quot;:false,&quot;hasManualEdits&quot;:false,&quot;citationType&quot;:&quot;inline&quot;,&quot;id&quot;:-1872452232,&quot;citationText&quot;:&quot;&lt;span style=\&quot;font-family:Cambria;font-size:16px;color:#000000\&quot;&gt;Gadar et al., 2020&lt;/span&gt;&quot;}"/>
          <w:id w:val="-1872452232"/>
          <w:placeholder>
            <w:docPart w:val="F49E3FE3351A49DBA6125391FEE3E9A9"/>
          </w:placeholder>
        </w:sdtPr>
        <w:sdtEndPr/>
        <w:sdtContent>
          <w:r w:rsidRPr="00DE4CD2">
            <w:rPr>
              <w:rFonts w:asciiTheme="majorHAnsi" w:hAnsiTheme="majorHAnsi" w:cstheme="majorHAnsi"/>
              <w:sz w:val="20"/>
              <w:szCs w:val="20"/>
            </w:rPr>
            <w:t>Gadar et al., 2020</w:t>
          </w:r>
        </w:sdtContent>
      </w:sdt>
      <w:r w:rsidRPr="00DE4CD2">
        <w:rPr>
          <w:rFonts w:asciiTheme="majorHAnsi" w:hAnsiTheme="majorHAnsi" w:cstheme="majorHAnsi"/>
          <w:sz w:val="20"/>
          <w:szCs w:val="20"/>
          <w:lang w:val="en-US"/>
        </w:rPr>
        <w:t>).</w:t>
      </w:r>
    </w:p>
    <w:p w14:paraId="2B2623E3" w14:textId="77777777" w:rsidR="006E27F4" w:rsidRPr="00DE4CD2" w:rsidRDefault="006E27F4" w:rsidP="009442D4">
      <w:pPr>
        <w:pStyle w:val="Standard1"/>
        <w:rPr>
          <w:rFonts w:asciiTheme="majorHAnsi" w:hAnsiTheme="majorHAnsi" w:cstheme="majorHAnsi"/>
          <w:lang w:val="en-US"/>
        </w:rPr>
      </w:pPr>
    </w:p>
    <w:p w14:paraId="401F1419" w14:textId="19C67AC8" w:rsidR="009442D4" w:rsidRPr="00DE4CD2" w:rsidRDefault="009442D4" w:rsidP="009442D4">
      <w:pPr>
        <w:pStyle w:val="Standard1"/>
        <w:rPr>
          <w:rFonts w:asciiTheme="majorHAnsi" w:hAnsiTheme="majorHAnsi" w:cstheme="majorHAnsi"/>
          <w:lang w:val="en-US"/>
        </w:rPr>
      </w:pPr>
      <w:r w:rsidRPr="00DE4CD2">
        <w:rPr>
          <w:rFonts w:asciiTheme="majorHAnsi" w:hAnsiTheme="majorHAnsi" w:cstheme="majorHAnsi"/>
          <w:lang w:val="en-US"/>
        </w:rPr>
        <w:t>Further, ETER enabled the first systematic insights into the diversity of HEIs (</w:t>
      </w:r>
      <w:sdt>
        <w:sdtPr>
          <w:rPr>
            <w:rFonts w:asciiTheme="majorHAnsi" w:hAnsiTheme="majorHAnsi" w:cstheme="majorHAnsi"/>
            <w:highlight w:val="white"/>
            <w:lang w:val="en-US"/>
          </w:rPr>
          <w:alias w:val="Citation"/>
          <w:tag w:val="{&quot;referencesIds&quot;:[&quot;doc:5b9b57a0e4b00224ec73813f&quot;],&quot;referencesOptions&quot;:{&quot;doc:5b9b57a0e4b00224ec73813f&quot;:{&quot;author&quot;:true,&quot;year&quot;:true,&quot;pageReplace&quot;:&quot;&quot;,&quot;prefix&quot;:&quot;&quot;,&quot;suffix&quot;:&quot;&quot;}},&quot;hasBrokenReferences&quot;:false,&quot;hasManualEdits&quot;:false,&quot;citationType&quot;:&quot;inline&quot;,&quot;id&quot;:1970632338,&quot;citationText&quot;:&quot;&lt;span style=\&quot;font-family:Cambria;font-size:16px;color:#000000\&quot;&gt;Daraio et al., 2011&lt;/span&gt;&quot;}"/>
          <w:id w:val="1970632338"/>
          <w:placeholder>
            <w:docPart w:val="4D3EF2ACD2004604BC87B614E70373BC"/>
          </w:placeholder>
        </w:sdtPr>
        <w:sdtEndPr/>
        <w:sdtContent>
          <w:r w:rsidRPr="00DE4CD2">
            <w:rPr>
              <w:rFonts w:asciiTheme="majorHAnsi" w:hAnsiTheme="majorHAnsi" w:cstheme="majorHAnsi"/>
            </w:rPr>
            <w:t>Daraio et al., 2011</w:t>
          </w:r>
        </w:sdtContent>
      </w:sdt>
      <w:r w:rsidRPr="00DE4CD2">
        <w:rPr>
          <w:rFonts w:asciiTheme="majorHAnsi" w:hAnsiTheme="majorHAnsi" w:cstheme="majorHAnsi"/>
          <w:highlight w:val="white"/>
          <w:lang w:val="en-US"/>
        </w:rPr>
        <w:t xml:space="preserve">; </w:t>
      </w:r>
      <w:sdt>
        <w:sdtPr>
          <w:rPr>
            <w:rFonts w:asciiTheme="majorHAnsi" w:hAnsiTheme="majorHAnsi" w:cstheme="majorHAnsi"/>
            <w:highlight w:val="white"/>
            <w:lang w:val="en-US"/>
          </w:rPr>
          <w:alias w:val="Citation"/>
          <w:tag w:val="{&quot;referencesIds&quot;:[&quot;doc:6422a109a38b71054e77b882&quot;],&quot;referencesOptions&quot;:{&quot;doc:6422a109a38b71054e77b882&quot;:{&quot;author&quot;:true,&quot;year&quot;:true,&quot;pageReplace&quot;:&quot;&quot;,&quot;prefix&quot;:&quot;&quot;,&quot;suffix&quot;:&quot;&quot;}},&quot;hasBrokenReferences&quot;:false,&quot;hasManualEdits&quot;:false,&quot;citationType&quot;:&quot;inline&quot;,&quot;id&quot;:279462491,&quot;citationText&quot;:&quot;&lt;span style=\&quot;font-family:Cambria;font-size:16px;color:#000000\&quot;&gt;Bruni et al., 2020&lt;/span&gt;&quot;}"/>
          <w:id w:val="279462491"/>
          <w:placeholder>
            <w:docPart w:val="EEBFCCCB08FD43A1AE35B0457151CE33"/>
          </w:placeholder>
        </w:sdtPr>
        <w:sdtEndPr/>
        <w:sdtContent>
          <w:r w:rsidRPr="00DE4CD2">
            <w:rPr>
              <w:rFonts w:asciiTheme="majorHAnsi" w:hAnsiTheme="majorHAnsi" w:cstheme="majorHAnsi"/>
            </w:rPr>
            <w:t>Bruni et al., 2020</w:t>
          </w:r>
        </w:sdtContent>
      </w:sdt>
      <w:r w:rsidRPr="00DE4CD2">
        <w:rPr>
          <w:rFonts w:asciiTheme="majorHAnsi" w:hAnsiTheme="majorHAnsi" w:cstheme="majorHAnsi"/>
          <w:lang w:val="en-US"/>
        </w:rPr>
        <w:t>) and national systems in Europe (</w:t>
      </w:r>
      <w:sdt>
        <w:sdtPr>
          <w:rPr>
            <w:rFonts w:asciiTheme="majorHAnsi" w:hAnsiTheme="majorHAnsi" w:cstheme="majorHAnsi"/>
            <w:highlight w:val="white"/>
            <w:lang w:val="en-US"/>
          </w:rPr>
          <w:alias w:val="Citation"/>
          <w:tag w:val="{&quot;referencesIds&quot;:[&quot;doc:5b9b57a8e4b00224ec738500&quot;],&quot;referencesOptions&quot;:{&quot;doc:5b9b57a8e4b00224ec738500&quot;:{&quot;author&quot;:true,&quot;year&quot;:true,&quot;pageReplace&quot;:&quot;&quot;,&quot;prefix&quot;:&quot;&quot;,&quot;suffix&quot;:&quot;&quot;}},&quot;hasBrokenReferences&quot;:false,&quot;hasManualEdits&quot;:false,&quot;citationType&quot;:&quot;inline&quot;,&quot;id&quot;:1392074776,&quot;citationText&quot;:&quot;&lt;span style=\&quot;font-family:Cambria;font-size:16px;color:#000000\&quot;&gt;Huisman et al., 2015&lt;/span&gt;&quot;}"/>
          <w:id w:val="1392074776"/>
          <w:placeholder>
            <w:docPart w:val="E2D65F0540344A69806A0BB343511975"/>
          </w:placeholder>
        </w:sdtPr>
        <w:sdtEndPr/>
        <w:sdtContent>
          <w:r w:rsidRPr="00DE4CD2">
            <w:rPr>
              <w:rFonts w:asciiTheme="majorHAnsi" w:hAnsiTheme="majorHAnsi" w:cstheme="majorHAnsi"/>
            </w:rPr>
            <w:t>Huisman et al., 2015</w:t>
          </w:r>
        </w:sdtContent>
      </w:sdt>
      <w:r w:rsidRPr="00DE4CD2">
        <w:rPr>
          <w:rFonts w:asciiTheme="majorHAnsi" w:hAnsiTheme="majorHAnsi" w:cstheme="majorHAnsi"/>
          <w:lang w:val="en-US"/>
        </w:rPr>
        <w:t>), paving the way for the first attempts to develop an empirical classification of European HEIs (</w:t>
      </w:r>
      <w:sdt>
        <w:sdtPr>
          <w:rPr>
            <w:rFonts w:asciiTheme="majorHAnsi" w:hAnsiTheme="majorHAnsi" w:cstheme="majorHAnsi"/>
            <w:highlight w:val="white"/>
            <w:lang w:val="en-US"/>
          </w:rPr>
          <w:alias w:val="Citation"/>
          <w:tag w:val="{&quot;referencesIds&quot;:[&quot;doc:616445658f08fb6ba45d6df8&quot;],&quot;referencesOptions&quot;:{&quot;doc:616445658f08fb6ba45d6df8&quot;:{&quot;author&quot;:true,&quot;year&quot;:true,&quot;pageReplace&quot;:&quot;&quot;,&quot;prefix&quot;:&quot;&quot;,&quot;suffix&quot;:&quot;&quot;}},&quot;hasBrokenReferences&quot;:false,&quot;hasManualEdits&quot;:false,&quot;citationType&quot;:&quot;inline&quot;,&quot;id&quot;:-1852556342,&quot;citationText&quot;:&quot;&lt;span style=\&quot;font-family:Cambria;font-size:16px;color:#000000\&quot;&gt;Lepori, Benedetto, 2022&lt;/span&gt;&quot;}"/>
          <w:id w:val="-1852556342"/>
          <w:placeholder>
            <w:docPart w:val="DF598474B22246D58A409CCB1A84B002"/>
          </w:placeholder>
        </w:sdtPr>
        <w:sdtEndPr/>
        <w:sdtContent>
          <w:r w:rsidRPr="00DE4CD2">
            <w:rPr>
              <w:rFonts w:asciiTheme="majorHAnsi" w:hAnsiTheme="majorHAnsi" w:cstheme="majorHAnsi"/>
            </w:rPr>
            <w:t>Lepori, Benedetto, 2022</w:t>
          </w:r>
        </w:sdtContent>
      </w:sdt>
      <w:r w:rsidRPr="00DE4CD2">
        <w:rPr>
          <w:rFonts w:asciiTheme="majorHAnsi" w:hAnsiTheme="majorHAnsi" w:cstheme="majorHAnsi"/>
          <w:lang w:val="en-US"/>
        </w:rPr>
        <w:t>). When combined with similar data from the US and with bibliometric information, ETER aided understanding</w:t>
      </w:r>
      <w:r w:rsidRPr="00DE4CD2">
        <w:rPr>
          <w:rFonts w:asciiTheme="majorHAnsi" w:hAnsiTheme="majorHAnsi" w:cstheme="majorHAnsi"/>
          <w:shd w:val="clear" w:color="auto" w:fill="FFFFFF"/>
          <w:lang w:val="en-US"/>
        </w:rPr>
        <w:t xml:space="preserve"> of </w:t>
      </w:r>
      <w:r w:rsidRPr="00DE4CD2">
        <w:rPr>
          <w:rFonts w:asciiTheme="majorHAnsi" w:hAnsiTheme="majorHAnsi" w:cstheme="majorHAnsi"/>
          <w:lang w:val="en-US"/>
        </w:rPr>
        <w:t>the 'performance gap' of European HEIs (</w:t>
      </w:r>
      <w:sdt>
        <w:sdtPr>
          <w:rPr>
            <w:rFonts w:asciiTheme="majorHAnsi" w:hAnsiTheme="majorHAnsi" w:cstheme="majorHAnsi"/>
            <w:highlight w:val="white"/>
            <w:lang w:val="en-US"/>
          </w:rPr>
          <w:alias w:val="Citation"/>
          <w:tag w:val="{&quot;referencesIds&quot;:[&quot;doc:5bb1d0ace4b0ab506ca03a71&quot;],&quot;referencesOptions&quot;:{&quot;doc:5bb1d0ace4b0ab506ca03a71&quot;:{&quot;author&quot;:true,&quot;year&quot;:true,&quot;pageReplace&quot;:&quot;&quot;,&quot;prefix&quot;:&quot;&quot;,&quot;suffix&quot;:&quot;&quot;}},&quot;hasBrokenReferences&quot;:false,&quot;hasManualEdits&quot;:false,&quot;citationType&quot;:&quot;inline&quot;,&quot;id&quot;:420145670,&quot;citationText&quot;:&quot;&lt;span style=\&quot;font-family:Cambria;font-size:16px;color:#000000\&quot;&gt;Bonaccorsi et al., 2017&lt;/span&gt;&quot;}"/>
          <w:id w:val="420145670"/>
          <w:placeholder>
            <w:docPart w:val="F05139E144F44808B0AAE3C42365CE53"/>
          </w:placeholder>
        </w:sdtPr>
        <w:sdtEndPr/>
        <w:sdtContent>
          <w:r w:rsidRPr="00DE4CD2">
            <w:rPr>
              <w:rFonts w:asciiTheme="majorHAnsi" w:hAnsiTheme="majorHAnsi" w:cstheme="majorHAnsi"/>
            </w:rPr>
            <w:t>Bonaccorsi et al., 2017</w:t>
          </w:r>
        </w:sdtContent>
      </w:sdt>
      <w:r w:rsidRPr="00DE4CD2">
        <w:rPr>
          <w:rFonts w:asciiTheme="majorHAnsi" w:hAnsiTheme="majorHAnsi" w:cstheme="majorHAnsi"/>
          <w:lang w:val="en-US"/>
        </w:rPr>
        <w:t>) and enabled demonstrating that the position of HEIs in international rankings is strongly associated with institutional budgets (</w:t>
      </w:r>
      <w:sdt>
        <w:sdtPr>
          <w:rPr>
            <w:rFonts w:asciiTheme="majorHAnsi" w:hAnsiTheme="majorHAnsi" w:cstheme="majorHAnsi"/>
            <w:highlight w:val="white"/>
            <w:lang w:val="en-US"/>
          </w:rPr>
          <w:alias w:val="Citation"/>
          <w:tag w:val="{&quot;referencesIds&quot;:[&quot;doc:5dc2d910e4b02622acf86dff&quot;],&quot;referencesOptions&quot;:{&quot;doc:5dc2d910e4b02622acf86dff&quot;:{&quot;author&quot;:true,&quot;year&quot;:true,&quot;pageReplace&quot;:&quot;&quot;,&quot;prefix&quot;:&quot;&quot;,&quot;suffix&quot;:&quot;&quot;}},&quot;hasBrokenReferences&quot;:false,&quot;hasManualEdits&quot;:false,&quot;citationType&quot;:&quot;inline&quot;,&quot;id&quot;:2108995950,&quot;citationText&quot;:&quot;&lt;span style=\&quot;font-family:Cambria;font-size:16px;color:#000000\&quot;&gt;Lepori, Benedetto et al., 2019&lt;/span&gt;&quot;}"/>
          <w:id w:val="2108995950"/>
          <w:placeholder>
            <w:docPart w:val="752ACF8FCD404DE889282795DCDFF935"/>
          </w:placeholder>
        </w:sdtPr>
        <w:sdtEndPr/>
        <w:sdtContent>
          <w:r w:rsidRPr="00DE4CD2">
            <w:rPr>
              <w:rFonts w:asciiTheme="majorHAnsi" w:hAnsiTheme="majorHAnsi" w:cstheme="majorHAnsi"/>
            </w:rPr>
            <w:t>Lepori, Benedetto et al., 2019</w:t>
          </w:r>
        </w:sdtContent>
      </w:sdt>
      <w:r w:rsidRPr="00DE4CD2">
        <w:rPr>
          <w:rFonts w:asciiTheme="majorHAnsi" w:hAnsiTheme="majorHAnsi" w:cstheme="majorHAnsi"/>
          <w:lang w:val="en-US"/>
        </w:rPr>
        <w:t>).</w:t>
      </w:r>
    </w:p>
    <w:p w14:paraId="7D5D41CE" w14:textId="77777777" w:rsidR="006E27F4" w:rsidRPr="00DE4CD2" w:rsidRDefault="006E27F4" w:rsidP="009442D4">
      <w:pPr>
        <w:pStyle w:val="Standard1"/>
        <w:rPr>
          <w:rFonts w:asciiTheme="majorHAnsi" w:hAnsiTheme="majorHAnsi" w:cstheme="majorHAnsi"/>
          <w:lang w:val="en-US"/>
        </w:rPr>
      </w:pPr>
    </w:p>
    <w:p w14:paraId="0352DD86" w14:textId="77777777" w:rsidR="009442D4" w:rsidRPr="00DE4CD2" w:rsidRDefault="009442D4" w:rsidP="009442D4">
      <w:pPr>
        <w:pStyle w:val="Standard1"/>
        <w:rPr>
          <w:rFonts w:asciiTheme="majorHAnsi" w:hAnsiTheme="majorHAnsi" w:cstheme="majorHAnsi"/>
          <w:lang w:val="en-US"/>
        </w:rPr>
      </w:pPr>
      <w:r w:rsidRPr="00DE4CD2">
        <w:rPr>
          <w:rFonts w:asciiTheme="majorHAnsi" w:hAnsiTheme="majorHAnsi" w:cstheme="majorHAnsi"/>
          <w:lang w:val="en-US"/>
        </w:rPr>
        <w:t>Two important areas where ETER data have been used have been the study of the efficiency of HEIs (</w:t>
      </w:r>
      <w:sdt>
        <w:sdtPr>
          <w:rPr>
            <w:rFonts w:asciiTheme="majorHAnsi" w:hAnsiTheme="majorHAnsi" w:cstheme="majorHAnsi"/>
            <w:highlight w:val="white"/>
            <w:lang w:val="en-US"/>
          </w:rPr>
          <w:alias w:val="Citation"/>
          <w:tag w:val="{&quot;referencesIds&quot;:[&quot;doc:6442aa675c70526833ebee3e&quot;],&quot;referencesOptions&quot;:{&quot;doc:6442aa675c70526833ebee3e&quot;:{&quot;author&quot;:true,&quot;year&quot;:true,&quot;pageReplace&quot;:&quot;&quot;,&quot;prefix&quot;:&quot;&quot;,&quot;suffix&quot;:&quot;&quot;}},&quot;hasBrokenReferences&quot;:false,&quot;hasManualEdits&quot;:false,&quot;citationType&quot;:&quot;inline&quot;,&quot;id&quot;:-72433097,&quot;citationText&quot;:&quot;&lt;span style=\&quot;font-family:Cambria;font-size:16px;color:#000000\&quot;&gt;Agasisti, 2023&lt;/span&gt;&quot;}"/>
          <w:id w:val="-72433097"/>
          <w:placeholder>
            <w:docPart w:val="660CBFC976114125940BF0B17F68C245"/>
          </w:placeholder>
        </w:sdtPr>
        <w:sdtEndPr/>
        <w:sdtContent>
          <w:proofErr w:type="spellStart"/>
          <w:r w:rsidRPr="00DE4CD2">
            <w:rPr>
              <w:rFonts w:asciiTheme="majorHAnsi" w:hAnsiTheme="majorHAnsi" w:cstheme="majorHAnsi"/>
            </w:rPr>
            <w:t>Agasisti</w:t>
          </w:r>
          <w:proofErr w:type="spellEnd"/>
          <w:r w:rsidRPr="00DE4CD2">
            <w:rPr>
              <w:rFonts w:asciiTheme="majorHAnsi" w:hAnsiTheme="majorHAnsi" w:cstheme="majorHAnsi"/>
            </w:rPr>
            <w:t>, 2023</w:t>
          </w:r>
        </w:sdtContent>
      </w:sdt>
      <w:r w:rsidRPr="00DE4CD2">
        <w:rPr>
          <w:rFonts w:asciiTheme="majorHAnsi" w:hAnsiTheme="majorHAnsi" w:cstheme="majorHAnsi"/>
          <w:lang w:val="en-US"/>
        </w:rPr>
        <w:t>) and that of the contribution of higher education to regional economic development (</w:t>
      </w:r>
      <w:sdt>
        <w:sdtPr>
          <w:rPr>
            <w:rFonts w:asciiTheme="majorHAnsi" w:hAnsiTheme="majorHAnsi" w:cstheme="majorHAnsi"/>
            <w:highlight w:val="white"/>
            <w:lang w:val="en-US"/>
          </w:rPr>
          <w:alias w:val="Citation"/>
          <w:tag w:val="{&quot;referencesIds&quot;:[&quot;doc:6442a7f93c14af6ee4c2d67d&quot;],&quot;referencesOptions&quot;:{&quot;doc:6442a7f93c14af6ee4c2d67d&quot;:{&quot;author&quot;:true,&quot;year&quot;:true,&quot;pageReplace&quot;:&quot;&quot;,&quot;prefix&quot;:&quot;&quot;,&quot;suffix&quot;:&quot;&quot;}},&quot;hasBrokenReferences&quot;:false,&quot;hasManualEdits&quot;:false,&quot;citationType&quot;:&quot;inline&quot;,&quot;id&quot;:-1643658535,&quot;citationText&quot;:&quot;&lt;span style=\&quot;font-family:Cambria;font-size:16px;color:#000000\&quot;&gt;Bonaccorsi et al., 2023&lt;/span&gt;&quot;}"/>
          <w:id w:val="-1643658535"/>
          <w:placeholder>
            <w:docPart w:val="07BC2D21B28249848EBA86F0D8BCEFE6"/>
          </w:placeholder>
        </w:sdtPr>
        <w:sdtEndPr/>
        <w:sdtContent>
          <w:r w:rsidRPr="00DE4CD2">
            <w:rPr>
              <w:rFonts w:asciiTheme="majorHAnsi" w:hAnsiTheme="majorHAnsi" w:cstheme="majorHAnsi"/>
            </w:rPr>
            <w:t>Bonaccorsi et al., 2023</w:t>
          </w:r>
        </w:sdtContent>
      </w:sdt>
      <w:r w:rsidRPr="00DE4CD2">
        <w:rPr>
          <w:rFonts w:asciiTheme="majorHAnsi" w:hAnsiTheme="majorHAnsi" w:cstheme="majorHAnsi"/>
          <w:lang w:val="en-US"/>
        </w:rPr>
        <w:t>) and to the formation of spin-off companies (</w:t>
      </w:r>
      <w:sdt>
        <w:sdtPr>
          <w:rPr>
            <w:rFonts w:asciiTheme="majorHAnsi" w:hAnsiTheme="majorHAnsi" w:cstheme="majorHAnsi"/>
            <w:highlight w:val="white"/>
            <w:lang w:val="en-US"/>
          </w:rPr>
          <w:alias w:val="Citation"/>
          <w:tag w:val="{&quot;referencesIds&quot;:[&quot;doc:6422a1370d8c57070fe9975f&quot;],&quot;referencesOptions&quot;:{&quot;doc:6422a1370d8c57070fe9975f&quot;:{&quot;author&quot;:true,&quot;year&quot;:true,&quot;pageReplace&quot;:&quot;&quot;,&quot;prefix&quot;:&quot;&quot;,&quot;suffix&quot;:&quot;&quot;}},&quot;hasBrokenReferences&quot;:false,&quot;hasManualEdits&quot;:false,&quot;citationType&quot;:&quot;inline&quot;,&quot;id&quot;:1504393872,&quot;citationText&quot;:&quot;&lt;span style=\&quot;font-family:Cambria;font-size:16px;color:#000000\&quot;&gt;Hunady et al., 2019&lt;/span&gt;&quot;}"/>
          <w:id w:val="1504393872"/>
          <w:placeholder>
            <w:docPart w:val="828329957FDA47A4817926117C88AC2C"/>
          </w:placeholder>
        </w:sdtPr>
        <w:sdtEndPr/>
        <w:sdtContent>
          <w:proofErr w:type="spellStart"/>
          <w:r w:rsidRPr="00DE4CD2">
            <w:rPr>
              <w:rFonts w:asciiTheme="majorHAnsi" w:hAnsiTheme="majorHAnsi" w:cstheme="majorHAnsi"/>
            </w:rPr>
            <w:t>Hunady</w:t>
          </w:r>
          <w:proofErr w:type="spellEnd"/>
          <w:r w:rsidRPr="00DE4CD2">
            <w:rPr>
              <w:rFonts w:asciiTheme="majorHAnsi" w:hAnsiTheme="majorHAnsi" w:cstheme="majorHAnsi"/>
            </w:rPr>
            <w:t xml:space="preserve"> et al., 2019</w:t>
          </w:r>
        </w:sdtContent>
      </w:sdt>
      <w:r w:rsidRPr="00DE4CD2">
        <w:rPr>
          <w:rFonts w:asciiTheme="majorHAnsi" w:hAnsiTheme="majorHAnsi" w:cstheme="majorHAnsi"/>
          <w:lang w:val="en-US"/>
        </w:rPr>
        <w:t>).</w:t>
      </w:r>
    </w:p>
    <w:p w14:paraId="1D091A60" w14:textId="77777777" w:rsidR="009442D4" w:rsidRPr="00DE4CD2" w:rsidRDefault="009442D4" w:rsidP="009442D4">
      <w:pPr>
        <w:pStyle w:val="Standard1"/>
        <w:rPr>
          <w:rFonts w:asciiTheme="majorHAnsi" w:hAnsiTheme="majorHAnsi" w:cstheme="majorHAnsi"/>
          <w:lang w:val="en-US"/>
        </w:rPr>
      </w:pPr>
      <w:r w:rsidRPr="00DE4CD2">
        <w:rPr>
          <w:rFonts w:asciiTheme="majorHAnsi" w:hAnsiTheme="majorHAnsi" w:cstheme="majorHAnsi"/>
          <w:lang w:val="en-US"/>
        </w:rPr>
        <w:lastRenderedPageBreak/>
        <w:t>Beyond these broad studies, ETER has also been used to characterize specific groups of HEIs, such as military schools (</w:t>
      </w:r>
      <w:sdt>
        <w:sdtPr>
          <w:rPr>
            <w:rFonts w:asciiTheme="majorHAnsi" w:hAnsiTheme="majorHAnsi" w:cstheme="majorHAnsi"/>
            <w:highlight w:val="white"/>
            <w:lang w:val="en-US"/>
          </w:rPr>
          <w:alias w:val="Citation"/>
          <w:tag w:val="{&quot;referencesIds&quot;:[&quot;doc:6184dfff8f08ec80175c6154&quot;],&quot;referencesOptions&quot;:{&quot;doc:6184dfff8f08ec80175c6154&quot;:{&quot;author&quot;:true,&quot;year&quot;:true,&quot;pageReplace&quot;:&quot;&quot;,&quot;prefix&quot;:&quot;&quot;,&quot;suffix&quot;:&quot;&quot;}},&quot;hasBrokenReferences&quot;:false,&quot;hasManualEdits&quot;:false,&quot;citationType&quot;:&quot;inline&quot;,&quot;id&quot;:1593511766,&quot;citationText&quot;:&quot;&lt;span style=\&quot;font-family:Cambria;font-size:16px;color:#000000\&quot;&gt;Callado-Muñoz and Utrero-González, 2019&lt;/span&gt;&quot;}"/>
          <w:id w:val="1593511766"/>
          <w:placeholder>
            <w:docPart w:val="1D1FC446F6574C9C9FFF4D7D1EE17C9C"/>
          </w:placeholder>
        </w:sdtPr>
        <w:sdtEndPr/>
        <w:sdtContent>
          <w:proofErr w:type="spellStart"/>
          <w:r w:rsidRPr="00DE4CD2">
            <w:rPr>
              <w:rFonts w:asciiTheme="majorHAnsi" w:hAnsiTheme="majorHAnsi" w:cstheme="majorHAnsi"/>
            </w:rPr>
            <w:t>Callado</w:t>
          </w:r>
          <w:proofErr w:type="spellEnd"/>
          <w:r w:rsidRPr="00DE4CD2">
            <w:rPr>
              <w:rFonts w:asciiTheme="majorHAnsi" w:hAnsiTheme="majorHAnsi" w:cstheme="majorHAnsi"/>
            </w:rPr>
            <w:t xml:space="preserve">-Muñoz and </w:t>
          </w:r>
          <w:proofErr w:type="spellStart"/>
          <w:r w:rsidRPr="00DE4CD2">
            <w:rPr>
              <w:rFonts w:asciiTheme="majorHAnsi" w:hAnsiTheme="majorHAnsi" w:cstheme="majorHAnsi"/>
            </w:rPr>
            <w:t>Utrero</w:t>
          </w:r>
          <w:proofErr w:type="spellEnd"/>
          <w:r w:rsidRPr="00DE4CD2">
            <w:rPr>
              <w:rFonts w:asciiTheme="majorHAnsi" w:hAnsiTheme="majorHAnsi" w:cstheme="majorHAnsi"/>
            </w:rPr>
            <w:t>-González, 2019</w:t>
          </w:r>
        </w:sdtContent>
      </w:sdt>
      <w:r w:rsidRPr="00DE4CD2">
        <w:rPr>
          <w:rFonts w:asciiTheme="majorHAnsi" w:hAnsiTheme="majorHAnsi" w:cstheme="majorHAnsi"/>
          <w:lang w:val="en-US"/>
        </w:rPr>
        <w:t>), technical universities (</w:t>
      </w:r>
      <w:sdt>
        <w:sdtPr>
          <w:rPr>
            <w:rFonts w:asciiTheme="majorHAnsi" w:hAnsiTheme="majorHAnsi" w:cstheme="majorHAnsi"/>
            <w:highlight w:val="white"/>
            <w:lang w:val="en-US"/>
          </w:rPr>
          <w:alias w:val="Citation"/>
          <w:tag w:val="{&quot;referencesIds&quot;:[&quot;doc:6442aca5aac8003b458c636b&quot;],&quot;referencesOptions&quot;:{&quot;doc:6442aca5aac8003b458c636b&quot;:{&quot;author&quot;:true,&quot;year&quot;:true,&quot;pageReplace&quot;:&quot;&quot;,&quot;prefix&quot;:&quot;&quot;,&quot;suffix&quot;:&quot;&quot;}},&quot;hasBrokenReferences&quot;:false,&quot;hasManualEdits&quot;:false,&quot;citationType&quot;:&quot;inline&quot;,&quot;id&quot;:698199576,&quot;citationText&quot;:&quot;&lt;span style=\&quot;font-family:Cambria;font-size:16px;color:#000000\&quot;&gt;de la Torre and Perez-Esparrells, 2017&lt;/span&gt;&quot;}"/>
          <w:id w:val="698199576"/>
          <w:placeholder>
            <w:docPart w:val="FC61B253720148ADBE7D2B112504B422"/>
          </w:placeholder>
        </w:sdtPr>
        <w:sdtEndPr/>
        <w:sdtContent>
          <w:r w:rsidRPr="00DE4CD2">
            <w:rPr>
              <w:rFonts w:asciiTheme="majorHAnsi" w:hAnsiTheme="majorHAnsi" w:cstheme="majorHAnsi"/>
            </w:rPr>
            <w:t>de la Torre and Perez-</w:t>
          </w:r>
          <w:proofErr w:type="spellStart"/>
          <w:r w:rsidRPr="00DE4CD2">
            <w:rPr>
              <w:rFonts w:asciiTheme="majorHAnsi" w:hAnsiTheme="majorHAnsi" w:cstheme="majorHAnsi"/>
            </w:rPr>
            <w:t>Esparrells</w:t>
          </w:r>
          <w:proofErr w:type="spellEnd"/>
          <w:r w:rsidRPr="00DE4CD2">
            <w:rPr>
              <w:rFonts w:asciiTheme="majorHAnsi" w:hAnsiTheme="majorHAnsi" w:cstheme="majorHAnsi"/>
            </w:rPr>
            <w:t>, 2017</w:t>
          </w:r>
        </w:sdtContent>
      </w:sdt>
      <w:r w:rsidRPr="00DE4CD2">
        <w:rPr>
          <w:rFonts w:asciiTheme="majorHAnsi" w:hAnsiTheme="majorHAnsi" w:cstheme="majorHAnsi"/>
          <w:lang w:val="en-US"/>
        </w:rPr>
        <w:t>= or members of the European Universities initiative (</w:t>
      </w:r>
      <w:sdt>
        <w:sdtPr>
          <w:rPr>
            <w:rFonts w:asciiTheme="majorHAnsi" w:hAnsiTheme="majorHAnsi" w:cstheme="majorHAnsi"/>
            <w:highlight w:val="white"/>
            <w:lang w:val="en-US"/>
          </w:rPr>
          <w:alias w:val="Citation"/>
          <w:tag w:val="{&quot;referencesIds&quot;:[&quot;doc:6448beba63d58569faec6a9e&quot;],&quot;referencesOptions&quot;:{&quot;doc:6448beba63d58569faec6a9e&quot;:{&quot;author&quot;:true,&quot;year&quot;:true,&quot;pageReplace&quot;:&quot;&quot;,&quot;prefix&quot;:&quot;&quot;,&quot;suffix&quot;:&quot;&quot;}},&quot;hasBrokenReferences&quot;:false,&quot;hasManualEdits&quot;:false,&quot;citationType&quot;:&quot;inline&quot;,&quot;id&quot;:-1163776660,&quot;citationText&quot;:&quot;&lt;span style=\&quot;font-family:Cambria;font-size:16px;color:#000000\&quot;&gt;Lambrechts et al., 2023&lt;/span&gt;&quot;}"/>
          <w:id w:val="-1163776660"/>
          <w:placeholder>
            <w:docPart w:val="C1329AE0788640958EC2C6348117535C"/>
          </w:placeholder>
        </w:sdtPr>
        <w:sdtEndPr/>
        <w:sdtContent>
          <w:proofErr w:type="spellStart"/>
          <w:r w:rsidRPr="00DE4CD2">
            <w:rPr>
              <w:rFonts w:asciiTheme="majorHAnsi" w:hAnsiTheme="majorHAnsi" w:cstheme="majorHAnsi"/>
            </w:rPr>
            <w:t>Lambrechts</w:t>
          </w:r>
          <w:proofErr w:type="spellEnd"/>
          <w:r w:rsidRPr="00DE4CD2">
            <w:rPr>
              <w:rFonts w:asciiTheme="majorHAnsi" w:hAnsiTheme="majorHAnsi" w:cstheme="majorHAnsi"/>
            </w:rPr>
            <w:t xml:space="preserve"> et al., 2023</w:t>
          </w:r>
        </w:sdtContent>
      </w:sdt>
      <w:r w:rsidRPr="00DE4CD2">
        <w:rPr>
          <w:rFonts w:asciiTheme="majorHAnsi" w:hAnsiTheme="majorHAnsi" w:cstheme="majorHAnsi"/>
          <w:lang w:val="en-US"/>
        </w:rPr>
        <w:t>), and for specific topics, such as language usage (</w:t>
      </w:r>
      <w:sdt>
        <w:sdtPr>
          <w:rPr>
            <w:rFonts w:asciiTheme="majorHAnsi" w:hAnsiTheme="majorHAnsi" w:cstheme="majorHAnsi"/>
            <w:highlight w:val="white"/>
            <w:lang w:val="en-US"/>
          </w:rPr>
          <w:alias w:val="Citation"/>
          <w:tag w:val="{&quot;referencesIds&quot;:[&quot;doc:6442ad09c58a11231f416929&quot;],&quot;referencesOptions&quot;:{&quot;doc:6442ad09c58a11231f416929&quot;:{&quot;author&quot;:true,&quot;year&quot;:true,&quot;pageReplace&quot;:&quot;&quot;,&quot;prefix&quot;:&quot;&quot;,&quot;suffix&quot;:&quot;&quot;}},&quot;hasBrokenReferences&quot;:false,&quot;hasManualEdits&quot;:false,&quot;citationType&quot;:&quot;inline&quot;,&quot;id&quot;:1564139425,&quot;citationText&quot;:&quot;&lt;span style=\&quot;font-family:Cambria;font-size:16px;color:#000000\&quot;&gt;Català-Oltra et al., 2023&lt;/span&gt;&quot;}"/>
          <w:id w:val="1564139425"/>
          <w:placeholder>
            <w:docPart w:val="817BC2459A364172AB7160831ABEC72C"/>
          </w:placeholder>
        </w:sdtPr>
        <w:sdtEndPr/>
        <w:sdtContent>
          <w:proofErr w:type="spellStart"/>
          <w:r w:rsidRPr="00DE4CD2">
            <w:rPr>
              <w:rFonts w:asciiTheme="majorHAnsi" w:hAnsiTheme="majorHAnsi" w:cstheme="majorHAnsi"/>
            </w:rPr>
            <w:t>Català-Oltra</w:t>
          </w:r>
          <w:proofErr w:type="spellEnd"/>
          <w:r w:rsidRPr="00DE4CD2">
            <w:rPr>
              <w:rFonts w:asciiTheme="majorHAnsi" w:hAnsiTheme="majorHAnsi" w:cstheme="majorHAnsi"/>
            </w:rPr>
            <w:t xml:space="preserve"> et al., 2023</w:t>
          </w:r>
        </w:sdtContent>
      </w:sdt>
      <w:r w:rsidRPr="00DE4CD2">
        <w:rPr>
          <w:rFonts w:asciiTheme="majorHAnsi" w:hAnsiTheme="majorHAnsi" w:cstheme="majorHAnsi"/>
          <w:lang w:val="en-US"/>
        </w:rPr>
        <w:t>) and digitalization of HEIs (</w:t>
      </w:r>
      <w:sdt>
        <w:sdtPr>
          <w:rPr>
            <w:rFonts w:asciiTheme="majorHAnsi" w:hAnsiTheme="majorHAnsi" w:cstheme="majorHAnsi"/>
            <w:highlight w:val="white"/>
            <w:lang w:val="en-US"/>
          </w:rPr>
          <w:alias w:val="Citation"/>
          <w:tag w:val="{&quot;referencesIds&quot;:[&quot;doc:6442adf8811f490ad42862d4&quot;],&quot;referencesOptions&quot;:{&quot;doc:6442adf8811f490ad42862d4&quot;:{&quot;author&quot;:true,&quot;year&quot;:true,&quot;pageReplace&quot;:&quot;&quot;,&quot;prefix&quot;:&quot;&quot;,&quot;suffix&quot;:&quot;&quot;}},&quot;hasBrokenReferences&quot;:false,&quot;hasManualEdits&quot;:false,&quot;citationType&quot;:&quot;inline&quot;,&quot;id&quot;:-463888720,&quot;citationText&quot;:&quot;&lt;span style=\&quot;font-family:Cambria;font-size:16px;color:#000000\&quot;&gt;Artero López et al., 2020&lt;/span&gt;&quot;}"/>
          <w:id w:val="-463888720"/>
          <w:placeholder>
            <w:docPart w:val="9FA56172887A4EC583375DDD215CB638"/>
          </w:placeholder>
        </w:sdtPr>
        <w:sdtEndPr/>
        <w:sdtContent>
          <w:proofErr w:type="spellStart"/>
          <w:r w:rsidRPr="00DE4CD2">
            <w:rPr>
              <w:rFonts w:asciiTheme="majorHAnsi" w:hAnsiTheme="majorHAnsi" w:cstheme="majorHAnsi"/>
            </w:rPr>
            <w:t>Artero</w:t>
          </w:r>
          <w:proofErr w:type="spellEnd"/>
          <w:r w:rsidRPr="00DE4CD2">
            <w:rPr>
              <w:rFonts w:asciiTheme="majorHAnsi" w:hAnsiTheme="majorHAnsi" w:cstheme="majorHAnsi"/>
            </w:rPr>
            <w:t xml:space="preserve"> López et al., 2020</w:t>
          </w:r>
        </w:sdtContent>
      </w:sdt>
      <w:r w:rsidRPr="00DE4CD2">
        <w:rPr>
          <w:rFonts w:asciiTheme="majorHAnsi" w:hAnsiTheme="majorHAnsi" w:cstheme="majorHAnsi"/>
          <w:lang w:val="en-US"/>
        </w:rPr>
        <w:t>).</w:t>
      </w:r>
    </w:p>
    <w:p w14:paraId="01458D4D" w14:textId="7DB2882D" w:rsidR="009442D4" w:rsidRPr="00DE4CD2" w:rsidRDefault="009442D4" w:rsidP="009442D4">
      <w:pPr>
        <w:pStyle w:val="Standard1"/>
        <w:rPr>
          <w:rFonts w:asciiTheme="majorHAnsi" w:hAnsiTheme="majorHAnsi" w:cstheme="majorHAnsi"/>
          <w:lang w:val="en-US"/>
        </w:rPr>
      </w:pPr>
      <w:r w:rsidRPr="00DE4CD2">
        <w:rPr>
          <w:rFonts w:asciiTheme="majorHAnsi" w:hAnsiTheme="majorHAnsi" w:cstheme="majorHAnsi"/>
          <w:lang w:val="en-US"/>
        </w:rPr>
        <w:t>Not less important has been the increasing use of ETER for policy analysis and evaluation undertaken by the European Commission and its contractors on topics such as analyzing academic personnel (</w:t>
      </w:r>
      <w:sdt>
        <w:sdtPr>
          <w:rPr>
            <w:rFonts w:asciiTheme="majorHAnsi" w:hAnsiTheme="majorHAnsi" w:cstheme="majorHAnsi"/>
            <w:highlight w:val="white"/>
            <w:lang w:val="en-US"/>
          </w:rPr>
          <w:alias w:val="Citation"/>
          <w:tag w:val="{&quot;referencesIds&quot;:[&quot;doc:6448bf23cbe4aa7eae31cb58&quot;],&quot;referencesOptions&quot;:{&quot;doc:6448bf23cbe4aa7eae31cb58&quot;:{&quot;author&quot;:true,&quot;year&quot;:true,&quot;pageReplace&quot;:&quot;&quot;,&quot;prefix&quot;:&quot;&quot;,&quot;suffix&quot;:&quot;&quot;}},&quot;hasBrokenReferences&quot;:false,&quot;hasManualEdits&quot;:false,&quot;citationType&quot;:&quot;inline&quot;,&quot;id&quot;:616574575,&quot;citationText&quot;:&quot;&lt;span style=\&quot;font-family:Cambria;font-size:16px;color:#000000\&quot;&gt;Crosier et al., 2017&lt;/span&gt;&quot;}"/>
          <w:id w:val="616574575"/>
          <w:placeholder>
            <w:docPart w:val="78F5B825BFD1486286BA45F0814BC21F"/>
          </w:placeholder>
        </w:sdtPr>
        <w:sdtEndPr/>
        <w:sdtContent>
          <w:r w:rsidRPr="00DE4CD2">
            <w:rPr>
              <w:rFonts w:asciiTheme="majorHAnsi" w:hAnsiTheme="majorHAnsi" w:cstheme="majorHAnsi"/>
            </w:rPr>
            <w:t>Crosier et al., 2017</w:t>
          </w:r>
        </w:sdtContent>
      </w:sdt>
      <w:r w:rsidRPr="00DE4CD2">
        <w:rPr>
          <w:rFonts w:asciiTheme="majorHAnsi" w:hAnsiTheme="majorHAnsi" w:cstheme="majorHAnsi"/>
          <w:lang w:val="en-US"/>
        </w:rPr>
        <w:t>), measuring the travel distance of citizens to HEIs in Europe (</w:t>
      </w:r>
      <w:sdt>
        <w:sdtPr>
          <w:rPr>
            <w:rFonts w:asciiTheme="majorHAnsi" w:hAnsiTheme="majorHAnsi" w:cstheme="majorHAnsi"/>
            <w:highlight w:val="white"/>
            <w:lang w:val="en-US"/>
          </w:rPr>
          <w:alias w:val="Citation"/>
          <w:tag w:val="{&quot;referencesIds&quot;:[&quot;doc:6448bf81e3cff0484b821081&quot;],&quot;referencesOptions&quot;:{&quot;doc:6448bf81e3cff0484b821081&quot;:{&quot;author&quot;:true,&quot;year&quot;:true,&quot;pageReplace&quot;:&quot;&quot;,&quot;prefix&quot;:&quot;&quot;,&quot;suffix&quot;:&quot;&quot;}},&quot;hasBrokenReferences&quot;:false,&quot;hasManualEdits&quot;:false,&quot;citationType&quot;:&quot;inline&quot;,&quot;id&quot;:1212616458,&quot;citationText&quot;:&quot;&lt;span style=\&quot;font-family:Cambria;font-size:16px;color:#000000\&quot;&gt;Poelman and Dijkstra, 2018&lt;/span&gt;&quot;}"/>
          <w:id w:val="1212616458"/>
          <w:placeholder>
            <w:docPart w:val="6ECA9584B1E44CC8A0DEF967B11A1DE5"/>
          </w:placeholder>
        </w:sdtPr>
        <w:sdtEndPr/>
        <w:sdtContent>
          <w:proofErr w:type="spellStart"/>
          <w:r w:rsidRPr="00DE4CD2">
            <w:rPr>
              <w:rFonts w:asciiTheme="majorHAnsi" w:hAnsiTheme="majorHAnsi" w:cstheme="majorHAnsi"/>
            </w:rPr>
            <w:t>Poelman</w:t>
          </w:r>
          <w:proofErr w:type="spellEnd"/>
          <w:r w:rsidRPr="00DE4CD2">
            <w:rPr>
              <w:rFonts w:asciiTheme="majorHAnsi" w:hAnsiTheme="majorHAnsi" w:cstheme="majorHAnsi"/>
            </w:rPr>
            <w:t xml:space="preserve"> and Dijkstra, 2018</w:t>
          </w:r>
        </w:sdtContent>
      </w:sdt>
      <w:r w:rsidRPr="00DE4CD2">
        <w:rPr>
          <w:rFonts w:asciiTheme="majorHAnsi" w:hAnsiTheme="majorHAnsi" w:cstheme="majorHAnsi"/>
          <w:lang w:val="en-US"/>
        </w:rPr>
        <w:t>), studying higher education funding in Europe (</w:t>
      </w:r>
      <w:sdt>
        <w:sdtPr>
          <w:rPr>
            <w:rFonts w:asciiTheme="majorHAnsi" w:hAnsiTheme="majorHAnsi" w:cstheme="majorHAnsi"/>
            <w:highlight w:val="white"/>
            <w:lang w:val="en-US"/>
          </w:rPr>
          <w:alias w:val="Citation"/>
          <w:tag w:val="{&quot;referencesIds&quot;:[&quot;doc:6448bff39bc5671e7831db93&quot;],&quot;referencesOptions&quot;:{&quot;doc:6448bff39bc5671e7831db93&quot;:{&quot;author&quot;:true,&quot;year&quot;:true,&quot;pageReplace&quot;:&quot;&quot;,&quot;prefix&quot;:&quot;&quot;,&quot;suffix&quot;:&quot;&quot;}},&quot;hasBrokenReferences&quot;:false,&quot;hasManualEdits&quot;:false,&quot;citationType&quot;:&quot;inline&quot;,&quot;id&quot;:-1339223114,&quot;citationText&quot;:&quot;&lt;span style=\&quot;font-family:Cambria;font-size:16px;color:#000000\&quot;&gt;Jongbloed et al., 2023&lt;/span&gt;&quot;}"/>
          <w:id w:val="-1339223114"/>
          <w:placeholder>
            <w:docPart w:val="43A03215A8A34B38AB1D174864D420C2"/>
          </w:placeholder>
        </w:sdtPr>
        <w:sdtEndPr/>
        <w:sdtContent>
          <w:r w:rsidRPr="00DE4CD2">
            <w:rPr>
              <w:rFonts w:asciiTheme="majorHAnsi" w:hAnsiTheme="majorHAnsi" w:cstheme="majorHAnsi"/>
            </w:rPr>
            <w:t>Jongbloed et al., 2023</w:t>
          </w:r>
        </w:sdtContent>
      </w:sdt>
      <w:r w:rsidRPr="00DE4CD2">
        <w:rPr>
          <w:rFonts w:asciiTheme="majorHAnsi" w:hAnsiTheme="majorHAnsi" w:cstheme="majorHAnsi"/>
          <w:lang w:val="en-US"/>
        </w:rPr>
        <w:t>), or analyzing determinants of students' mobility(</w:t>
      </w:r>
      <w:sdt>
        <w:sdtPr>
          <w:rPr>
            <w:rFonts w:asciiTheme="majorHAnsi" w:hAnsiTheme="majorHAnsi" w:cstheme="majorHAnsi"/>
            <w:highlight w:val="white"/>
            <w:lang w:val="en-US"/>
          </w:rPr>
          <w:alias w:val="Citation"/>
          <w:tag w:val="{&quot;referencesIds&quot;:[&quot;doc:6422a0e1d6a111055640aec5&quot;],&quot;referencesOptions&quot;:{&quot;doc:6422a0e1d6a111055640aec5&quot;:{&quot;author&quot;:true,&quot;year&quot;:true,&quot;pageReplace&quot;:&quot;&quot;,&quot;prefix&quot;:&quot;&quot;,&quot;suffix&quot;:&quot;&quot;}},&quot;hasBrokenReferences&quot;:false,&quot;hasManualEdits&quot;:false,&quot;citationType&quot;:&quot;inline&quot;,&quot;id&quot;:-1058316927,&quot;citationText&quot;:&quot;&lt;span style=\&quot;font-family:Cambria;font-size:16px;color:#000000\&quot;&gt;Barrioluengo and Flisi, 2017&lt;/span&gt;&quot;}"/>
          <w:id w:val="-1058316927"/>
          <w:placeholder>
            <w:docPart w:val="D07ECDCC70844EF29DCDC1EF8E6F887C"/>
          </w:placeholder>
        </w:sdtPr>
        <w:sdtEndPr/>
        <w:sdtContent>
          <w:proofErr w:type="spellStart"/>
          <w:r w:rsidRPr="00DE4CD2">
            <w:rPr>
              <w:rFonts w:asciiTheme="majorHAnsi" w:hAnsiTheme="majorHAnsi" w:cstheme="majorHAnsi"/>
            </w:rPr>
            <w:t>Barrioluengo</w:t>
          </w:r>
          <w:proofErr w:type="spellEnd"/>
          <w:r w:rsidRPr="00DE4CD2">
            <w:rPr>
              <w:rFonts w:asciiTheme="majorHAnsi" w:hAnsiTheme="majorHAnsi" w:cstheme="majorHAnsi"/>
            </w:rPr>
            <w:t xml:space="preserve"> and </w:t>
          </w:r>
          <w:proofErr w:type="spellStart"/>
          <w:r w:rsidRPr="00DE4CD2">
            <w:rPr>
              <w:rFonts w:asciiTheme="majorHAnsi" w:hAnsiTheme="majorHAnsi" w:cstheme="majorHAnsi"/>
            </w:rPr>
            <w:t>Flisi</w:t>
          </w:r>
          <w:proofErr w:type="spellEnd"/>
          <w:r w:rsidRPr="00DE4CD2">
            <w:rPr>
              <w:rFonts w:asciiTheme="majorHAnsi" w:hAnsiTheme="majorHAnsi" w:cstheme="majorHAnsi"/>
            </w:rPr>
            <w:t>, 2017</w:t>
          </w:r>
        </w:sdtContent>
      </w:sdt>
      <w:r w:rsidRPr="00DE4CD2">
        <w:rPr>
          <w:rFonts w:asciiTheme="majorHAnsi" w:hAnsiTheme="majorHAnsi" w:cstheme="majorHAnsi"/>
          <w:lang w:val="en-US"/>
        </w:rPr>
        <w:t>).</w:t>
      </w:r>
    </w:p>
    <w:p w14:paraId="451F1F5B" w14:textId="77777777" w:rsidR="006E27F4" w:rsidRPr="00DE4CD2" w:rsidRDefault="006E27F4" w:rsidP="009442D4">
      <w:pPr>
        <w:pStyle w:val="Standard1"/>
        <w:rPr>
          <w:rFonts w:asciiTheme="majorHAnsi" w:hAnsiTheme="majorHAnsi" w:cstheme="majorHAnsi"/>
          <w:lang w:val="en-US"/>
        </w:rPr>
      </w:pPr>
    </w:p>
    <w:p w14:paraId="644A84D5" w14:textId="77777777" w:rsidR="009442D4" w:rsidRPr="00DE4CD2" w:rsidRDefault="009442D4" w:rsidP="009442D4">
      <w:pPr>
        <w:pStyle w:val="Standard1"/>
        <w:rPr>
          <w:rFonts w:asciiTheme="majorHAnsi" w:hAnsiTheme="majorHAnsi" w:cstheme="majorHAnsi"/>
          <w:lang w:val="en-US"/>
        </w:rPr>
      </w:pPr>
      <w:r w:rsidRPr="00DE4CD2">
        <w:rPr>
          <w:rFonts w:asciiTheme="majorHAnsi" w:hAnsiTheme="majorHAnsi" w:cstheme="majorHAnsi"/>
          <w:lang w:val="en-US"/>
        </w:rPr>
        <w:t>These examples of scholarly work and policy reporting utilizing ETER display the breadth of the topics analyzed and, accordingly, emphasize the function of ETER as a basic data infrastructure, which provides core data on HEIs such as their geographical position, size, and the number of students.</w:t>
      </w:r>
    </w:p>
    <w:p w14:paraId="19D6D29F" w14:textId="5602CD62" w:rsidR="009442D4" w:rsidRPr="00DE4CD2" w:rsidRDefault="009442D4" w:rsidP="009442D4">
      <w:pPr>
        <w:pStyle w:val="Standard1"/>
        <w:rPr>
          <w:rFonts w:asciiTheme="majorHAnsi" w:hAnsiTheme="majorHAnsi" w:cstheme="majorHAnsi"/>
        </w:rPr>
      </w:pPr>
      <w:r w:rsidRPr="00DE4CD2">
        <w:rPr>
          <w:rFonts w:asciiTheme="majorHAnsi" w:hAnsiTheme="majorHAnsi" w:cstheme="majorHAnsi"/>
        </w:rPr>
        <w:t>More recent usage cases of ETER combined with other datasets include a Multilevel analysis on the effect of institutional autonomy on higher education effectiveness in Europe combining ETER with RISIS publications and institutional autonomy indicators from the European University Association (</w:t>
      </w:r>
      <w:hyperlink r:id="rId63" w:history="1">
        <w:r w:rsidRPr="00DE4CD2">
          <w:rPr>
            <w:rStyle w:val="Hyperlink"/>
            <w:rFonts w:asciiTheme="majorHAnsi" w:hAnsiTheme="majorHAnsi" w:cstheme="majorHAnsi"/>
            <w:color w:val="auto"/>
          </w:rPr>
          <w:t>https://zenodo.org/records/7870672</w:t>
        </w:r>
      </w:hyperlink>
      <w:r w:rsidRPr="00DE4CD2">
        <w:rPr>
          <w:rFonts w:asciiTheme="majorHAnsi" w:hAnsiTheme="majorHAnsi" w:cstheme="majorHAnsi"/>
        </w:rPr>
        <w:t>), the analysis of the socio-economic gap in international student mobility uptake (</w:t>
      </w:r>
      <w:hyperlink r:id="rId64" w:history="1">
        <w:r w:rsidRPr="00DE4CD2">
          <w:rPr>
            <w:rStyle w:val="Hyperlink"/>
            <w:rFonts w:asciiTheme="majorHAnsi" w:hAnsiTheme="majorHAnsi" w:cstheme="majorHAnsi"/>
            <w:color w:val="auto"/>
          </w:rPr>
          <w:t>https://zenodo.org/records/8379426</w:t>
        </w:r>
      </w:hyperlink>
      <w:r w:rsidRPr="00DE4CD2">
        <w:rPr>
          <w:rFonts w:asciiTheme="majorHAnsi" w:hAnsiTheme="majorHAnsi" w:cstheme="majorHAnsi"/>
        </w:rPr>
        <w:t>) and the analysis of the impact of universities’ expenditures on research performance (</w:t>
      </w:r>
      <w:hyperlink r:id="rId65" w:history="1">
        <w:r w:rsidRPr="00DE4CD2">
          <w:rPr>
            <w:rStyle w:val="Hyperlink"/>
            <w:rFonts w:asciiTheme="majorHAnsi" w:hAnsiTheme="majorHAnsi" w:cstheme="majorHAnsi"/>
            <w:color w:val="auto"/>
          </w:rPr>
          <w:t>https://zenodo.org/records/10075185</w:t>
        </w:r>
      </w:hyperlink>
      <w:r w:rsidRPr="00DE4CD2">
        <w:rPr>
          <w:rFonts w:asciiTheme="majorHAnsi" w:hAnsiTheme="majorHAnsi" w:cstheme="majorHAnsi"/>
        </w:rPr>
        <w:t>).</w:t>
      </w:r>
    </w:p>
    <w:p w14:paraId="448E14F3" w14:textId="77777777" w:rsidR="006E27F4" w:rsidRPr="00DE4CD2" w:rsidRDefault="006E27F4" w:rsidP="009442D4">
      <w:pPr>
        <w:pStyle w:val="Standard1"/>
        <w:rPr>
          <w:rFonts w:asciiTheme="majorHAnsi" w:hAnsiTheme="majorHAnsi" w:cstheme="majorHAnsi"/>
        </w:rPr>
      </w:pPr>
    </w:p>
    <w:p w14:paraId="615AEAA3" w14:textId="77777777" w:rsidR="009442D4" w:rsidRPr="00DE4CD2" w:rsidRDefault="009442D4" w:rsidP="009442D4">
      <w:pPr>
        <w:jc w:val="both"/>
        <w:rPr>
          <w:rFonts w:asciiTheme="majorHAnsi" w:hAnsiTheme="majorHAnsi" w:cstheme="majorHAnsi"/>
        </w:rPr>
      </w:pPr>
      <w:r w:rsidRPr="00DE4CD2">
        <w:rPr>
          <w:rFonts w:asciiTheme="majorHAnsi" w:hAnsiTheme="majorHAnsi" w:cstheme="majorHAnsi"/>
        </w:rPr>
        <w:t>ETER country reports are also examples of usages more oriented towards policy makers, in particular at national level. They are intended to describe the structure and the respective national higher education system of a specific country, focusing on the institutional types as defined by national categories. They provide basic quantitative information on the role of higher education institution types in the different countries, based on the data derived from ETER for the period 2011-2020 (</w:t>
      </w:r>
      <w:hyperlink r:id="rId66" w:history="1">
        <w:r w:rsidRPr="00DE4CD2">
          <w:rPr>
            <w:rStyle w:val="Hyperlink"/>
            <w:rFonts w:asciiTheme="majorHAnsi" w:hAnsiTheme="majorHAnsi" w:cstheme="majorHAnsi"/>
            <w:color w:val="auto"/>
          </w:rPr>
          <w:t>https://www.eter-project.com/2022/06/01/country-reports-2/</w:t>
        </w:r>
      </w:hyperlink>
      <w:r w:rsidRPr="00DE4CD2">
        <w:rPr>
          <w:rFonts w:asciiTheme="majorHAnsi" w:hAnsiTheme="majorHAnsi" w:cstheme="majorHAnsi"/>
        </w:rPr>
        <w:t>).</w:t>
      </w:r>
    </w:p>
    <w:p w14:paraId="741AE429" w14:textId="148A7C54" w:rsidR="00FF0B92" w:rsidRPr="00DE4CD2" w:rsidRDefault="00FF0B92" w:rsidP="00FF0B92">
      <w:pPr>
        <w:pStyle w:val="berschrift3"/>
        <w:rPr>
          <w:rFonts w:asciiTheme="majorHAnsi" w:hAnsiTheme="majorHAnsi" w:cstheme="majorHAnsi"/>
          <w:color w:val="auto"/>
        </w:rPr>
      </w:pPr>
      <w:bookmarkStart w:id="27" w:name="_Toc153536133"/>
      <w:r w:rsidRPr="00DE4CD2">
        <w:rPr>
          <w:rFonts w:asciiTheme="majorHAnsi" w:hAnsiTheme="majorHAnsi" w:cstheme="majorHAnsi"/>
          <w:color w:val="auto"/>
        </w:rPr>
        <w:t>DDC</w:t>
      </w:r>
      <w:bookmarkEnd w:id="27"/>
    </w:p>
    <w:p w14:paraId="5D201F3D" w14:textId="77777777" w:rsidR="00FF0B92" w:rsidRPr="00DE4CD2" w:rsidRDefault="00FF0B92" w:rsidP="00FF0B92">
      <w:pPr>
        <w:rPr>
          <w:rFonts w:asciiTheme="majorHAnsi" w:hAnsiTheme="majorHAnsi" w:cstheme="majorHAnsi"/>
        </w:rPr>
      </w:pPr>
    </w:p>
    <w:p w14:paraId="2D356BAC" w14:textId="20BAA8E8" w:rsidR="003310B6" w:rsidRPr="00DE4CD2" w:rsidRDefault="003310B6" w:rsidP="003310B6">
      <w:pPr>
        <w:jc w:val="both"/>
        <w:rPr>
          <w:rFonts w:asciiTheme="majorHAnsi" w:hAnsiTheme="majorHAnsi" w:cstheme="majorHAnsi"/>
          <w:b/>
          <w:bCs/>
          <w:i/>
          <w:iCs/>
        </w:rPr>
      </w:pPr>
      <w:r w:rsidRPr="00DE4CD2">
        <w:rPr>
          <w:rFonts w:asciiTheme="majorHAnsi" w:hAnsiTheme="majorHAnsi" w:cstheme="majorHAnsi"/>
          <w:b/>
          <w:bCs/>
          <w:i/>
          <w:iCs/>
        </w:rPr>
        <w:t>Present State and value-added</w:t>
      </w:r>
    </w:p>
    <w:p w14:paraId="7D065A8B" w14:textId="77777777" w:rsidR="003310B6" w:rsidRPr="00DE4CD2" w:rsidRDefault="003310B6" w:rsidP="003310B6">
      <w:pPr>
        <w:jc w:val="both"/>
        <w:rPr>
          <w:rFonts w:asciiTheme="majorHAnsi" w:hAnsiTheme="majorHAnsi" w:cstheme="majorHAnsi"/>
          <w:lang w:val="en-US"/>
        </w:rPr>
      </w:pPr>
      <w:r w:rsidRPr="00DE4CD2">
        <w:rPr>
          <w:rFonts w:asciiTheme="majorHAnsi" w:hAnsiTheme="majorHAnsi" w:cstheme="majorHAnsi"/>
          <w:lang w:val="en-US"/>
        </w:rPr>
        <w:t xml:space="preserve">The Doctoral Degree and Career Dataset (DDC) is an experimental dataset in the RISIS Infrastructure. The DDC pilots a new approach to address an important and recurring policy concern namely, how to monitor and analyze the labor-market placement of trained PhDs? At issue is the familiar fact that the number of doctoral degrees that are awarded each year has increased dramatically. Since the mid-1990s, ‘PhD production’ has exceeded the number that can be absorbed in the ranks of university staff in the US and, since then, in other OECD countries. Both academic and policy communities are trying to better understand the increase and what it means in different contexts. </w:t>
      </w:r>
      <w:r w:rsidRPr="00DE4CD2">
        <w:rPr>
          <w:rFonts w:asciiTheme="majorHAnsi" w:eastAsia="Times New Roman" w:hAnsiTheme="majorHAnsi" w:cstheme="majorHAnsi"/>
          <w:lang w:val="en-US" w:eastAsia="nb-NO"/>
        </w:rPr>
        <w:t>Im</w:t>
      </w:r>
      <w:r w:rsidRPr="00DE4CD2">
        <w:rPr>
          <w:rFonts w:asciiTheme="majorHAnsi" w:hAnsiTheme="majorHAnsi" w:cstheme="majorHAnsi"/>
          <w:lang w:val="en-US"/>
        </w:rPr>
        <w:t xml:space="preserve">portant questions are being raised, for example about where the numbers of PhDs end up if they don’t go into Academia; and what effect this has on the individual's career, on the public policy's commitment to underwrite the training PhDs, and, not least, on the generation and spread of knowledge. </w:t>
      </w:r>
    </w:p>
    <w:p w14:paraId="77CC7B28" w14:textId="77777777" w:rsidR="003310B6" w:rsidRPr="00DE4CD2" w:rsidRDefault="003310B6" w:rsidP="003310B6">
      <w:pPr>
        <w:jc w:val="both"/>
        <w:rPr>
          <w:rFonts w:asciiTheme="majorHAnsi" w:hAnsiTheme="majorHAnsi" w:cstheme="majorHAnsi"/>
          <w:lang w:val="pt-PT"/>
        </w:rPr>
      </w:pPr>
    </w:p>
    <w:p w14:paraId="7A9DA6B0" w14:textId="77777777" w:rsidR="003310B6" w:rsidRPr="00DE4CD2" w:rsidRDefault="003310B6" w:rsidP="003310B6">
      <w:pPr>
        <w:jc w:val="both"/>
        <w:rPr>
          <w:rFonts w:asciiTheme="majorHAnsi" w:hAnsiTheme="majorHAnsi" w:cstheme="majorHAnsi"/>
          <w:b/>
          <w:bCs/>
          <w:i/>
          <w:iCs/>
        </w:rPr>
      </w:pPr>
      <w:r w:rsidRPr="00DE4CD2">
        <w:rPr>
          <w:rFonts w:asciiTheme="majorHAnsi" w:hAnsiTheme="majorHAnsi" w:cstheme="majorHAnsi"/>
          <w:lang w:val="pt-PT"/>
        </w:rPr>
        <w:t xml:space="preserve">Collecting reliable and robust information to inform the range of important public policy debates has a long history. It has been the subject of longstanding work at the national and, more recently, at the international levels for decades. But attempts thus far by the EU (eg MORE) and other joint </w:t>
      </w:r>
      <w:r w:rsidRPr="00DE4CD2">
        <w:rPr>
          <w:rFonts w:asciiTheme="majorHAnsi" w:hAnsiTheme="majorHAnsi" w:cstheme="majorHAnsi"/>
          <w:lang w:val="pt-PT"/>
        </w:rPr>
        <w:lastRenderedPageBreak/>
        <w:t xml:space="preserve">international work (eg CDH) have illustrated how difficult it can be to operationalize a consistent and robust monitoring system at the international level. </w:t>
      </w:r>
    </w:p>
    <w:p w14:paraId="5251BFB5" w14:textId="77777777" w:rsidR="003310B6" w:rsidRPr="00DE4CD2" w:rsidRDefault="003310B6" w:rsidP="003310B6">
      <w:pPr>
        <w:rPr>
          <w:rFonts w:asciiTheme="majorHAnsi" w:hAnsiTheme="majorHAnsi" w:cstheme="majorHAnsi"/>
        </w:rPr>
      </w:pPr>
    </w:p>
    <w:p w14:paraId="75706A45" w14:textId="0D10A334" w:rsidR="003310B6" w:rsidRPr="00DE4CD2" w:rsidRDefault="003310B6" w:rsidP="0063329C">
      <w:pPr>
        <w:jc w:val="both"/>
        <w:rPr>
          <w:rFonts w:asciiTheme="majorHAnsi" w:hAnsiTheme="majorHAnsi" w:cstheme="majorHAnsi"/>
        </w:rPr>
      </w:pPr>
      <w:r w:rsidRPr="00DE4CD2">
        <w:rPr>
          <w:rFonts w:asciiTheme="majorHAnsi" w:hAnsiTheme="majorHAnsi" w:cstheme="majorHAnsi"/>
        </w:rPr>
        <w:t xml:space="preserve">The DDC has taken a novel approach in this context. </w:t>
      </w:r>
      <w:r w:rsidRPr="00DE4CD2">
        <w:rPr>
          <w:rFonts w:asciiTheme="majorHAnsi" w:hAnsiTheme="majorHAnsi" w:cstheme="majorHAnsi"/>
          <w:lang w:val="en-US"/>
        </w:rPr>
        <w:t>The defining element of DDC is that it is a dissertation-centric database. Information about the</w:t>
      </w:r>
      <w:r w:rsidRPr="00DE4CD2">
        <w:rPr>
          <w:rFonts w:asciiTheme="majorHAnsi" w:hAnsiTheme="majorHAnsi" w:cstheme="majorHAnsi"/>
        </w:rPr>
        <w:t xml:space="preserve"> dissertation is used to construct the population base for a given country each year. In its current form, the DDC Core dataset (rev 1) is a micro-level PhD production consisting of two cohorts (2010, 2014) of trained PhDs from 6 countries (AT, DE, IL, NL, ES, NO). There are currently 93,134 observations in the pilot. Cohorts from other countries (Italy and France) are planned to be integrated next. </w:t>
      </w:r>
    </w:p>
    <w:p w14:paraId="74A9C02A" w14:textId="77777777" w:rsidR="003310B6" w:rsidRPr="00DE4CD2" w:rsidRDefault="003310B6" w:rsidP="003310B6">
      <w:pPr>
        <w:rPr>
          <w:rFonts w:asciiTheme="majorHAnsi" w:hAnsiTheme="majorHAnsi" w:cstheme="majorHAnsi"/>
        </w:rPr>
      </w:pPr>
    </w:p>
    <w:p w14:paraId="2F3E0910" w14:textId="55C9D5A8" w:rsidR="003310B6" w:rsidRPr="00DE4CD2" w:rsidRDefault="003310B6" w:rsidP="0063329C">
      <w:pPr>
        <w:jc w:val="both"/>
        <w:rPr>
          <w:rFonts w:asciiTheme="majorHAnsi" w:hAnsiTheme="majorHAnsi" w:cstheme="majorHAnsi"/>
          <w:lang w:val="en-US"/>
        </w:rPr>
      </w:pPr>
      <w:r w:rsidRPr="00DE4CD2">
        <w:rPr>
          <w:rFonts w:asciiTheme="majorHAnsi" w:hAnsiTheme="majorHAnsi" w:cstheme="majorHAnsi"/>
          <w:lang w:val="en-US"/>
        </w:rPr>
        <w:t xml:space="preserve">Figure </w:t>
      </w:r>
      <w:r w:rsidR="0063329C" w:rsidRPr="00DE4CD2">
        <w:rPr>
          <w:rFonts w:asciiTheme="majorHAnsi" w:hAnsiTheme="majorHAnsi" w:cstheme="majorHAnsi"/>
          <w:lang w:val="en-US"/>
        </w:rPr>
        <w:t>29</w:t>
      </w:r>
      <w:r w:rsidRPr="00DE4CD2">
        <w:rPr>
          <w:rFonts w:asciiTheme="majorHAnsi" w:hAnsiTheme="majorHAnsi" w:cstheme="majorHAnsi"/>
          <w:lang w:val="en-US"/>
        </w:rPr>
        <w:t xml:space="preserve"> presents the current population of DDC (rev 1) and provides a schematic overview of the basic design. At the core are a range of </w:t>
      </w:r>
      <w:r w:rsidRPr="00DE4CD2">
        <w:rPr>
          <w:rFonts w:asciiTheme="majorHAnsi" w:hAnsiTheme="majorHAnsi" w:cstheme="majorHAnsi"/>
        </w:rPr>
        <w:t xml:space="preserve">attributes about the dissertation and about the degree-holder. Critically, these are pseudonymized. This core of dissertation metadata is then complemented with information recruited from multiple RISIS resources, including information about the degree-issuing university (from </w:t>
      </w:r>
      <w:proofErr w:type="spellStart"/>
      <w:r w:rsidRPr="00DE4CD2">
        <w:rPr>
          <w:rFonts w:asciiTheme="majorHAnsi" w:hAnsiTheme="majorHAnsi" w:cstheme="majorHAnsi"/>
        </w:rPr>
        <w:t>OrgReg</w:t>
      </w:r>
      <w:proofErr w:type="spellEnd"/>
      <w:r w:rsidRPr="00DE4CD2">
        <w:rPr>
          <w:rFonts w:asciiTheme="majorHAnsi" w:hAnsiTheme="majorHAnsi" w:cstheme="majorHAnsi"/>
        </w:rPr>
        <w:t xml:space="preserve">) and a link to the PhD’s publications (from CWTS Publications). </w:t>
      </w:r>
      <w:r w:rsidRPr="00DE4CD2">
        <w:rPr>
          <w:rFonts w:asciiTheme="majorHAnsi" w:hAnsiTheme="majorHAnsi" w:cstheme="majorHAnsi"/>
          <w:lang w:val="en-US"/>
        </w:rPr>
        <w:t xml:space="preserve">This design consists of the core dataset (DB2) where links to other datasets have been piloted. </w:t>
      </w:r>
    </w:p>
    <w:p w14:paraId="3B16804C" w14:textId="77777777" w:rsidR="0063329C" w:rsidRPr="00DE4CD2" w:rsidRDefault="0063329C" w:rsidP="0063329C">
      <w:pPr>
        <w:jc w:val="both"/>
        <w:rPr>
          <w:rFonts w:asciiTheme="majorHAnsi" w:hAnsiTheme="majorHAnsi" w:cstheme="majorHAnsi"/>
          <w:lang w:val="en-US"/>
        </w:rPr>
      </w:pPr>
    </w:p>
    <w:p w14:paraId="79EE83C0" w14:textId="77777777" w:rsidR="003310B6" w:rsidRPr="00DE4CD2" w:rsidRDefault="003310B6" w:rsidP="002C3BB1">
      <w:pPr>
        <w:numPr>
          <w:ilvl w:val="0"/>
          <w:numId w:val="8"/>
        </w:numPr>
        <w:rPr>
          <w:rFonts w:asciiTheme="majorHAnsi" w:hAnsiTheme="majorHAnsi" w:cstheme="majorHAnsi"/>
          <w:lang w:val="en-US"/>
        </w:rPr>
      </w:pPr>
      <w:r w:rsidRPr="00DE4CD2">
        <w:rPr>
          <w:rFonts w:asciiTheme="majorHAnsi" w:hAnsiTheme="majorHAnsi" w:cstheme="majorHAnsi"/>
          <w:lang w:val="en-US"/>
        </w:rPr>
        <w:t>DB1. Official data (to provide official population frame)</w:t>
      </w:r>
    </w:p>
    <w:p w14:paraId="4E414DE4" w14:textId="77777777" w:rsidR="003310B6" w:rsidRPr="00DE4CD2" w:rsidRDefault="003310B6" w:rsidP="002C3BB1">
      <w:pPr>
        <w:numPr>
          <w:ilvl w:val="0"/>
          <w:numId w:val="8"/>
        </w:numPr>
        <w:rPr>
          <w:rFonts w:asciiTheme="majorHAnsi" w:hAnsiTheme="majorHAnsi" w:cstheme="majorHAnsi"/>
          <w:lang w:val="en-US"/>
        </w:rPr>
      </w:pPr>
      <w:r w:rsidRPr="00DE4CD2">
        <w:rPr>
          <w:rFonts w:asciiTheme="majorHAnsi" w:hAnsiTheme="majorHAnsi" w:cstheme="majorHAnsi"/>
          <w:b/>
          <w:bCs/>
          <w:lang w:val="en-US"/>
        </w:rPr>
        <w:t xml:space="preserve">DB2. Annual dissertation metadata for given country (to take stock of PhD production). </w:t>
      </w:r>
    </w:p>
    <w:p w14:paraId="3A560875" w14:textId="77777777" w:rsidR="003310B6" w:rsidRPr="00DE4CD2" w:rsidRDefault="003310B6" w:rsidP="002C3BB1">
      <w:pPr>
        <w:numPr>
          <w:ilvl w:val="0"/>
          <w:numId w:val="8"/>
        </w:numPr>
        <w:rPr>
          <w:rFonts w:asciiTheme="majorHAnsi" w:hAnsiTheme="majorHAnsi" w:cstheme="majorHAnsi"/>
          <w:lang w:val="en-US"/>
        </w:rPr>
      </w:pPr>
      <w:r w:rsidRPr="00DE4CD2">
        <w:rPr>
          <w:rFonts w:asciiTheme="majorHAnsi" w:hAnsiTheme="majorHAnsi" w:cstheme="majorHAnsi"/>
          <w:lang w:val="en-US"/>
        </w:rPr>
        <w:t>DB3: Publication record linked in bibliometric data (CWTS Publication)</w:t>
      </w:r>
    </w:p>
    <w:p w14:paraId="118F482C" w14:textId="77777777" w:rsidR="003310B6" w:rsidRPr="00DE4CD2" w:rsidRDefault="003310B6" w:rsidP="002C3BB1">
      <w:pPr>
        <w:numPr>
          <w:ilvl w:val="0"/>
          <w:numId w:val="8"/>
        </w:numPr>
        <w:rPr>
          <w:rFonts w:asciiTheme="majorHAnsi" w:hAnsiTheme="majorHAnsi" w:cstheme="majorHAnsi"/>
          <w:lang w:val="en-US"/>
        </w:rPr>
      </w:pPr>
      <w:r w:rsidRPr="00DE4CD2">
        <w:rPr>
          <w:rFonts w:asciiTheme="majorHAnsi" w:hAnsiTheme="majorHAnsi" w:cstheme="majorHAnsi"/>
          <w:lang w:val="en-US"/>
        </w:rPr>
        <w:t>DB4. University characteristics in register (</w:t>
      </w:r>
      <w:proofErr w:type="spellStart"/>
      <w:r w:rsidRPr="00DE4CD2">
        <w:rPr>
          <w:rFonts w:asciiTheme="majorHAnsi" w:hAnsiTheme="majorHAnsi" w:cstheme="majorHAnsi"/>
          <w:lang w:val="en-US"/>
        </w:rPr>
        <w:t>OrgReg</w:t>
      </w:r>
      <w:proofErr w:type="spellEnd"/>
      <w:r w:rsidRPr="00DE4CD2">
        <w:rPr>
          <w:rFonts w:asciiTheme="majorHAnsi" w:hAnsiTheme="majorHAnsi" w:cstheme="majorHAnsi"/>
          <w:lang w:val="en-US"/>
        </w:rPr>
        <w:t>)</w:t>
      </w:r>
    </w:p>
    <w:p w14:paraId="40D08764" w14:textId="77777777" w:rsidR="003310B6" w:rsidRPr="00DE4CD2" w:rsidRDefault="003310B6" w:rsidP="002C3BB1">
      <w:pPr>
        <w:numPr>
          <w:ilvl w:val="0"/>
          <w:numId w:val="8"/>
        </w:numPr>
        <w:rPr>
          <w:rFonts w:asciiTheme="majorHAnsi" w:hAnsiTheme="majorHAnsi" w:cstheme="majorHAnsi"/>
          <w:lang w:val="en-US"/>
        </w:rPr>
      </w:pPr>
      <w:r w:rsidRPr="00DE4CD2">
        <w:rPr>
          <w:rFonts w:asciiTheme="majorHAnsi" w:hAnsiTheme="majorHAnsi" w:cstheme="majorHAnsi"/>
          <w:lang w:val="en-US"/>
        </w:rPr>
        <w:t>(DB5. Dissertation attributes from annotation of the physical dissertations)</w:t>
      </w:r>
    </w:p>
    <w:p w14:paraId="1AE6E524" w14:textId="77777777" w:rsidR="003310B6" w:rsidRPr="00DE4CD2" w:rsidRDefault="003310B6" w:rsidP="003310B6">
      <w:pPr>
        <w:rPr>
          <w:rFonts w:asciiTheme="majorHAnsi" w:hAnsiTheme="majorHAnsi" w:cstheme="majorHAnsi"/>
          <w:lang w:val="en-US"/>
        </w:rPr>
      </w:pPr>
    </w:p>
    <w:p w14:paraId="26F15971" w14:textId="0994296E" w:rsidR="003310B6" w:rsidRPr="00DE4CD2" w:rsidRDefault="003310B6" w:rsidP="003310B6">
      <w:pPr>
        <w:spacing w:after="120"/>
        <w:jc w:val="both"/>
        <w:rPr>
          <w:rFonts w:asciiTheme="majorHAnsi" w:hAnsiTheme="majorHAnsi" w:cstheme="majorHAnsi"/>
          <w:lang w:val="en-US"/>
        </w:rPr>
      </w:pPr>
      <w:r w:rsidRPr="00DE4CD2">
        <w:rPr>
          <w:rFonts w:asciiTheme="majorHAnsi" w:hAnsiTheme="majorHAnsi" w:cstheme="majorHAnsi"/>
        </w:rPr>
        <w:t xml:space="preserve"> </w:t>
      </w:r>
      <w:r w:rsidRPr="00DE4CD2">
        <w:rPr>
          <w:rFonts w:asciiTheme="majorHAnsi" w:eastAsiaTheme="minorHAnsi" w:hAnsiTheme="majorHAnsi" w:cstheme="majorHAnsi"/>
          <w:i/>
          <w:iCs/>
          <w:lang w:val="en-US" w:eastAsia="en-US"/>
        </w:rPr>
        <w:t xml:space="preserve">Figure </w:t>
      </w:r>
      <w:r w:rsidR="0063329C" w:rsidRPr="00DE4CD2">
        <w:rPr>
          <w:rFonts w:asciiTheme="majorHAnsi" w:eastAsiaTheme="minorHAnsi" w:hAnsiTheme="majorHAnsi" w:cstheme="majorHAnsi"/>
          <w:i/>
          <w:iCs/>
          <w:lang w:val="en-US" w:eastAsia="en-US"/>
        </w:rPr>
        <w:t>29</w:t>
      </w:r>
      <w:r w:rsidRPr="00DE4CD2">
        <w:rPr>
          <w:rFonts w:asciiTheme="majorHAnsi" w:eastAsiaTheme="minorHAnsi" w:hAnsiTheme="majorHAnsi" w:cstheme="majorHAnsi"/>
          <w:i/>
          <w:iCs/>
          <w:lang w:val="en-US" w:eastAsia="en-US"/>
        </w:rPr>
        <w:t>. A schematic overview of the DDC (rev. 1) and basic population (6 countries x 2 years)</w:t>
      </w:r>
    </w:p>
    <w:p w14:paraId="140102D8" w14:textId="77777777" w:rsidR="003310B6" w:rsidRPr="00DE4CD2" w:rsidRDefault="003310B6" w:rsidP="003310B6">
      <w:pPr>
        <w:keepNext/>
        <w:keepLines/>
        <w:rPr>
          <w:rFonts w:asciiTheme="majorHAnsi" w:hAnsiTheme="majorHAnsi" w:cstheme="majorHAnsi"/>
          <w:lang w:val="en-US"/>
        </w:rPr>
      </w:pPr>
      <w:r w:rsidRPr="00DE4CD2">
        <w:rPr>
          <w:rFonts w:asciiTheme="majorHAnsi" w:hAnsiTheme="majorHAnsi" w:cstheme="majorHAnsi"/>
          <w:noProof/>
        </w:rPr>
        <w:drawing>
          <wp:inline distT="0" distB="0" distL="0" distR="0" wp14:anchorId="208BAFAC" wp14:editId="412D0AAC">
            <wp:extent cx="6121870" cy="3442915"/>
            <wp:effectExtent l="0" t="0" r="0" b="5715"/>
            <wp:docPr id="7032395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25921" cy="3445193"/>
                    </a:xfrm>
                    <a:prstGeom prst="rect">
                      <a:avLst/>
                    </a:prstGeom>
                    <a:noFill/>
                    <a:ln>
                      <a:noFill/>
                    </a:ln>
                  </pic:spPr>
                </pic:pic>
              </a:graphicData>
            </a:graphic>
          </wp:inline>
        </w:drawing>
      </w:r>
    </w:p>
    <w:p w14:paraId="05D6D431" w14:textId="77777777" w:rsidR="003310B6" w:rsidRPr="00DE4CD2" w:rsidRDefault="003310B6" w:rsidP="003310B6">
      <w:pPr>
        <w:keepNext/>
        <w:keepLines/>
        <w:rPr>
          <w:rFonts w:asciiTheme="majorHAnsi" w:hAnsiTheme="majorHAnsi" w:cstheme="majorHAnsi"/>
          <w:lang w:val="en-US"/>
        </w:rPr>
      </w:pPr>
    </w:p>
    <w:p w14:paraId="432B52B6" w14:textId="77777777" w:rsidR="00D32776" w:rsidRPr="00DE4CD2" w:rsidRDefault="00D32776" w:rsidP="003310B6">
      <w:pPr>
        <w:rPr>
          <w:rFonts w:asciiTheme="majorHAnsi" w:hAnsiTheme="majorHAnsi" w:cstheme="majorHAnsi"/>
        </w:rPr>
      </w:pPr>
    </w:p>
    <w:p w14:paraId="1D97065D" w14:textId="51A85E02" w:rsidR="003310B6" w:rsidRPr="00DE4CD2" w:rsidRDefault="003310B6" w:rsidP="003310B6">
      <w:pPr>
        <w:rPr>
          <w:rFonts w:asciiTheme="majorHAnsi" w:hAnsiTheme="majorHAnsi" w:cstheme="majorHAnsi"/>
          <w:lang w:val="pt-PT"/>
        </w:rPr>
      </w:pPr>
      <w:r w:rsidRPr="00DE4CD2">
        <w:rPr>
          <w:rFonts w:asciiTheme="majorHAnsi" w:hAnsiTheme="majorHAnsi" w:cstheme="majorHAnsi"/>
        </w:rPr>
        <w:lastRenderedPageBreak/>
        <w:t xml:space="preserve">Following a </w:t>
      </w:r>
      <w:r w:rsidRPr="00DE4CD2">
        <w:rPr>
          <w:rFonts w:asciiTheme="majorHAnsi" w:hAnsiTheme="majorHAnsi" w:cstheme="majorHAnsi"/>
          <w:lang w:val="pt-PT"/>
        </w:rPr>
        <w:t xml:space="preserve">schematic distinction between 'supply-side' and a 'demand-side', DDC can be best conceived of as consisting of two complementary components. </w:t>
      </w:r>
    </w:p>
    <w:p w14:paraId="265EE225" w14:textId="77777777" w:rsidR="003310B6" w:rsidRPr="00DE4CD2" w:rsidRDefault="003310B6" w:rsidP="002C3BB1">
      <w:pPr>
        <w:pStyle w:val="Listenabsatz"/>
        <w:numPr>
          <w:ilvl w:val="0"/>
          <w:numId w:val="12"/>
        </w:numPr>
        <w:ind w:left="426" w:hanging="426"/>
        <w:rPr>
          <w:rFonts w:asciiTheme="majorHAnsi" w:hAnsiTheme="majorHAnsi" w:cstheme="majorHAnsi"/>
        </w:rPr>
      </w:pPr>
      <w:r w:rsidRPr="00DE4CD2">
        <w:rPr>
          <w:rFonts w:asciiTheme="majorHAnsi" w:hAnsiTheme="majorHAnsi" w:cstheme="majorHAnsi"/>
        </w:rPr>
        <w:t>First, DDC acts primarily as an enriched “PhD production” dataset. By bringing together different RISIS resources around a core of dissertation metadata, the DDC provides the user with enriched information about the dissertation (e.g., topic mapping), about the degree-granting university (e.g., geolocation), as well as basic information about the individual (e.g., gender).</w:t>
      </w:r>
    </w:p>
    <w:p w14:paraId="1DF4BDA2" w14:textId="11D7FF03" w:rsidR="003310B6" w:rsidRPr="00DE4CD2" w:rsidRDefault="003310B6" w:rsidP="002C3BB1">
      <w:pPr>
        <w:pStyle w:val="Listenabsatz"/>
        <w:numPr>
          <w:ilvl w:val="0"/>
          <w:numId w:val="12"/>
        </w:numPr>
        <w:ind w:left="426" w:hanging="426"/>
        <w:rPr>
          <w:rFonts w:asciiTheme="majorHAnsi" w:hAnsiTheme="majorHAnsi" w:cstheme="majorHAnsi"/>
        </w:rPr>
      </w:pPr>
      <w:r w:rsidRPr="00DE4CD2">
        <w:rPr>
          <w:rFonts w:asciiTheme="majorHAnsi" w:hAnsiTheme="majorHAnsi" w:cstheme="majorHAnsi"/>
        </w:rPr>
        <w:t xml:space="preserve">The second, more experimental aspect of the DDC involves the question of the ‘career’(C). The dissertation is again central. The DDC develops an experimental workflow that estimates the post-dissertation labour market (LM) outcome based on onward publications. This yields a basic indicator of “Career”, primarily distinguishing between academic and non-academic variants. In short, it is designed to provide the community with a tool to study the rate at which PhD students pursue careers inside (outside) academia over time while evaluating factors that may shape labour market outcomes. </w:t>
      </w:r>
    </w:p>
    <w:p w14:paraId="511BB7DB" w14:textId="77777777" w:rsidR="003310B6" w:rsidRPr="00DE4CD2" w:rsidRDefault="003310B6" w:rsidP="003310B6">
      <w:pPr>
        <w:pStyle w:val="TableParagraph"/>
        <w:spacing w:line="228" w:lineRule="exact"/>
        <w:ind w:left="0"/>
        <w:rPr>
          <w:rFonts w:asciiTheme="majorHAnsi" w:eastAsia="Cambria" w:hAnsiTheme="majorHAnsi" w:cstheme="majorHAnsi"/>
          <w:sz w:val="24"/>
          <w:szCs w:val="24"/>
          <w:lang w:val="en-GB" w:eastAsia="fr-FR"/>
        </w:rPr>
      </w:pPr>
    </w:p>
    <w:p w14:paraId="2F693BC1" w14:textId="77777777" w:rsidR="003310B6" w:rsidRPr="00DE4CD2" w:rsidRDefault="003310B6" w:rsidP="003310B6">
      <w:pPr>
        <w:rPr>
          <w:rFonts w:asciiTheme="majorHAnsi" w:hAnsiTheme="majorHAnsi" w:cstheme="majorHAnsi"/>
        </w:rPr>
      </w:pPr>
      <w:r w:rsidRPr="00DE4CD2">
        <w:rPr>
          <w:rFonts w:asciiTheme="majorHAnsi" w:hAnsiTheme="majorHAnsi" w:cstheme="majorHAnsi"/>
        </w:rPr>
        <w:t xml:space="preserve">The core information from the dissertation is arranged in an array of variables. With the help of the RCF tools, DDC builds a database around granular information about: </w:t>
      </w:r>
    </w:p>
    <w:p w14:paraId="732623DE" w14:textId="77777777" w:rsidR="003310B6" w:rsidRPr="00DE4CD2" w:rsidRDefault="003310B6" w:rsidP="002C3BB1">
      <w:pPr>
        <w:pStyle w:val="Listenabsatz"/>
        <w:numPr>
          <w:ilvl w:val="0"/>
          <w:numId w:val="9"/>
        </w:numPr>
        <w:jc w:val="both"/>
        <w:rPr>
          <w:rFonts w:asciiTheme="majorHAnsi" w:hAnsiTheme="majorHAnsi" w:cstheme="majorHAnsi"/>
          <w:lang w:val="en-US"/>
        </w:rPr>
      </w:pPr>
      <w:r w:rsidRPr="00DE4CD2">
        <w:rPr>
          <w:rFonts w:asciiTheme="majorHAnsi" w:hAnsiTheme="majorHAnsi" w:cstheme="majorHAnsi"/>
          <w:lang w:val="en-US"/>
        </w:rPr>
        <w:t xml:space="preserve">‘when’ (the degree was issued), </w:t>
      </w:r>
    </w:p>
    <w:p w14:paraId="193AE3CD" w14:textId="77777777" w:rsidR="003310B6" w:rsidRPr="00DE4CD2" w:rsidRDefault="003310B6" w:rsidP="002C3BB1">
      <w:pPr>
        <w:pStyle w:val="Listenabsatz"/>
        <w:numPr>
          <w:ilvl w:val="0"/>
          <w:numId w:val="9"/>
        </w:numPr>
        <w:jc w:val="both"/>
        <w:rPr>
          <w:rFonts w:asciiTheme="majorHAnsi" w:hAnsiTheme="majorHAnsi" w:cstheme="majorHAnsi"/>
          <w:lang w:val="en-US"/>
        </w:rPr>
      </w:pPr>
      <w:r w:rsidRPr="00DE4CD2">
        <w:rPr>
          <w:rFonts w:asciiTheme="majorHAnsi" w:hAnsiTheme="majorHAnsi" w:cstheme="majorHAnsi"/>
          <w:lang w:val="en-US"/>
        </w:rPr>
        <w:t xml:space="preserve">‘where’ (the degree granting institution and geolocation), </w:t>
      </w:r>
    </w:p>
    <w:p w14:paraId="0341F589" w14:textId="77777777" w:rsidR="003310B6" w:rsidRPr="00DE4CD2" w:rsidRDefault="003310B6" w:rsidP="002C3BB1">
      <w:pPr>
        <w:pStyle w:val="Listenabsatz"/>
        <w:numPr>
          <w:ilvl w:val="0"/>
          <w:numId w:val="9"/>
        </w:numPr>
        <w:jc w:val="both"/>
        <w:rPr>
          <w:rFonts w:asciiTheme="majorHAnsi" w:hAnsiTheme="majorHAnsi" w:cstheme="majorHAnsi"/>
          <w:lang w:val="en-US"/>
        </w:rPr>
      </w:pPr>
      <w:r w:rsidRPr="00DE4CD2">
        <w:rPr>
          <w:rFonts w:asciiTheme="majorHAnsi" w:hAnsiTheme="majorHAnsi" w:cstheme="majorHAnsi"/>
          <w:lang w:val="en-US"/>
        </w:rPr>
        <w:t>‘who’ (the degree-recipient, gender).</w:t>
      </w:r>
    </w:p>
    <w:p w14:paraId="147535E1" w14:textId="77777777" w:rsidR="003310B6" w:rsidRPr="00DE4CD2" w:rsidRDefault="003310B6" w:rsidP="002C3BB1">
      <w:pPr>
        <w:pStyle w:val="Listenabsatz"/>
        <w:numPr>
          <w:ilvl w:val="0"/>
          <w:numId w:val="9"/>
        </w:numPr>
        <w:jc w:val="both"/>
        <w:rPr>
          <w:rFonts w:asciiTheme="majorHAnsi" w:hAnsiTheme="majorHAnsi" w:cstheme="majorHAnsi"/>
          <w:lang w:val="en-US"/>
        </w:rPr>
      </w:pPr>
      <w:r w:rsidRPr="00DE4CD2">
        <w:rPr>
          <w:rFonts w:asciiTheme="majorHAnsi" w:hAnsiTheme="majorHAnsi" w:cstheme="majorHAnsi"/>
          <w:lang w:val="en-US"/>
        </w:rPr>
        <w:t xml:space="preserve">‘what’ (the topic and title of the dissertation). </w:t>
      </w:r>
    </w:p>
    <w:p w14:paraId="6FA0B98D" w14:textId="77777777" w:rsidR="003310B6" w:rsidRPr="00DE4CD2" w:rsidRDefault="003310B6" w:rsidP="003310B6">
      <w:pPr>
        <w:pStyle w:val="TableParagraph"/>
        <w:spacing w:line="228" w:lineRule="exact"/>
        <w:ind w:left="0"/>
        <w:rPr>
          <w:rFonts w:asciiTheme="majorHAnsi" w:eastAsia="Cambria" w:hAnsiTheme="majorHAnsi" w:cstheme="majorHAnsi"/>
          <w:sz w:val="24"/>
          <w:szCs w:val="24"/>
          <w:lang w:val="en-GB" w:eastAsia="fr-FR"/>
        </w:rPr>
      </w:pPr>
    </w:p>
    <w:p w14:paraId="03FB4BA4" w14:textId="77777777" w:rsidR="003310B6" w:rsidRPr="00DE4CD2" w:rsidRDefault="003310B6" w:rsidP="003310B6">
      <w:pPr>
        <w:rPr>
          <w:rFonts w:asciiTheme="majorHAnsi" w:hAnsiTheme="majorHAnsi" w:cstheme="majorHAnsi"/>
        </w:rPr>
      </w:pPr>
      <w:r w:rsidRPr="00DE4CD2">
        <w:rPr>
          <w:rFonts w:asciiTheme="majorHAnsi" w:hAnsiTheme="majorHAnsi" w:cstheme="majorHAnsi"/>
        </w:rPr>
        <w:t xml:space="preserve">The value-added for the user thus unfolds along these two dimensions, while ultimately promising a greater payoff in studies of the interaction between the demand and supply factors. In other words, the value proposition is a consistent, granular, enriched annual dataset about the PhD Production in each country, with a consistently estimated indicator of the probable career path (academic vs non-academic). Currently, the second aspect remains a work-in-progress as more information about the true labour-market outcome of a sufficiently large (diverse) test sample is accumulated. </w:t>
      </w:r>
    </w:p>
    <w:p w14:paraId="5A9177F7" w14:textId="77777777" w:rsidR="003310B6" w:rsidRPr="00DE4CD2" w:rsidRDefault="003310B6" w:rsidP="003310B6">
      <w:pPr>
        <w:rPr>
          <w:rFonts w:asciiTheme="majorHAnsi" w:hAnsiTheme="majorHAnsi" w:cstheme="majorHAnsi"/>
        </w:rPr>
      </w:pPr>
    </w:p>
    <w:p w14:paraId="42BB3A47" w14:textId="77777777" w:rsidR="003310B6" w:rsidRPr="00DE4CD2" w:rsidRDefault="003310B6" w:rsidP="003310B6">
      <w:pPr>
        <w:rPr>
          <w:rFonts w:asciiTheme="majorHAnsi" w:hAnsiTheme="majorHAnsi" w:cstheme="majorHAnsi"/>
        </w:rPr>
      </w:pPr>
      <w:r w:rsidRPr="00DE4CD2">
        <w:rPr>
          <w:rFonts w:asciiTheme="majorHAnsi" w:hAnsiTheme="majorHAnsi" w:cstheme="majorHAnsi"/>
        </w:rPr>
        <w:t xml:space="preserve">It is also important to appreciate that DDC remains an experimental dataset, pending confirmation that the output of the dataset complies with GDPR.   The team has taken the steps it could ensure the design (in collecting and processing potentially confidential information associated with individual names) is in keeping with GDPR. The fact that DDC’s design and processing was deemed to comply with the national advisory about these matters in one country (Norway), indicates that we can work further in this direction. A question remains about whether the outcome of the dataset can be deemed GDPR compliant by the relevant authorities. This open question restricts how widely the dataset can be shared with the community. A recognized authority (the funder?) could help to make the DDC more widely available by weighing in on how well the output data complies with relevant elements of GDPR. </w:t>
      </w:r>
    </w:p>
    <w:p w14:paraId="52677E89" w14:textId="77777777" w:rsidR="003310B6" w:rsidRPr="00DE4CD2" w:rsidRDefault="003310B6" w:rsidP="003310B6">
      <w:pPr>
        <w:pStyle w:val="TableParagraph"/>
        <w:ind w:left="0"/>
        <w:rPr>
          <w:rFonts w:asciiTheme="majorHAnsi" w:eastAsia="Cambria" w:hAnsiTheme="majorHAnsi" w:cstheme="majorHAnsi"/>
          <w:sz w:val="24"/>
          <w:szCs w:val="24"/>
          <w:lang w:val="en-GB" w:eastAsia="fr-FR"/>
        </w:rPr>
      </w:pPr>
    </w:p>
    <w:p w14:paraId="30CB606C" w14:textId="23B7849F" w:rsidR="003310B6" w:rsidRPr="00DE4CD2" w:rsidRDefault="003310B6" w:rsidP="003310B6">
      <w:pPr>
        <w:pStyle w:val="TableParagraph"/>
        <w:ind w:left="0"/>
        <w:rPr>
          <w:rFonts w:asciiTheme="majorHAnsi" w:hAnsiTheme="majorHAnsi" w:cstheme="majorHAnsi"/>
          <w:b/>
          <w:bCs/>
          <w:i/>
          <w:iCs/>
        </w:rPr>
      </w:pPr>
      <w:r w:rsidRPr="00DE4CD2">
        <w:rPr>
          <w:rFonts w:asciiTheme="majorHAnsi" w:hAnsiTheme="majorHAnsi" w:cstheme="majorHAnsi"/>
          <w:b/>
          <w:bCs/>
          <w:i/>
          <w:iCs/>
        </w:rPr>
        <w:t>Main achievements</w:t>
      </w:r>
    </w:p>
    <w:p w14:paraId="053EE3C2" w14:textId="77777777" w:rsidR="003310B6" w:rsidRPr="00DE4CD2" w:rsidRDefault="003310B6" w:rsidP="003310B6">
      <w:pPr>
        <w:pStyle w:val="TableParagraph"/>
        <w:ind w:left="0"/>
        <w:rPr>
          <w:rFonts w:asciiTheme="majorHAnsi" w:eastAsia="Cambria" w:hAnsiTheme="majorHAnsi" w:cstheme="majorHAnsi"/>
          <w:sz w:val="24"/>
          <w:szCs w:val="24"/>
          <w:lang w:val="en-GB" w:eastAsia="fr-FR"/>
        </w:rPr>
      </w:pPr>
      <w:r w:rsidRPr="00DE4CD2">
        <w:rPr>
          <w:rFonts w:asciiTheme="majorHAnsi" w:eastAsia="Cambria" w:hAnsiTheme="majorHAnsi" w:cstheme="majorHAnsi"/>
          <w:sz w:val="24"/>
          <w:szCs w:val="24"/>
          <w:lang w:val="en-GB" w:eastAsia="fr-FR"/>
        </w:rPr>
        <w:t>As a substantially new dataset that was designed and launched during the project, DDC addresses a set of new challenges and issues. The achievements should be seen in light of how the DDC has managed to address these.</w:t>
      </w:r>
    </w:p>
    <w:p w14:paraId="58B438C1" w14:textId="77777777" w:rsidR="003310B6" w:rsidRPr="00DE4CD2" w:rsidRDefault="003310B6" w:rsidP="003310B6">
      <w:pPr>
        <w:pStyle w:val="TableParagraph"/>
        <w:ind w:left="0"/>
        <w:rPr>
          <w:rFonts w:asciiTheme="majorHAnsi" w:eastAsia="Cambria" w:hAnsiTheme="majorHAnsi" w:cstheme="majorHAnsi"/>
          <w:sz w:val="24"/>
          <w:szCs w:val="24"/>
          <w:lang w:val="en-GB" w:eastAsia="fr-FR"/>
        </w:rPr>
      </w:pPr>
    </w:p>
    <w:p w14:paraId="14F2358F" w14:textId="77777777" w:rsidR="003310B6" w:rsidRPr="00DE4CD2" w:rsidRDefault="003310B6" w:rsidP="003310B6">
      <w:pPr>
        <w:pStyle w:val="TableParagraph"/>
        <w:ind w:left="0"/>
        <w:rPr>
          <w:rFonts w:asciiTheme="majorHAnsi" w:eastAsia="Cambria" w:hAnsiTheme="majorHAnsi" w:cstheme="majorHAnsi"/>
          <w:sz w:val="24"/>
          <w:szCs w:val="24"/>
          <w:lang w:val="en-GB" w:eastAsia="fr-FR"/>
        </w:rPr>
      </w:pPr>
      <w:r w:rsidRPr="00DE4CD2">
        <w:rPr>
          <w:rFonts w:asciiTheme="majorHAnsi" w:eastAsia="Cambria" w:hAnsiTheme="majorHAnsi" w:cstheme="majorHAnsi"/>
          <w:sz w:val="24"/>
          <w:szCs w:val="24"/>
          <w:lang w:val="en-GB" w:eastAsia="fr-FR"/>
        </w:rPr>
        <w:t xml:space="preserve">There were, first, a set of conceptual issues and challenges that were addressed at different points </w:t>
      </w:r>
      <w:r w:rsidRPr="00DE4CD2">
        <w:rPr>
          <w:rFonts w:asciiTheme="majorHAnsi" w:eastAsia="Cambria" w:hAnsiTheme="majorHAnsi" w:cstheme="majorHAnsi"/>
          <w:sz w:val="24"/>
          <w:szCs w:val="24"/>
          <w:lang w:val="en-GB" w:eastAsia="fr-FR"/>
        </w:rPr>
        <w:lastRenderedPageBreak/>
        <w:t xml:space="preserve">in the design and deployment of the pilot dataset. Conceptual issues were raised at the start, practical questions associated with the fact that DDC involves individual data was then addressed, while policy issues that had emerged during the exercise were discussed with policy community at the end. The three questions led to a set of achievements: </w:t>
      </w:r>
    </w:p>
    <w:p w14:paraId="2AFD6294" w14:textId="77777777" w:rsidR="003310B6" w:rsidRPr="00DE4CD2" w:rsidRDefault="003310B6" w:rsidP="002C3BB1">
      <w:pPr>
        <w:pStyle w:val="TableParagraph"/>
        <w:numPr>
          <w:ilvl w:val="0"/>
          <w:numId w:val="10"/>
        </w:numPr>
        <w:rPr>
          <w:rFonts w:asciiTheme="majorHAnsi" w:eastAsia="Cambria" w:hAnsiTheme="majorHAnsi" w:cstheme="majorHAnsi"/>
          <w:sz w:val="24"/>
          <w:szCs w:val="24"/>
          <w:lang w:val="en-GB" w:eastAsia="fr-FR"/>
        </w:rPr>
      </w:pPr>
      <w:r w:rsidRPr="00DE4CD2">
        <w:rPr>
          <w:rFonts w:asciiTheme="majorHAnsi" w:eastAsia="Cambria" w:hAnsiTheme="majorHAnsi" w:cstheme="majorHAnsi"/>
          <w:sz w:val="24"/>
          <w:szCs w:val="24"/>
          <w:lang w:val="en-GB" w:eastAsia="fr-FR"/>
        </w:rPr>
        <w:t xml:space="preserve">In conceptual terms, what issues are involved in understanding the changing research careers of PhD holders?  It was important to take stock of the issues when designing the DDC. The Research Seminar (2021) debated these issues. </w:t>
      </w:r>
      <w:proofErr w:type="spellStart"/>
      <w:r w:rsidRPr="00DE4CD2">
        <w:rPr>
          <w:rFonts w:asciiTheme="majorHAnsi" w:eastAsia="Cambria" w:hAnsiTheme="majorHAnsi" w:cstheme="majorHAnsi"/>
          <w:sz w:val="24"/>
          <w:szCs w:val="24"/>
          <w:lang w:val="en-GB" w:eastAsia="fr-FR"/>
        </w:rPr>
        <w:t>Cañibano</w:t>
      </w:r>
      <w:proofErr w:type="spellEnd"/>
      <w:r w:rsidRPr="00DE4CD2">
        <w:rPr>
          <w:rFonts w:asciiTheme="majorHAnsi" w:eastAsia="Cambria" w:hAnsiTheme="majorHAnsi" w:cstheme="majorHAnsi"/>
          <w:sz w:val="24"/>
          <w:szCs w:val="24"/>
          <w:lang w:val="en-GB" w:eastAsia="fr-FR"/>
        </w:rPr>
        <w:t xml:space="preserve"> et al, 2024 discussed them further.  </w:t>
      </w:r>
    </w:p>
    <w:p w14:paraId="55BB8103" w14:textId="77777777" w:rsidR="003310B6" w:rsidRPr="00DE4CD2" w:rsidRDefault="003310B6" w:rsidP="002C3BB1">
      <w:pPr>
        <w:pStyle w:val="TableParagraph"/>
        <w:numPr>
          <w:ilvl w:val="0"/>
          <w:numId w:val="10"/>
        </w:numPr>
        <w:rPr>
          <w:rFonts w:asciiTheme="majorHAnsi" w:eastAsia="Cambria" w:hAnsiTheme="majorHAnsi" w:cstheme="majorHAnsi"/>
          <w:sz w:val="24"/>
          <w:szCs w:val="24"/>
          <w:lang w:val="en-GB" w:eastAsia="fr-FR"/>
        </w:rPr>
      </w:pPr>
      <w:r w:rsidRPr="00DE4CD2">
        <w:rPr>
          <w:rFonts w:asciiTheme="majorHAnsi" w:eastAsia="Cambria" w:hAnsiTheme="majorHAnsi" w:cstheme="majorHAnsi"/>
          <w:sz w:val="24"/>
          <w:szCs w:val="24"/>
          <w:lang w:val="en-GB" w:eastAsia="fr-FR"/>
        </w:rPr>
        <w:t xml:space="preserve">In practical terms, how can researchers utilize personal data of PhD holders while respecting confidentiality (pseudonymization) requirements of GDPR?  Albeit a largely exogenous issue, it is integral to the development of the dataset to attentively address the confidentiality issues that could crop up in the use of dissertation metadata. A Deliverable (2022) was dedicated to lifting these issues, illustrating differences between countries, and discussing implications. </w:t>
      </w:r>
    </w:p>
    <w:p w14:paraId="1551213D" w14:textId="77777777" w:rsidR="003310B6" w:rsidRPr="00DE4CD2" w:rsidRDefault="003310B6" w:rsidP="002C3BB1">
      <w:pPr>
        <w:pStyle w:val="TableParagraph"/>
        <w:numPr>
          <w:ilvl w:val="0"/>
          <w:numId w:val="10"/>
        </w:numPr>
        <w:rPr>
          <w:rFonts w:asciiTheme="majorHAnsi" w:eastAsia="Cambria" w:hAnsiTheme="majorHAnsi" w:cstheme="majorHAnsi"/>
          <w:sz w:val="24"/>
          <w:szCs w:val="24"/>
          <w:lang w:val="en-GB" w:eastAsia="fr-FR"/>
        </w:rPr>
      </w:pPr>
      <w:r w:rsidRPr="00DE4CD2">
        <w:rPr>
          <w:rFonts w:asciiTheme="majorHAnsi" w:eastAsia="Cambria" w:hAnsiTheme="majorHAnsi" w:cstheme="majorHAnsi"/>
          <w:sz w:val="24"/>
          <w:szCs w:val="24"/>
          <w:lang w:val="en-GB" w:eastAsia="fr-FR"/>
        </w:rPr>
        <w:t xml:space="preserve">In terms of policy formation, how can DDC be used to address policy issues at the intersection between science (education) policy and innovation policy?  One of the major challenges that DDC addresses is that policy attention around PhD Production (component 1 of DDC) is addressed by the science (education) policy community while the implications of increasing numbers of trained PhDs to sectors outside academia (component 2) are generally addressed by the innovation policy community. Policy Brief 13 shows how DDC, by providing granular, and timely data at the intersection of these two policy areas, can help bring these communities together. It was launched in a policy-seminar (13) alongside ongoing work at the OECD and the EU Commission. </w:t>
      </w:r>
    </w:p>
    <w:p w14:paraId="6474F022" w14:textId="77777777" w:rsidR="003310B6" w:rsidRPr="00DE4CD2" w:rsidRDefault="003310B6" w:rsidP="003310B6">
      <w:pPr>
        <w:pStyle w:val="TableParagraph"/>
        <w:ind w:left="0"/>
        <w:rPr>
          <w:rFonts w:asciiTheme="majorHAnsi" w:eastAsia="Cambria" w:hAnsiTheme="majorHAnsi" w:cstheme="majorHAnsi"/>
          <w:sz w:val="24"/>
          <w:szCs w:val="24"/>
          <w:lang w:val="en-GB" w:eastAsia="fr-FR"/>
        </w:rPr>
      </w:pPr>
    </w:p>
    <w:p w14:paraId="752D336C" w14:textId="77777777" w:rsidR="003310B6" w:rsidRPr="00DE4CD2" w:rsidRDefault="003310B6" w:rsidP="002C3BB1">
      <w:pPr>
        <w:pStyle w:val="TableParagraph"/>
        <w:ind w:left="0"/>
        <w:jc w:val="both"/>
        <w:rPr>
          <w:rFonts w:asciiTheme="majorHAnsi" w:eastAsia="Cambria" w:hAnsiTheme="majorHAnsi" w:cstheme="majorHAnsi"/>
          <w:sz w:val="24"/>
          <w:szCs w:val="24"/>
          <w:lang w:val="en-GB" w:eastAsia="fr-FR"/>
        </w:rPr>
      </w:pPr>
      <w:r w:rsidRPr="00DE4CD2">
        <w:rPr>
          <w:rFonts w:asciiTheme="majorHAnsi" w:eastAsia="Cambria" w:hAnsiTheme="majorHAnsi" w:cstheme="majorHAnsi"/>
          <w:sz w:val="24"/>
          <w:szCs w:val="24"/>
          <w:lang w:val="en-GB" w:eastAsia="fr-FR"/>
        </w:rPr>
        <w:t xml:space="preserve">The second set of achievements are baked into the pilot DDC dataset. It is an important achievement for the experimental dataset to prove that the DDC workflow can in fact live up to the initial potential described above. As a pilot-dataset, DDC (rev 1) stands as proof-of-concept on the way towards the international goal, envisioned by joint work planned by OECD and the EU, to ‘deliver a robust and adaptable international statistical monitoring system’ to study this important dimension of tomorrow’s research and innovation careers. </w:t>
      </w:r>
    </w:p>
    <w:p w14:paraId="621AA5BA" w14:textId="77777777" w:rsidR="003310B6" w:rsidRPr="00DE4CD2" w:rsidRDefault="003310B6" w:rsidP="002C3BB1">
      <w:pPr>
        <w:pStyle w:val="TableParagraph"/>
        <w:ind w:left="0"/>
        <w:jc w:val="both"/>
        <w:rPr>
          <w:rFonts w:asciiTheme="majorHAnsi" w:hAnsiTheme="majorHAnsi" w:cstheme="majorHAnsi"/>
          <w:sz w:val="24"/>
          <w:szCs w:val="24"/>
          <w:lang w:val="en-GB"/>
        </w:rPr>
      </w:pPr>
    </w:p>
    <w:p w14:paraId="3354B533" w14:textId="77777777" w:rsidR="003310B6" w:rsidRPr="00DE4CD2" w:rsidRDefault="003310B6" w:rsidP="002C3BB1">
      <w:pPr>
        <w:pStyle w:val="TableParagraph"/>
        <w:ind w:left="0"/>
        <w:jc w:val="both"/>
        <w:rPr>
          <w:rFonts w:asciiTheme="majorHAnsi" w:eastAsia="Cambria" w:hAnsiTheme="majorHAnsi" w:cstheme="majorHAnsi"/>
          <w:sz w:val="24"/>
          <w:szCs w:val="24"/>
          <w:lang w:val="en-GB" w:eastAsia="fr-FR"/>
        </w:rPr>
      </w:pPr>
      <w:r w:rsidRPr="00DE4CD2">
        <w:rPr>
          <w:rFonts w:asciiTheme="majorHAnsi" w:hAnsiTheme="majorHAnsi" w:cstheme="majorHAnsi"/>
          <w:sz w:val="24"/>
          <w:szCs w:val="24"/>
          <w:lang w:val="en-GB"/>
        </w:rPr>
        <w:t xml:space="preserve">Deliverable (*) documents the design and set-up of DDC. </w:t>
      </w:r>
      <w:r w:rsidRPr="00DE4CD2">
        <w:rPr>
          <w:rFonts w:asciiTheme="majorHAnsi" w:eastAsia="Cambria" w:hAnsiTheme="majorHAnsi" w:cstheme="majorHAnsi"/>
          <w:sz w:val="24"/>
          <w:szCs w:val="24"/>
          <w:lang w:val="en-GB" w:eastAsia="fr-FR"/>
        </w:rPr>
        <w:t xml:space="preserve">The first version </w:t>
      </w:r>
      <w:r w:rsidRPr="00DE4CD2">
        <w:rPr>
          <w:rFonts w:asciiTheme="majorHAnsi" w:hAnsiTheme="majorHAnsi" w:cstheme="majorHAnsi"/>
          <w:sz w:val="24"/>
          <w:szCs w:val="24"/>
        </w:rPr>
        <w:t>tested a set of four empirical questions about DDC’s basic design, including operationalizing interfaces with other RISIS resources. The Description of Use section (below) itemizes these questions and the findings.</w:t>
      </w:r>
    </w:p>
    <w:p w14:paraId="53B83D31" w14:textId="77777777" w:rsidR="003310B6" w:rsidRPr="00DE4CD2" w:rsidRDefault="003310B6" w:rsidP="002C3BB1">
      <w:pPr>
        <w:pStyle w:val="TableParagraph"/>
        <w:ind w:left="0"/>
        <w:jc w:val="both"/>
        <w:rPr>
          <w:rFonts w:asciiTheme="majorHAnsi" w:hAnsiTheme="majorHAnsi" w:cstheme="majorHAnsi"/>
          <w:sz w:val="24"/>
          <w:szCs w:val="24"/>
          <w:lang w:val="en-GB"/>
        </w:rPr>
      </w:pPr>
      <w:r w:rsidRPr="00DE4CD2">
        <w:rPr>
          <w:rFonts w:asciiTheme="majorHAnsi" w:hAnsiTheme="majorHAnsi" w:cstheme="majorHAnsi"/>
          <w:sz w:val="24"/>
          <w:szCs w:val="24"/>
          <w:lang w:val="en-GB"/>
        </w:rPr>
        <w:t xml:space="preserve"> </w:t>
      </w:r>
    </w:p>
    <w:p w14:paraId="5E106E92" w14:textId="3AAF9613" w:rsidR="003310B6" w:rsidRPr="00DE4CD2" w:rsidRDefault="00050782" w:rsidP="002C3BB1">
      <w:pPr>
        <w:pStyle w:val="TableParagraph"/>
        <w:ind w:left="0"/>
        <w:jc w:val="both"/>
        <w:rPr>
          <w:rFonts w:asciiTheme="majorHAnsi" w:hAnsiTheme="majorHAnsi" w:cstheme="majorHAnsi"/>
          <w:sz w:val="24"/>
          <w:szCs w:val="24"/>
        </w:rPr>
      </w:pPr>
      <w:r w:rsidRPr="00DE4CD2">
        <w:rPr>
          <w:rFonts w:asciiTheme="majorHAnsi" w:eastAsia="Cambria" w:hAnsiTheme="majorHAnsi" w:cstheme="majorHAnsi"/>
          <w:sz w:val="24"/>
          <w:szCs w:val="24"/>
          <w:lang w:val="en-GB" w:eastAsia="fr-FR"/>
        </w:rPr>
        <w:t>Table 13</w:t>
      </w:r>
      <w:r w:rsidR="003310B6" w:rsidRPr="00DE4CD2">
        <w:rPr>
          <w:rFonts w:asciiTheme="majorHAnsi" w:eastAsia="Cambria" w:hAnsiTheme="majorHAnsi" w:cstheme="majorHAnsi"/>
          <w:sz w:val="24"/>
          <w:szCs w:val="24"/>
          <w:lang w:val="en-GB" w:eastAsia="fr-FR"/>
        </w:rPr>
        <w:t xml:space="preserve"> presents more general presentation of DDC’s achievements. It indicates that the </w:t>
      </w:r>
      <w:r w:rsidR="003310B6" w:rsidRPr="00DE4CD2">
        <w:rPr>
          <w:rFonts w:asciiTheme="majorHAnsi" w:hAnsiTheme="majorHAnsi" w:cstheme="majorHAnsi"/>
          <w:sz w:val="24"/>
          <w:szCs w:val="24"/>
        </w:rPr>
        <w:t xml:space="preserve">pilot DDC yields a PhD production dataset that is rich (highly granular, multifaceted) without sacrificing robustness and consistency across different (time, space, discipline) contexts. It links dissertation-based information with baseline population data for PhD production; it recruits data about the degree-granting university from </w:t>
      </w:r>
      <w:proofErr w:type="spellStart"/>
      <w:r w:rsidR="003310B6" w:rsidRPr="00DE4CD2">
        <w:rPr>
          <w:rFonts w:asciiTheme="majorHAnsi" w:hAnsiTheme="majorHAnsi" w:cstheme="majorHAnsi"/>
          <w:sz w:val="24"/>
          <w:szCs w:val="24"/>
        </w:rPr>
        <w:t>OrgReg</w:t>
      </w:r>
      <w:proofErr w:type="spellEnd"/>
      <w:r w:rsidR="003310B6" w:rsidRPr="00DE4CD2">
        <w:rPr>
          <w:rFonts w:asciiTheme="majorHAnsi" w:hAnsiTheme="majorHAnsi" w:cstheme="majorHAnsi"/>
          <w:sz w:val="24"/>
          <w:szCs w:val="24"/>
        </w:rPr>
        <w:t xml:space="preserve"> to enrich generic data about the doctoral holder. Furthermore, it takes pains to set up a workflow to link the doctoral holder with the publication record. Other steps have been taken, for example, to feed a sub-sample (100) of full-text dissertations through the GATE infrastructure to explore whether/how ontology-tools can be used in future. </w:t>
      </w:r>
    </w:p>
    <w:p w14:paraId="7D1D3216" w14:textId="6417785E" w:rsidR="00D32776" w:rsidRPr="00DE4CD2" w:rsidRDefault="00D32776" w:rsidP="002C3BB1">
      <w:pPr>
        <w:pStyle w:val="TableParagraph"/>
        <w:ind w:left="0"/>
        <w:jc w:val="both"/>
        <w:rPr>
          <w:rFonts w:asciiTheme="majorHAnsi" w:hAnsiTheme="majorHAnsi" w:cstheme="majorHAnsi"/>
          <w:sz w:val="24"/>
          <w:szCs w:val="24"/>
        </w:rPr>
      </w:pPr>
    </w:p>
    <w:p w14:paraId="65CB42F5" w14:textId="77777777" w:rsidR="00D32776" w:rsidRPr="00DE4CD2" w:rsidRDefault="00D32776" w:rsidP="00D32776">
      <w:pPr>
        <w:pStyle w:val="TableParagraph"/>
        <w:ind w:left="0"/>
        <w:jc w:val="both"/>
        <w:rPr>
          <w:rFonts w:asciiTheme="majorHAnsi" w:hAnsiTheme="majorHAnsi" w:cstheme="majorHAnsi"/>
          <w:sz w:val="24"/>
          <w:szCs w:val="24"/>
        </w:rPr>
      </w:pPr>
      <w:r w:rsidRPr="00DE4CD2">
        <w:rPr>
          <w:rFonts w:asciiTheme="majorHAnsi" w:hAnsiTheme="majorHAnsi" w:cstheme="majorHAnsi"/>
          <w:sz w:val="24"/>
          <w:szCs w:val="24"/>
        </w:rPr>
        <w:t xml:space="preserve">Based on the work done thus far, we conclude that the PhD production dimension of the DDC delivers substantial improvements relative to common count datasets alone (e.g. Eurostat). We also </w:t>
      </w:r>
      <w:r w:rsidRPr="00DE4CD2">
        <w:rPr>
          <w:rFonts w:asciiTheme="majorHAnsi" w:hAnsiTheme="majorHAnsi" w:cstheme="majorHAnsi"/>
          <w:sz w:val="24"/>
          <w:szCs w:val="24"/>
        </w:rPr>
        <w:lastRenderedPageBreak/>
        <w:t xml:space="preserve">find that these data can also be harvested and compared relatively inexpensively—in a process that potentially can largely be automated. </w:t>
      </w:r>
    </w:p>
    <w:p w14:paraId="73718A15" w14:textId="41D4B09B" w:rsidR="00D32776" w:rsidRPr="00DE4CD2" w:rsidRDefault="00D32776" w:rsidP="002C3BB1">
      <w:pPr>
        <w:pStyle w:val="TableParagraph"/>
        <w:ind w:left="0"/>
        <w:jc w:val="both"/>
        <w:rPr>
          <w:rFonts w:asciiTheme="majorHAnsi" w:hAnsiTheme="majorHAnsi" w:cstheme="majorHAnsi"/>
          <w:sz w:val="24"/>
          <w:szCs w:val="24"/>
        </w:rPr>
      </w:pPr>
    </w:p>
    <w:p w14:paraId="2D1CD28F" w14:textId="66C57B1C" w:rsidR="003310B6" w:rsidRPr="00DE4CD2" w:rsidRDefault="003310B6" w:rsidP="003310B6">
      <w:pPr>
        <w:spacing w:after="120"/>
        <w:jc w:val="both"/>
        <w:rPr>
          <w:rFonts w:asciiTheme="majorHAnsi" w:eastAsiaTheme="minorHAnsi" w:hAnsiTheme="majorHAnsi" w:cstheme="majorHAnsi"/>
          <w:i/>
          <w:iCs/>
          <w:lang w:val="en-US" w:eastAsia="en-US"/>
        </w:rPr>
      </w:pPr>
      <w:r w:rsidRPr="00DE4CD2">
        <w:rPr>
          <w:rFonts w:asciiTheme="majorHAnsi" w:eastAsiaTheme="minorHAnsi" w:hAnsiTheme="majorHAnsi" w:cstheme="majorHAnsi"/>
          <w:i/>
          <w:iCs/>
          <w:lang w:val="en-US" w:eastAsia="en-US"/>
        </w:rPr>
        <w:t xml:space="preserve">Table </w:t>
      </w:r>
      <w:r w:rsidR="00050782" w:rsidRPr="00DE4CD2">
        <w:rPr>
          <w:rFonts w:asciiTheme="majorHAnsi" w:eastAsiaTheme="minorHAnsi" w:hAnsiTheme="majorHAnsi" w:cstheme="majorHAnsi"/>
          <w:i/>
          <w:iCs/>
          <w:lang w:val="en-US" w:eastAsia="en-US"/>
        </w:rPr>
        <w:t>13</w:t>
      </w:r>
      <w:r w:rsidRPr="00DE4CD2">
        <w:rPr>
          <w:rFonts w:asciiTheme="majorHAnsi" w:eastAsiaTheme="minorHAnsi" w:hAnsiTheme="majorHAnsi" w:cstheme="majorHAnsi"/>
          <w:i/>
          <w:iCs/>
          <w:lang w:val="en-US" w:eastAsia="en-US"/>
        </w:rPr>
        <w:t xml:space="preserve">. Achievements and milestones in developing DDC </w:t>
      </w:r>
    </w:p>
    <w:tbl>
      <w:tblPr>
        <w:tblStyle w:val="Tabellenraster"/>
        <w:tblW w:w="9286" w:type="dxa"/>
        <w:tblLayout w:type="fixed"/>
        <w:tblLook w:val="04A0" w:firstRow="1" w:lastRow="0" w:firstColumn="1" w:lastColumn="0" w:noHBand="0" w:noVBand="1"/>
      </w:tblPr>
      <w:tblGrid>
        <w:gridCol w:w="2181"/>
        <w:gridCol w:w="7105"/>
      </w:tblGrid>
      <w:tr w:rsidR="00FC3526" w:rsidRPr="00DE4CD2" w14:paraId="6EC9D3F2" w14:textId="77777777" w:rsidTr="00D41D63">
        <w:trPr>
          <w:cantSplit/>
          <w:trHeight w:val="319"/>
        </w:trPr>
        <w:tc>
          <w:tcPr>
            <w:tcW w:w="2181" w:type="dxa"/>
          </w:tcPr>
          <w:p w14:paraId="45C676BD" w14:textId="77777777" w:rsidR="003310B6" w:rsidRPr="00DE4CD2" w:rsidRDefault="003310B6" w:rsidP="00D41D63">
            <w:pPr>
              <w:keepNext/>
              <w:keepLines/>
              <w:spacing w:before="20" w:after="20" w:line="276" w:lineRule="auto"/>
              <w:rPr>
                <w:rFonts w:asciiTheme="majorHAnsi" w:hAnsiTheme="majorHAnsi" w:cstheme="majorHAnsi"/>
                <w:b/>
                <w:sz w:val="24"/>
                <w:szCs w:val="24"/>
              </w:rPr>
            </w:pPr>
            <w:r w:rsidRPr="00DE4CD2">
              <w:rPr>
                <w:rFonts w:asciiTheme="majorHAnsi" w:hAnsiTheme="majorHAnsi" w:cstheme="majorHAnsi"/>
                <w:b/>
                <w:sz w:val="24"/>
                <w:szCs w:val="24"/>
              </w:rPr>
              <w:t xml:space="preserve">Achievement </w:t>
            </w:r>
          </w:p>
        </w:tc>
        <w:tc>
          <w:tcPr>
            <w:tcW w:w="7105" w:type="dxa"/>
          </w:tcPr>
          <w:p w14:paraId="69C612BD" w14:textId="77777777" w:rsidR="003310B6" w:rsidRPr="00DE4CD2" w:rsidRDefault="003310B6" w:rsidP="00D41D63">
            <w:pPr>
              <w:keepNext/>
              <w:keepLines/>
              <w:spacing w:before="20" w:after="20" w:line="276" w:lineRule="auto"/>
              <w:rPr>
                <w:rFonts w:asciiTheme="majorHAnsi" w:hAnsiTheme="majorHAnsi" w:cstheme="majorHAnsi"/>
                <w:b/>
                <w:sz w:val="24"/>
                <w:szCs w:val="24"/>
              </w:rPr>
            </w:pPr>
            <w:r w:rsidRPr="00DE4CD2">
              <w:rPr>
                <w:rFonts w:asciiTheme="majorHAnsi" w:hAnsiTheme="majorHAnsi" w:cstheme="majorHAnsi"/>
                <w:b/>
                <w:sz w:val="24"/>
                <w:szCs w:val="24"/>
              </w:rPr>
              <w:t>Description</w:t>
            </w:r>
          </w:p>
        </w:tc>
      </w:tr>
      <w:tr w:rsidR="00FC3526" w:rsidRPr="00DE4CD2" w14:paraId="125BCBA9" w14:textId="77777777" w:rsidTr="00D41D63">
        <w:trPr>
          <w:cantSplit/>
          <w:trHeight w:val="479"/>
        </w:trPr>
        <w:tc>
          <w:tcPr>
            <w:tcW w:w="2181" w:type="dxa"/>
          </w:tcPr>
          <w:p w14:paraId="4FD4CB59" w14:textId="77777777" w:rsidR="003310B6" w:rsidRPr="00DE4CD2" w:rsidRDefault="003310B6" w:rsidP="00D41D63">
            <w:pPr>
              <w:keepNext/>
              <w:keepLines/>
              <w:spacing w:before="20" w:after="20" w:line="276" w:lineRule="auto"/>
              <w:rPr>
                <w:rFonts w:asciiTheme="majorHAnsi" w:hAnsiTheme="majorHAnsi" w:cstheme="majorHAnsi"/>
                <w:b/>
                <w:bCs/>
                <w:i/>
                <w:iCs/>
                <w:sz w:val="24"/>
                <w:szCs w:val="24"/>
              </w:rPr>
            </w:pPr>
            <w:r w:rsidRPr="00DE4CD2">
              <w:rPr>
                <w:rFonts w:asciiTheme="majorHAnsi" w:hAnsiTheme="majorHAnsi" w:cstheme="majorHAnsi"/>
                <w:b/>
                <w:bCs/>
                <w:i/>
                <w:iCs/>
                <w:sz w:val="24"/>
                <w:szCs w:val="24"/>
              </w:rPr>
              <w:t>DDC</w:t>
            </w:r>
          </w:p>
        </w:tc>
        <w:tc>
          <w:tcPr>
            <w:tcW w:w="7105" w:type="dxa"/>
          </w:tcPr>
          <w:p w14:paraId="3189E67B" w14:textId="77777777" w:rsidR="003310B6" w:rsidRPr="00DE4CD2" w:rsidRDefault="003310B6" w:rsidP="00D41D63">
            <w:pPr>
              <w:keepNext/>
              <w:keepLines/>
              <w:spacing w:before="20" w:after="20" w:line="276" w:lineRule="auto"/>
              <w:rPr>
                <w:rFonts w:asciiTheme="majorHAnsi" w:hAnsiTheme="majorHAnsi" w:cstheme="majorHAnsi"/>
                <w:sz w:val="20"/>
                <w:szCs w:val="20"/>
              </w:rPr>
            </w:pPr>
            <w:r w:rsidRPr="00DE4CD2">
              <w:rPr>
                <w:rFonts w:asciiTheme="majorHAnsi" w:hAnsiTheme="majorHAnsi" w:cstheme="majorHAnsi"/>
                <w:sz w:val="20"/>
                <w:szCs w:val="20"/>
              </w:rPr>
              <w:t>Ingestion and collation of dissertation metadata for 6 European countries, with verification with Official PhD production statistics</w:t>
            </w:r>
          </w:p>
        </w:tc>
      </w:tr>
      <w:tr w:rsidR="00FC3526" w:rsidRPr="00DE4CD2" w14:paraId="2BC9AED1" w14:textId="77777777" w:rsidTr="00D41D63">
        <w:trPr>
          <w:cantSplit/>
          <w:trHeight w:val="500"/>
        </w:trPr>
        <w:tc>
          <w:tcPr>
            <w:tcW w:w="2181" w:type="dxa"/>
          </w:tcPr>
          <w:p w14:paraId="66A0D71A" w14:textId="77777777" w:rsidR="003310B6" w:rsidRPr="00DE4CD2" w:rsidRDefault="003310B6" w:rsidP="00D41D63">
            <w:pPr>
              <w:keepNext/>
              <w:keepLines/>
              <w:spacing w:before="20" w:after="20" w:line="276" w:lineRule="auto"/>
              <w:rPr>
                <w:rFonts w:asciiTheme="majorHAnsi" w:hAnsiTheme="majorHAnsi" w:cstheme="majorHAnsi"/>
                <w:b/>
                <w:bCs/>
                <w:i/>
                <w:iCs/>
              </w:rPr>
            </w:pPr>
            <w:r w:rsidRPr="00DE4CD2">
              <w:rPr>
                <w:rFonts w:asciiTheme="majorHAnsi" w:hAnsiTheme="majorHAnsi" w:cstheme="majorHAnsi"/>
                <w:b/>
                <w:bCs/>
                <w:i/>
                <w:iCs/>
              </w:rPr>
              <w:t>GDPR</w:t>
            </w:r>
          </w:p>
        </w:tc>
        <w:tc>
          <w:tcPr>
            <w:tcW w:w="7105" w:type="dxa"/>
          </w:tcPr>
          <w:p w14:paraId="4368EFF0" w14:textId="77777777" w:rsidR="003310B6" w:rsidRPr="00DE4CD2" w:rsidRDefault="003310B6" w:rsidP="00D41D63">
            <w:pPr>
              <w:keepNext/>
              <w:keepLines/>
              <w:spacing w:before="20" w:after="20" w:line="276" w:lineRule="auto"/>
              <w:rPr>
                <w:rFonts w:asciiTheme="majorHAnsi" w:hAnsiTheme="majorHAnsi" w:cstheme="majorHAnsi"/>
                <w:sz w:val="20"/>
                <w:szCs w:val="20"/>
              </w:rPr>
            </w:pPr>
            <w:r w:rsidRPr="00DE4CD2">
              <w:rPr>
                <w:rFonts w:asciiTheme="majorHAnsi" w:hAnsiTheme="majorHAnsi" w:cstheme="majorHAnsi"/>
                <w:sz w:val="20"/>
                <w:szCs w:val="20"/>
              </w:rPr>
              <w:t>Fundamental treatment of the question of privacy/confidential issues raised by the linking procedure piloted by DDC</w:t>
            </w:r>
          </w:p>
        </w:tc>
      </w:tr>
      <w:tr w:rsidR="00FC3526" w:rsidRPr="00DE4CD2" w14:paraId="19F50503" w14:textId="77777777" w:rsidTr="00D41D63">
        <w:trPr>
          <w:cantSplit/>
          <w:trHeight w:val="479"/>
        </w:trPr>
        <w:tc>
          <w:tcPr>
            <w:tcW w:w="2181" w:type="dxa"/>
          </w:tcPr>
          <w:p w14:paraId="73445F97" w14:textId="77777777" w:rsidR="003310B6" w:rsidRPr="00DE4CD2" w:rsidRDefault="003310B6" w:rsidP="00D41D63">
            <w:pPr>
              <w:keepNext/>
              <w:keepLines/>
              <w:spacing w:before="20" w:after="20" w:line="276" w:lineRule="auto"/>
              <w:rPr>
                <w:rFonts w:asciiTheme="majorHAnsi" w:hAnsiTheme="majorHAnsi" w:cstheme="majorHAnsi"/>
                <w:b/>
                <w:bCs/>
                <w:i/>
                <w:iCs/>
                <w:sz w:val="24"/>
                <w:szCs w:val="24"/>
              </w:rPr>
            </w:pPr>
            <w:proofErr w:type="spellStart"/>
            <w:r w:rsidRPr="00DE4CD2">
              <w:rPr>
                <w:rFonts w:asciiTheme="majorHAnsi" w:hAnsiTheme="majorHAnsi" w:cstheme="majorHAnsi"/>
                <w:b/>
                <w:bCs/>
                <w:i/>
                <w:iCs/>
                <w:sz w:val="24"/>
                <w:szCs w:val="24"/>
              </w:rPr>
              <w:t>OrgReg</w:t>
            </w:r>
            <w:proofErr w:type="spellEnd"/>
            <w:r w:rsidRPr="00DE4CD2">
              <w:rPr>
                <w:rFonts w:asciiTheme="majorHAnsi" w:hAnsiTheme="majorHAnsi" w:cstheme="majorHAnsi"/>
                <w:b/>
                <w:bCs/>
                <w:i/>
                <w:iCs/>
                <w:sz w:val="24"/>
                <w:szCs w:val="24"/>
              </w:rPr>
              <w:t xml:space="preserve"> </w:t>
            </w:r>
          </w:p>
        </w:tc>
        <w:tc>
          <w:tcPr>
            <w:tcW w:w="7105" w:type="dxa"/>
          </w:tcPr>
          <w:p w14:paraId="211411A1" w14:textId="77777777" w:rsidR="003310B6" w:rsidRPr="00DE4CD2" w:rsidRDefault="003310B6" w:rsidP="00D41D63">
            <w:pPr>
              <w:keepNext/>
              <w:keepLines/>
              <w:spacing w:before="20" w:after="20" w:line="276" w:lineRule="auto"/>
              <w:rPr>
                <w:rFonts w:asciiTheme="majorHAnsi" w:hAnsiTheme="majorHAnsi" w:cstheme="majorHAnsi"/>
                <w:sz w:val="20"/>
                <w:szCs w:val="20"/>
              </w:rPr>
            </w:pPr>
            <w:r w:rsidRPr="00DE4CD2">
              <w:rPr>
                <w:rFonts w:asciiTheme="majorHAnsi" w:hAnsiTheme="majorHAnsi" w:cstheme="majorHAnsi"/>
                <w:sz w:val="20"/>
                <w:szCs w:val="20"/>
              </w:rPr>
              <w:t>Harmonisation of degree-granting university with the RISIS register on higher education institutions</w:t>
            </w:r>
          </w:p>
        </w:tc>
      </w:tr>
      <w:tr w:rsidR="00FC3526" w:rsidRPr="00DE4CD2" w14:paraId="5265235F" w14:textId="77777777" w:rsidTr="00D41D63">
        <w:trPr>
          <w:cantSplit/>
          <w:trHeight w:val="500"/>
        </w:trPr>
        <w:tc>
          <w:tcPr>
            <w:tcW w:w="2181" w:type="dxa"/>
          </w:tcPr>
          <w:p w14:paraId="67CE0E6B" w14:textId="77777777" w:rsidR="003310B6" w:rsidRPr="00DE4CD2" w:rsidRDefault="003310B6" w:rsidP="00D41D63">
            <w:pPr>
              <w:keepNext/>
              <w:keepLines/>
              <w:spacing w:before="20" w:after="20" w:line="276" w:lineRule="auto"/>
              <w:rPr>
                <w:rFonts w:asciiTheme="majorHAnsi" w:hAnsiTheme="majorHAnsi" w:cstheme="majorHAnsi"/>
                <w:b/>
                <w:bCs/>
                <w:i/>
                <w:iCs/>
              </w:rPr>
            </w:pPr>
            <w:r w:rsidRPr="00DE4CD2">
              <w:rPr>
                <w:rFonts w:asciiTheme="majorHAnsi" w:hAnsiTheme="majorHAnsi" w:cstheme="majorHAnsi"/>
                <w:b/>
                <w:bCs/>
                <w:i/>
                <w:iCs/>
              </w:rPr>
              <w:t>CWTS Publication</w:t>
            </w:r>
          </w:p>
        </w:tc>
        <w:tc>
          <w:tcPr>
            <w:tcW w:w="7105" w:type="dxa"/>
          </w:tcPr>
          <w:p w14:paraId="670BFFE7" w14:textId="77777777" w:rsidR="003310B6" w:rsidRPr="00DE4CD2" w:rsidRDefault="003310B6" w:rsidP="00D41D63">
            <w:pPr>
              <w:keepNext/>
              <w:keepLines/>
              <w:spacing w:before="20" w:after="20" w:line="276" w:lineRule="auto"/>
              <w:rPr>
                <w:rFonts w:asciiTheme="majorHAnsi" w:hAnsiTheme="majorHAnsi" w:cstheme="majorHAnsi"/>
                <w:sz w:val="20"/>
                <w:szCs w:val="20"/>
              </w:rPr>
            </w:pPr>
            <w:r w:rsidRPr="00DE4CD2">
              <w:rPr>
                <w:rFonts w:asciiTheme="majorHAnsi" w:hAnsiTheme="majorHAnsi" w:cstheme="majorHAnsi"/>
                <w:sz w:val="20"/>
                <w:szCs w:val="20"/>
              </w:rPr>
              <w:t xml:space="preserve">Piloted supervised linking procedure between a sample of dissertation-holders and bibliometric, to derive accuracy measures of an automated algorithm </w:t>
            </w:r>
          </w:p>
        </w:tc>
      </w:tr>
      <w:tr w:rsidR="00FC3526" w:rsidRPr="00DE4CD2" w14:paraId="103C58B6" w14:textId="77777777" w:rsidTr="00D41D63">
        <w:trPr>
          <w:cantSplit/>
          <w:trHeight w:val="500"/>
        </w:trPr>
        <w:tc>
          <w:tcPr>
            <w:tcW w:w="2181" w:type="dxa"/>
          </w:tcPr>
          <w:p w14:paraId="0D0AE748" w14:textId="77777777" w:rsidR="003310B6" w:rsidRPr="00DE4CD2" w:rsidRDefault="003310B6" w:rsidP="00D41D63">
            <w:pPr>
              <w:keepNext/>
              <w:keepLines/>
              <w:spacing w:before="20" w:after="20" w:line="276" w:lineRule="auto"/>
              <w:rPr>
                <w:rFonts w:asciiTheme="majorHAnsi" w:hAnsiTheme="majorHAnsi" w:cstheme="majorHAnsi"/>
                <w:b/>
                <w:bCs/>
                <w:i/>
                <w:iCs/>
                <w:sz w:val="24"/>
                <w:szCs w:val="24"/>
              </w:rPr>
            </w:pPr>
            <w:r w:rsidRPr="00DE4CD2">
              <w:rPr>
                <w:rFonts w:asciiTheme="majorHAnsi" w:hAnsiTheme="majorHAnsi" w:cstheme="majorHAnsi"/>
                <w:b/>
                <w:bCs/>
                <w:i/>
                <w:iCs/>
                <w:sz w:val="24"/>
                <w:szCs w:val="24"/>
              </w:rPr>
              <w:t xml:space="preserve">Geocoding </w:t>
            </w:r>
          </w:p>
        </w:tc>
        <w:tc>
          <w:tcPr>
            <w:tcW w:w="7105" w:type="dxa"/>
          </w:tcPr>
          <w:p w14:paraId="76575A9E" w14:textId="77777777" w:rsidR="003310B6" w:rsidRPr="00DE4CD2" w:rsidRDefault="003310B6" w:rsidP="00D41D63">
            <w:pPr>
              <w:keepNext/>
              <w:keepLines/>
              <w:spacing w:before="20" w:after="20" w:line="276" w:lineRule="auto"/>
              <w:rPr>
                <w:rFonts w:asciiTheme="majorHAnsi" w:hAnsiTheme="majorHAnsi" w:cstheme="majorHAnsi"/>
                <w:sz w:val="20"/>
                <w:szCs w:val="20"/>
              </w:rPr>
            </w:pPr>
            <w:r w:rsidRPr="00DE4CD2">
              <w:rPr>
                <w:rFonts w:asciiTheme="majorHAnsi" w:hAnsiTheme="majorHAnsi" w:cstheme="majorHAnsi"/>
                <w:sz w:val="20"/>
                <w:szCs w:val="20"/>
              </w:rPr>
              <w:t>Geocoding at the level of addresses of degree granting universities; assignment to different breakdowns (including RISIS NUTS-adapted)</w:t>
            </w:r>
          </w:p>
        </w:tc>
      </w:tr>
      <w:tr w:rsidR="003310B6" w:rsidRPr="00DE4CD2" w14:paraId="14D300FF" w14:textId="77777777" w:rsidTr="00D41D63">
        <w:trPr>
          <w:cantSplit/>
          <w:trHeight w:val="319"/>
        </w:trPr>
        <w:tc>
          <w:tcPr>
            <w:tcW w:w="2181" w:type="dxa"/>
          </w:tcPr>
          <w:p w14:paraId="7623F496" w14:textId="77777777" w:rsidR="003310B6" w:rsidRPr="00DE4CD2" w:rsidRDefault="003310B6" w:rsidP="00D41D63">
            <w:pPr>
              <w:keepNext/>
              <w:keepLines/>
              <w:spacing w:before="20" w:after="20" w:line="276" w:lineRule="auto"/>
              <w:rPr>
                <w:rFonts w:asciiTheme="majorHAnsi" w:hAnsiTheme="majorHAnsi" w:cstheme="majorHAnsi"/>
                <w:b/>
                <w:bCs/>
                <w:i/>
                <w:iCs/>
                <w:sz w:val="24"/>
                <w:szCs w:val="24"/>
              </w:rPr>
            </w:pPr>
            <w:r w:rsidRPr="00DE4CD2">
              <w:rPr>
                <w:rFonts w:asciiTheme="majorHAnsi" w:hAnsiTheme="majorHAnsi" w:cstheme="majorHAnsi"/>
                <w:b/>
                <w:bCs/>
                <w:i/>
                <w:iCs/>
                <w:sz w:val="24"/>
                <w:szCs w:val="24"/>
              </w:rPr>
              <w:t xml:space="preserve">Topics </w:t>
            </w:r>
          </w:p>
        </w:tc>
        <w:tc>
          <w:tcPr>
            <w:tcW w:w="7105" w:type="dxa"/>
          </w:tcPr>
          <w:p w14:paraId="5C6B20B7" w14:textId="77777777" w:rsidR="003310B6" w:rsidRPr="00DE4CD2" w:rsidRDefault="003310B6" w:rsidP="00D41D63">
            <w:pPr>
              <w:keepNext/>
              <w:keepLines/>
              <w:spacing w:before="20" w:after="20" w:line="276" w:lineRule="auto"/>
              <w:rPr>
                <w:rFonts w:asciiTheme="majorHAnsi" w:hAnsiTheme="majorHAnsi" w:cstheme="majorHAnsi"/>
                <w:sz w:val="20"/>
                <w:szCs w:val="20"/>
              </w:rPr>
            </w:pPr>
            <w:r w:rsidRPr="00DE4CD2">
              <w:rPr>
                <w:rFonts w:asciiTheme="majorHAnsi" w:hAnsiTheme="majorHAnsi" w:cstheme="majorHAnsi"/>
                <w:sz w:val="20"/>
                <w:szCs w:val="20"/>
              </w:rPr>
              <w:t xml:space="preserve">Topical assignment of projects to policy relevant dimensions and disaggregated levels. </w:t>
            </w:r>
          </w:p>
        </w:tc>
      </w:tr>
    </w:tbl>
    <w:p w14:paraId="7DD9FB6B" w14:textId="77777777" w:rsidR="003310B6" w:rsidRPr="00DE4CD2" w:rsidRDefault="003310B6" w:rsidP="003310B6">
      <w:pPr>
        <w:pStyle w:val="TableParagraph"/>
        <w:keepNext/>
        <w:keepLines/>
        <w:widowControl/>
        <w:spacing w:line="228" w:lineRule="exact"/>
        <w:ind w:left="0"/>
        <w:rPr>
          <w:rFonts w:asciiTheme="majorHAnsi" w:eastAsia="Cambria" w:hAnsiTheme="majorHAnsi" w:cstheme="majorHAnsi"/>
          <w:sz w:val="24"/>
          <w:szCs w:val="24"/>
          <w:lang w:val="en-GB" w:eastAsia="fr-FR"/>
        </w:rPr>
      </w:pPr>
    </w:p>
    <w:p w14:paraId="45F15376" w14:textId="77777777" w:rsidR="003310B6" w:rsidRPr="00DE4CD2" w:rsidRDefault="003310B6" w:rsidP="003310B6">
      <w:pPr>
        <w:pStyle w:val="TableParagraph"/>
        <w:ind w:left="0"/>
        <w:rPr>
          <w:rFonts w:asciiTheme="majorHAnsi" w:hAnsiTheme="majorHAnsi" w:cstheme="majorHAnsi"/>
          <w:sz w:val="24"/>
          <w:szCs w:val="24"/>
          <w:lang w:val="en-GB"/>
        </w:rPr>
      </w:pPr>
    </w:p>
    <w:p w14:paraId="561BB4E0" w14:textId="77777777" w:rsidR="003310B6" w:rsidRPr="00DE4CD2" w:rsidRDefault="003310B6" w:rsidP="003310B6">
      <w:pPr>
        <w:jc w:val="both"/>
        <w:rPr>
          <w:rFonts w:asciiTheme="majorHAnsi" w:hAnsiTheme="majorHAnsi" w:cstheme="majorHAnsi"/>
          <w:b/>
          <w:bCs/>
          <w:i/>
          <w:iCs/>
        </w:rPr>
      </w:pPr>
      <w:r w:rsidRPr="00DE4CD2">
        <w:rPr>
          <w:rFonts w:asciiTheme="majorHAnsi" w:hAnsiTheme="majorHAnsi" w:cstheme="majorHAnsi"/>
          <w:b/>
          <w:bCs/>
          <w:i/>
          <w:iCs/>
        </w:rPr>
        <w:t>Description of use</w:t>
      </w:r>
    </w:p>
    <w:p w14:paraId="7FF6DB80" w14:textId="77777777" w:rsidR="003310B6" w:rsidRPr="00DE4CD2" w:rsidRDefault="003310B6" w:rsidP="003310B6">
      <w:pPr>
        <w:pStyle w:val="TableParagraph"/>
        <w:ind w:left="0"/>
        <w:rPr>
          <w:rFonts w:asciiTheme="majorHAnsi" w:eastAsia="Cambria" w:hAnsiTheme="majorHAnsi" w:cstheme="majorHAnsi"/>
          <w:sz w:val="24"/>
          <w:szCs w:val="24"/>
          <w:lang w:val="en-GB" w:eastAsia="fr-FR"/>
        </w:rPr>
      </w:pPr>
      <w:r w:rsidRPr="00DE4CD2">
        <w:rPr>
          <w:rFonts w:asciiTheme="majorHAnsi" w:eastAsia="Cambria" w:hAnsiTheme="majorHAnsi" w:cstheme="majorHAnsi"/>
          <w:sz w:val="24"/>
          <w:szCs w:val="24"/>
          <w:lang w:val="en-GB" w:eastAsia="fr-FR"/>
        </w:rPr>
        <w:t xml:space="preserve">The pilot DDC showcases the utility of collating information from dissertation metadata to better understand PhD Production across countries and time. It illustrates how the metadata can be combined with the other RISIS data sources to create an enriched PhD production dataset. It also lays out a way forward to use the link to publication data to help forecast which sector graduating PhDs go into. </w:t>
      </w:r>
    </w:p>
    <w:p w14:paraId="3C4FAD72" w14:textId="77777777" w:rsidR="003310B6" w:rsidRPr="00DE4CD2" w:rsidRDefault="003310B6" w:rsidP="003310B6">
      <w:pPr>
        <w:pStyle w:val="TableParagraph"/>
        <w:ind w:left="0"/>
        <w:rPr>
          <w:rFonts w:asciiTheme="majorHAnsi" w:eastAsia="Cambria" w:hAnsiTheme="majorHAnsi" w:cstheme="majorHAnsi"/>
          <w:sz w:val="24"/>
          <w:szCs w:val="24"/>
          <w:lang w:val="en-GB" w:eastAsia="fr-FR"/>
        </w:rPr>
      </w:pPr>
    </w:p>
    <w:p w14:paraId="57BDB046" w14:textId="77777777" w:rsidR="003310B6" w:rsidRPr="00DE4CD2" w:rsidRDefault="003310B6" w:rsidP="003310B6">
      <w:pPr>
        <w:pStyle w:val="TableParagraph"/>
        <w:ind w:left="0"/>
        <w:rPr>
          <w:rFonts w:asciiTheme="majorHAnsi" w:eastAsia="Cambria" w:hAnsiTheme="majorHAnsi" w:cstheme="majorHAnsi"/>
          <w:sz w:val="24"/>
          <w:szCs w:val="24"/>
          <w:lang w:val="en-GB" w:eastAsia="fr-FR"/>
        </w:rPr>
      </w:pPr>
      <w:r w:rsidRPr="00DE4CD2">
        <w:rPr>
          <w:rFonts w:asciiTheme="majorHAnsi" w:eastAsia="Cambria" w:hAnsiTheme="majorHAnsi" w:cstheme="majorHAnsi"/>
          <w:sz w:val="24"/>
          <w:szCs w:val="24"/>
          <w:lang w:val="en-GB" w:eastAsia="fr-FR"/>
        </w:rPr>
        <w:t xml:space="preserve">The first version of the experimental dataset was primarily used as a proof of concept for the DDC. An important implication is that usage has been restricted to the DDC and RCF teams during the experimentation phase. This restriction has not least been necessary due to the uncertainty around potential GDPR concerns linked to sharing of the microdata. </w:t>
      </w:r>
    </w:p>
    <w:p w14:paraId="232060AC" w14:textId="77777777" w:rsidR="003310B6" w:rsidRPr="00DE4CD2" w:rsidRDefault="003310B6" w:rsidP="003310B6">
      <w:pPr>
        <w:pStyle w:val="TableParagraph"/>
        <w:ind w:left="0"/>
        <w:rPr>
          <w:rFonts w:asciiTheme="majorHAnsi" w:eastAsia="Cambria" w:hAnsiTheme="majorHAnsi" w:cstheme="majorHAnsi"/>
          <w:sz w:val="24"/>
          <w:szCs w:val="24"/>
          <w:lang w:val="en-GB" w:eastAsia="fr-FR"/>
        </w:rPr>
      </w:pPr>
    </w:p>
    <w:p w14:paraId="2C2967E6" w14:textId="77777777" w:rsidR="003310B6" w:rsidRPr="00DE4CD2" w:rsidRDefault="003310B6" w:rsidP="003310B6">
      <w:pPr>
        <w:pStyle w:val="TableParagraph"/>
        <w:ind w:left="0"/>
        <w:rPr>
          <w:rFonts w:asciiTheme="majorHAnsi" w:hAnsiTheme="majorHAnsi" w:cstheme="majorHAnsi"/>
          <w:sz w:val="24"/>
          <w:szCs w:val="24"/>
        </w:rPr>
      </w:pPr>
      <w:r w:rsidRPr="00DE4CD2">
        <w:rPr>
          <w:rFonts w:asciiTheme="majorHAnsi" w:eastAsia="Cambria" w:hAnsiTheme="majorHAnsi" w:cstheme="majorHAnsi"/>
          <w:sz w:val="24"/>
          <w:szCs w:val="24"/>
          <w:lang w:val="en-GB" w:eastAsia="fr-FR"/>
        </w:rPr>
        <w:t xml:space="preserve">The use cases that were developed during the project were primarily situated around testing </w:t>
      </w:r>
      <w:r w:rsidRPr="00DE4CD2">
        <w:rPr>
          <w:rFonts w:asciiTheme="majorHAnsi" w:hAnsiTheme="majorHAnsi" w:cstheme="majorHAnsi"/>
          <w:sz w:val="24"/>
          <w:szCs w:val="24"/>
        </w:rPr>
        <w:t xml:space="preserve">a set of four empirical questions about DDC’s basic design. The utility of the DDC can be described in terms of how DDC addresses the questions. </w:t>
      </w:r>
    </w:p>
    <w:p w14:paraId="4B83ABFC" w14:textId="77777777" w:rsidR="003310B6" w:rsidRPr="00DE4CD2" w:rsidRDefault="003310B6" w:rsidP="002C3BB1">
      <w:pPr>
        <w:pStyle w:val="TableParagraph"/>
        <w:numPr>
          <w:ilvl w:val="0"/>
          <w:numId w:val="11"/>
        </w:numPr>
        <w:rPr>
          <w:rFonts w:asciiTheme="majorHAnsi" w:eastAsia="Cambria" w:hAnsiTheme="majorHAnsi" w:cstheme="majorHAnsi"/>
          <w:sz w:val="24"/>
          <w:szCs w:val="24"/>
          <w:lang w:val="en-GB" w:eastAsia="fr-FR"/>
        </w:rPr>
      </w:pPr>
      <w:r w:rsidRPr="00DE4CD2">
        <w:rPr>
          <w:rFonts w:asciiTheme="majorHAnsi" w:hAnsiTheme="majorHAnsi" w:cstheme="majorHAnsi"/>
          <w:sz w:val="24"/>
          <w:szCs w:val="24"/>
        </w:rPr>
        <w:t>Q: How well does the population of dissertations collected correspond to that in official PhD production data?</w:t>
      </w:r>
    </w:p>
    <w:p w14:paraId="1569BCB0" w14:textId="77777777" w:rsidR="003310B6" w:rsidRPr="00DE4CD2" w:rsidRDefault="003310B6" w:rsidP="002C3BB1">
      <w:pPr>
        <w:pStyle w:val="TableParagraph"/>
        <w:numPr>
          <w:ilvl w:val="1"/>
          <w:numId w:val="11"/>
        </w:numPr>
        <w:rPr>
          <w:rFonts w:asciiTheme="majorHAnsi" w:hAnsiTheme="majorHAnsi" w:cstheme="majorHAnsi"/>
          <w:sz w:val="24"/>
          <w:szCs w:val="24"/>
        </w:rPr>
      </w:pPr>
      <w:r w:rsidRPr="00DE4CD2">
        <w:rPr>
          <w:rFonts w:asciiTheme="majorHAnsi" w:hAnsiTheme="majorHAnsi" w:cstheme="majorHAnsi"/>
          <w:sz w:val="24"/>
          <w:szCs w:val="24"/>
        </w:rPr>
        <w:t xml:space="preserve">A: Very well, following deduplication of dissertation metadata, the Core DDC corresponded with </w:t>
      </w:r>
      <w:r w:rsidRPr="00DE4CD2">
        <w:rPr>
          <w:rFonts w:asciiTheme="majorHAnsi" w:hAnsiTheme="majorHAnsi" w:cstheme="majorHAnsi"/>
        </w:rPr>
        <w:t>98</w:t>
      </w:r>
      <w:r w:rsidRPr="00DE4CD2">
        <w:rPr>
          <w:rFonts w:asciiTheme="majorHAnsi" w:hAnsiTheme="majorHAnsi" w:cstheme="majorHAnsi"/>
          <w:sz w:val="24"/>
          <w:szCs w:val="24"/>
        </w:rPr>
        <w:t xml:space="preserve">+% accuracy to official PhD production data for the sample. </w:t>
      </w:r>
    </w:p>
    <w:p w14:paraId="1478731F" w14:textId="77777777" w:rsidR="003310B6" w:rsidRPr="00DE4CD2" w:rsidRDefault="003310B6" w:rsidP="002C3BB1">
      <w:pPr>
        <w:pStyle w:val="TableParagraph"/>
        <w:numPr>
          <w:ilvl w:val="0"/>
          <w:numId w:val="11"/>
        </w:numPr>
        <w:rPr>
          <w:rFonts w:asciiTheme="majorHAnsi" w:hAnsiTheme="majorHAnsi" w:cstheme="majorHAnsi"/>
          <w:sz w:val="24"/>
          <w:szCs w:val="24"/>
        </w:rPr>
      </w:pPr>
      <w:r w:rsidRPr="00DE4CD2">
        <w:rPr>
          <w:rFonts w:asciiTheme="majorHAnsi" w:hAnsiTheme="majorHAnsi" w:cstheme="majorHAnsi"/>
          <w:sz w:val="24"/>
          <w:szCs w:val="24"/>
        </w:rPr>
        <w:t>Q: how well does an automated matching algorithm using basic information (name-matching, augmented by field-of-science, country) link to the dissertation holder's publication record?</w:t>
      </w:r>
    </w:p>
    <w:p w14:paraId="6BE5352A" w14:textId="77777777" w:rsidR="003310B6" w:rsidRPr="00DE4CD2" w:rsidRDefault="003310B6" w:rsidP="002C3BB1">
      <w:pPr>
        <w:pStyle w:val="TableParagraph"/>
        <w:numPr>
          <w:ilvl w:val="1"/>
          <w:numId w:val="11"/>
        </w:numPr>
        <w:rPr>
          <w:rFonts w:asciiTheme="majorHAnsi" w:hAnsiTheme="majorHAnsi" w:cstheme="majorHAnsi"/>
          <w:sz w:val="24"/>
          <w:szCs w:val="24"/>
        </w:rPr>
      </w:pPr>
      <w:r w:rsidRPr="00DE4CD2">
        <w:rPr>
          <w:rFonts w:asciiTheme="majorHAnsi" w:hAnsiTheme="majorHAnsi" w:cstheme="majorHAnsi"/>
          <w:sz w:val="24"/>
          <w:szCs w:val="24"/>
        </w:rPr>
        <w:t xml:space="preserve">A: Well, without adjustment. Results (Precision and Recall) for the unadulterated automated procedure were shown to be strong with some country variation (composite scores varying between </w:t>
      </w:r>
      <w:r w:rsidRPr="00DE4CD2">
        <w:rPr>
          <w:rFonts w:asciiTheme="majorHAnsi" w:hAnsiTheme="majorHAnsi" w:cstheme="majorHAnsi"/>
        </w:rPr>
        <w:t>78-88</w:t>
      </w:r>
      <w:r w:rsidRPr="00DE4CD2">
        <w:rPr>
          <w:rFonts w:asciiTheme="majorHAnsi" w:hAnsiTheme="majorHAnsi" w:cstheme="majorHAnsi"/>
          <w:sz w:val="24"/>
          <w:szCs w:val="24"/>
        </w:rPr>
        <w:t xml:space="preserve">). It indicates that the algorithm could be further adapted to improve this outcome. </w:t>
      </w:r>
    </w:p>
    <w:p w14:paraId="53358258" w14:textId="77777777" w:rsidR="003310B6" w:rsidRPr="00DE4CD2" w:rsidRDefault="003310B6" w:rsidP="002C3BB1">
      <w:pPr>
        <w:pStyle w:val="Listenabsatz"/>
        <w:numPr>
          <w:ilvl w:val="0"/>
          <w:numId w:val="11"/>
        </w:numPr>
        <w:rPr>
          <w:rFonts w:asciiTheme="majorHAnsi" w:eastAsia="Microsoft Sans Serif" w:hAnsiTheme="majorHAnsi" w:cstheme="majorHAnsi"/>
          <w:lang w:val="en-US" w:eastAsia="en-US"/>
        </w:rPr>
      </w:pPr>
      <w:r w:rsidRPr="00DE4CD2">
        <w:rPr>
          <w:rFonts w:asciiTheme="majorHAnsi" w:hAnsiTheme="majorHAnsi" w:cstheme="majorHAnsi"/>
        </w:rPr>
        <w:lastRenderedPageBreak/>
        <w:t xml:space="preserve">Q: Assuming a satisfactory outcome of step 2, how well does the publication record that is observed indicate ('predict') the true </w:t>
      </w:r>
      <w:proofErr w:type="spellStart"/>
      <w:r w:rsidRPr="00DE4CD2">
        <w:rPr>
          <w:rFonts w:asciiTheme="majorHAnsi" w:hAnsiTheme="majorHAnsi" w:cstheme="majorHAnsi"/>
        </w:rPr>
        <w:t>labor</w:t>
      </w:r>
      <w:proofErr w:type="spellEnd"/>
      <w:r w:rsidRPr="00DE4CD2">
        <w:rPr>
          <w:rFonts w:asciiTheme="majorHAnsi" w:hAnsiTheme="majorHAnsi" w:cstheme="majorHAnsi"/>
        </w:rPr>
        <w:t xml:space="preserve">-market outcome (academic vs non-academic) in different settings?  To determine this, an </w:t>
      </w:r>
      <w:r w:rsidRPr="00DE4CD2">
        <w:rPr>
          <w:rFonts w:asciiTheme="majorHAnsi" w:eastAsia="Microsoft Sans Serif" w:hAnsiTheme="majorHAnsi" w:cstheme="majorHAnsi"/>
          <w:lang w:val="en-US" w:eastAsia="en-US"/>
        </w:rPr>
        <w:t xml:space="preserve">experiment was developed for a single country (Norway) with known labor-market outcome for the entire population and for multiple years. </w:t>
      </w:r>
    </w:p>
    <w:p w14:paraId="267B1C49" w14:textId="77777777" w:rsidR="003310B6" w:rsidRPr="00DE4CD2" w:rsidRDefault="003310B6" w:rsidP="002C3BB1">
      <w:pPr>
        <w:pStyle w:val="TableParagraph"/>
        <w:numPr>
          <w:ilvl w:val="1"/>
          <w:numId w:val="11"/>
        </w:numPr>
        <w:rPr>
          <w:rFonts w:asciiTheme="majorHAnsi" w:hAnsiTheme="majorHAnsi" w:cstheme="majorHAnsi"/>
          <w:sz w:val="24"/>
          <w:szCs w:val="24"/>
        </w:rPr>
      </w:pPr>
      <w:r w:rsidRPr="00DE4CD2">
        <w:rPr>
          <w:rFonts w:asciiTheme="majorHAnsi" w:hAnsiTheme="majorHAnsi" w:cstheme="majorHAnsi"/>
          <w:sz w:val="24"/>
          <w:szCs w:val="24"/>
        </w:rPr>
        <w:t xml:space="preserve">A: Relatively well, given some provisos. Iversen &amp; </w:t>
      </w:r>
      <w:proofErr w:type="spellStart"/>
      <w:r w:rsidRPr="00DE4CD2">
        <w:rPr>
          <w:rFonts w:asciiTheme="majorHAnsi" w:hAnsiTheme="majorHAnsi" w:cstheme="majorHAnsi"/>
          <w:sz w:val="24"/>
          <w:szCs w:val="24"/>
        </w:rPr>
        <w:t>Andreadakis</w:t>
      </w:r>
      <w:proofErr w:type="spellEnd"/>
      <w:r w:rsidRPr="00DE4CD2">
        <w:rPr>
          <w:rFonts w:asciiTheme="majorHAnsi" w:hAnsiTheme="majorHAnsi" w:cstheme="majorHAnsi"/>
          <w:sz w:val="24"/>
          <w:szCs w:val="24"/>
        </w:rPr>
        <w:t xml:space="preserve"> (2023) show that publication intensity correlates strongly and positively to predict academic (and hospital) outcomes, while the correlation is weak at best for outcomes in the private and the (non-hospital, non-academic) government sectors. The signal appears more or less strong depending on a number of other basic factors (discipline, age, gender) as well as to characteristics of the degree-granting university as other factors.  An important outcome of this work, so far, has been that it points out how the relationship between publication and a subsequent career direction can best be modelled. Lessons include (i) how to design (parameterize) the publication variable and (ii) which other factors help to predict a given outcome together with publication intensity.</w:t>
      </w:r>
    </w:p>
    <w:p w14:paraId="5BF8DE88" w14:textId="77777777" w:rsidR="003310B6" w:rsidRPr="00DE4CD2" w:rsidRDefault="003310B6" w:rsidP="002C3BB1">
      <w:pPr>
        <w:pStyle w:val="TableParagraph"/>
        <w:numPr>
          <w:ilvl w:val="0"/>
          <w:numId w:val="11"/>
        </w:numPr>
        <w:rPr>
          <w:rFonts w:asciiTheme="majorHAnsi" w:hAnsiTheme="majorHAnsi" w:cstheme="majorHAnsi"/>
          <w:sz w:val="24"/>
          <w:szCs w:val="24"/>
        </w:rPr>
      </w:pPr>
      <w:r w:rsidRPr="00DE4CD2">
        <w:rPr>
          <w:rFonts w:asciiTheme="majorHAnsi" w:hAnsiTheme="majorHAnsi" w:cstheme="majorHAnsi"/>
          <w:sz w:val="24"/>
          <w:szCs w:val="24"/>
        </w:rPr>
        <w:t>Q: Can predictions from step3 be used to infer out-of-sample predictions with an acceptable level of confidence?</w:t>
      </w:r>
    </w:p>
    <w:p w14:paraId="757DE237" w14:textId="77777777" w:rsidR="003310B6" w:rsidRPr="00DE4CD2" w:rsidRDefault="003310B6" w:rsidP="002C3BB1">
      <w:pPr>
        <w:pStyle w:val="TableParagraph"/>
        <w:numPr>
          <w:ilvl w:val="1"/>
          <w:numId w:val="11"/>
        </w:numPr>
        <w:rPr>
          <w:rFonts w:asciiTheme="majorHAnsi" w:hAnsiTheme="majorHAnsi" w:cstheme="majorHAnsi"/>
          <w:sz w:val="24"/>
          <w:szCs w:val="24"/>
        </w:rPr>
      </w:pPr>
      <w:r w:rsidRPr="00DE4CD2">
        <w:rPr>
          <w:rFonts w:asciiTheme="majorHAnsi" w:hAnsiTheme="majorHAnsi" w:cstheme="majorHAnsi"/>
          <w:sz w:val="24"/>
          <w:szCs w:val="24"/>
        </w:rPr>
        <w:t xml:space="preserve">A: Yes, probably, but more work (and training data) will be needed. To adequately address this question, we are designing a predictive inference framework to ‘forecast’ probable sectors (academic, non-academic) of employment based on the information collected in DDC. The collection of further observations of the true labor market outcome for more countries is needed to test the performance of the model in comparison with actual observations. Based on the ‘forecast’ of conditional probabilities, we can then assess the accuracy and consider calibration and refinement issues. </w:t>
      </w:r>
    </w:p>
    <w:p w14:paraId="795C5DE0" w14:textId="77777777" w:rsidR="003310B6" w:rsidRPr="00DE4CD2" w:rsidRDefault="003310B6" w:rsidP="003310B6">
      <w:pPr>
        <w:pStyle w:val="TableParagraph"/>
        <w:ind w:left="0"/>
        <w:rPr>
          <w:rFonts w:asciiTheme="majorHAnsi" w:hAnsiTheme="majorHAnsi" w:cstheme="majorHAnsi"/>
          <w:sz w:val="24"/>
          <w:szCs w:val="24"/>
        </w:rPr>
      </w:pPr>
    </w:p>
    <w:p w14:paraId="678A4AFD" w14:textId="77777777" w:rsidR="003310B6" w:rsidRPr="00DE4CD2" w:rsidRDefault="003310B6" w:rsidP="003310B6">
      <w:pPr>
        <w:jc w:val="both"/>
        <w:rPr>
          <w:rFonts w:asciiTheme="majorHAnsi" w:hAnsiTheme="majorHAnsi" w:cstheme="majorHAnsi"/>
          <w:lang w:val="en-US"/>
        </w:rPr>
      </w:pPr>
      <w:r w:rsidRPr="00DE4CD2">
        <w:rPr>
          <w:rFonts w:asciiTheme="majorHAnsi" w:hAnsiTheme="majorHAnsi" w:cstheme="majorHAnsi"/>
          <w:lang w:val="en-US"/>
        </w:rPr>
        <w:t xml:space="preserve">Against this background, a set of cases developed during the experimental phase are used to illustrate (i) the potential of DDC as an enriched PhD Production dataset and (ii) notional output that can be attained where it is possible to reliably identify the true labor-market outcome of the PhD holder. </w:t>
      </w:r>
    </w:p>
    <w:p w14:paraId="3F6BCC6A" w14:textId="77777777" w:rsidR="003310B6" w:rsidRPr="00DE4CD2" w:rsidRDefault="003310B6" w:rsidP="003310B6">
      <w:pPr>
        <w:jc w:val="both"/>
        <w:rPr>
          <w:rFonts w:asciiTheme="majorHAnsi" w:hAnsiTheme="majorHAnsi" w:cstheme="majorHAnsi"/>
          <w:lang w:val="en-US"/>
        </w:rPr>
      </w:pPr>
    </w:p>
    <w:p w14:paraId="258DC5B1" w14:textId="77777777" w:rsidR="003310B6" w:rsidRPr="00DE4CD2" w:rsidRDefault="003310B6" w:rsidP="003310B6">
      <w:pPr>
        <w:jc w:val="both"/>
        <w:rPr>
          <w:rFonts w:asciiTheme="majorHAnsi" w:hAnsiTheme="majorHAnsi" w:cstheme="majorHAnsi"/>
          <w:b/>
          <w:bCs/>
          <w:i/>
          <w:iCs/>
          <w:lang w:val="en-US"/>
        </w:rPr>
      </w:pPr>
      <w:r w:rsidRPr="00DE4CD2">
        <w:rPr>
          <w:rFonts w:asciiTheme="majorHAnsi" w:hAnsiTheme="majorHAnsi" w:cstheme="majorHAnsi"/>
          <w:b/>
          <w:bCs/>
          <w:i/>
          <w:iCs/>
          <w:lang w:val="en-US"/>
        </w:rPr>
        <w:t>Enriched PhD Production dataset</w:t>
      </w:r>
    </w:p>
    <w:p w14:paraId="4AE5E035" w14:textId="53422B9C" w:rsidR="003310B6" w:rsidRPr="00DE4CD2" w:rsidRDefault="003310B6" w:rsidP="003310B6">
      <w:pPr>
        <w:jc w:val="both"/>
        <w:rPr>
          <w:rFonts w:asciiTheme="majorHAnsi" w:hAnsiTheme="majorHAnsi" w:cstheme="majorHAnsi"/>
          <w:lang w:val="en-US"/>
        </w:rPr>
      </w:pPr>
      <w:proofErr w:type="spellStart"/>
      <w:r w:rsidRPr="00DE4CD2">
        <w:rPr>
          <w:rFonts w:asciiTheme="majorHAnsi" w:hAnsiTheme="majorHAnsi" w:cstheme="majorHAnsi"/>
          <w:lang w:val="en-US"/>
        </w:rPr>
        <w:t>Breuker</w:t>
      </w:r>
      <w:proofErr w:type="spellEnd"/>
      <w:r w:rsidRPr="00DE4CD2">
        <w:rPr>
          <w:rFonts w:asciiTheme="majorHAnsi" w:hAnsiTheme="majorHAnsi" w:cstheme="majorHAnsi"/>
          <w:lang w:val="en-US"/>
        </w:rPr>
        <w:t xml:space="preserve"> et al (2022) leveraged the capabilities in the RCF to investigate policy related aspects about PhD Production in the six pilot countries. The ‘Scenario’ used information from the title and faculty as well as the formal discipline that the PhD was recorded in, to provide a more granular but, at the same time, consistent comparison of national specialization. The figure </w:t>
      </w:r>
      <w:r w:rsidR="0063329C" w:rsidRPr="00DE4CD2">
        <w:rPr>
          <w:rFonts w:asciiTheme="majorHAnsi" w:hAnsiTheme="majorHAnsi" w:cstheme="majorHAnsi"/>
          <w:lang w:val="en-US"/>
        </w:rPr>
        <w:t>30</w:t>
      </w:r>
      <w:r w:rsidRPr="00DE4CD2">
        <w:rPr>
          <w:rFonts w:asciiTheme="majorHAnsi" w:hAnsiTheme="majorHAnsi" w:cstheme="majorHAnsi"/>
          <w:lang w:val="en-US"/>
        </w:rPr>
        <w:t xml:space="preserve"> clusters subjects by country to generate a contingency matrix (Chi2 score) that highlights differences in specialization of PhD production for different countries. This relatively simple exercise provides a powerful snapshot of cross-country differences in this important form of scientific production. It could be extended and refined, for example to consider how patterns change across time.</w:t>
      </w:r>
    </w:p>
    <w:p w14:paraId="2C8FEF17" w14:textId="77777777" w:rsidR="00D32776" w:rsidRPr="00DE4CD2" w:rsidRDefault="00D32776" w:rsidP="003310B6">
      <w:pPr>
        <w:jc w:val="both"/>
        <w:rPr>
          <w:rFonts w:asciiTheme="majorHAnsi" w:hAnsiTheme="majorHAnsi" w:cstheme="majorHAnsi"/>
          <w:lang w:val="en-US"/>
        </w:rPr>
      </w:pPr>
    </w:p>
    <w:p w14:paraId="74A40434" w14:textId="77777777" w:rsidR="00D32776" w:rsidRPr="00DE4CD2" w:rsidRDefault="00D32776" w:rsidP="00D32776">
      <w:pPr>
        <w:jc w:val="both"/>
        <w:rPr>
          <w:rFonts w:asciiTheme="majorHAnsi" w:hAnsiTheme="majorHAnsi" w:cstheme="majorHAnsi"/>
          <w:lang w:val="en-US"/>
        </w:rPr>
      </w:pPr>
      <w:r w:rsidRPr="00DE4CD2">
        <w:rPr>
          <w:rFonts w:asciiTheme="majorHAnsi" w:hAnsiTheme="majorHAnsi" w:cstheme="majorHAnsi"/>
          <w:lang w:val="en-US"/>
        </w:rPr>
        <w:t xml:space="preserve">The same team extended the study for a sample which integrated DDC data with topic data from other sources in RISIS (patent, publication). This step, which was undertaken as a scenario in the RCF, illustrates how output from different research activities cluster into several clouds of co-occurring topics. Figure 31 presents the coalescence of different topics into broader areas of disciplines, where relationships can be drawn between co-occurring topics across these disciplines. </w:t>
      </w:r>
      <w:r w:rsidRPr="00DE4CD2">
        <w:rPr>
          <w:rFonts w:asciiTheme="majorHAnsi" w:hAnsiTheme="majorHAnsi" w:cstheme="majorHAnsi"/>
          <w:lang w:val="en-US"/>
        </w:rPr>
        <w:lastRenderedPageBreak/>
        <w:t xml:space="preserve">Health-science, for example, borders with life-sciences, as expected, but also to physical sciences and social sciences in some contexts. There mix of topics differs depending on the domains of the outcome (dissertations, patents and publications). Again, the example is illustrative. Other policy-oriented questions about the relationship of PhD production to other scientific and innovation activities can also be addressed, for example, by introducing a temporal dimension. </w:t>
      </w:r>
    </w:p>
    <w:p w14:paraId="6FCBB322" w14:textId="77777777" w:rsidR="00D32776" w:rsidRPr="00DE4CD2" w:rsidRDefault="00D32776" w:rsidP="003310B6">
      <w:pPr>
        <w:jc w:val="both"/>
        <w:rPr>
          <w:rFonts w:asciiTheme="majorHAnsi" w:hAnsiTheme="majorHAnsi" w:cstheme="majorHAnsi"/>
          <w:lang w:val="en-US"/>
        </w:rPr>
      </w:pPr>
    </w:p>
    <w:p w14:paraId="2B18FADA" w14:textId="42BE9D0F" w:rsidR="003310B6" w:rsidRPr="00DE4CD2" w:rsidRDefault="003310B6" w:rsidP="003310B6">
      <w:pPr>
        <w:spacing w:after="120"/>
        <w:jc w:val="both"/>
        <w:rPr>
          <w:rFonts w:asciiTheme="majorHAnsi" w:eastAsiaTheme="minorHAnsi" w:hAnsiTheme="majorHAnsi" w:cstheme="majorHAnsi"/>
          <w:i/>
          <w:iCs/>
          <w:lang w:val="en-US" w:eastAsia="en-US"/>
        </w:rPr>
      </w:pPr>
      <w:r w:rsidRPr="00DE4CD2">
        <w:rPr>
          <w:rFonts w:asciiTheme="majorHAnsi" w:eastAsiaTheme="minorHAnsi" w:hAnsiTheme="majorHAnsi" w:cstheme="majorHAnsi"/>
          <w:i/>
          <w:iCs/>
          <w:lang w:val="en-US" w:eastAsia="en-US"/>
        </w:rPr>
        <w:t xml:space="preserve">Figure </w:t>
      </w:r>
      <w:r w:rsidR="0063329C" w:rsidRPr="00DE4CD2">
        <w:rPr>
          <w:rFonts w:asciiTheme="majorHAnsi" w:eastAsiaTheme="minorHAnsi" w:hAnsiTheme="majorHAnsi" w:cstheme="majorHAnsi"/>
          <w:i/>
          <w:iCs/>
          <w:lang w:val="en-US" w:eastAsia="en-US"/>
        </w:rPr>
        <w:t>30</w:t>
      </w:r>
      <w:r w:rsidRPr="00DE4CD2">
        <w:rPr>
          <w:rFonts w:asciiTheme="majorHAnsi" w:eastAsiaTheme="minorHAnsi" w:hAnsiTheme="majorHAnsi" w:cstheme="majorHAnsi"/>
          <w:i/>
          <w:iCs/>
          <w:lang w:val="en-US" w:eastAsia="en-US"/>
        </w:rPr>
        <w:t xml:space="preserve"> National specialization Contingency Matrix (Chi2 score) Cluster of Subjects Against Countries</w:t>
      </w:r>
    </w:p>
    <w:p w14:paraId="785C438D" w14:textId="77777777" w:rsidR="003310B6" w:rsidRPr="00DE4CD2" w:rsidRDefault="003310B6" w:rsidP="003310B6">
      <w:pPr>
        <w:keepNext/>
        <w:keepLines/>
        <w:jc w:val="both"/>
        <w:rPr>
          <w:rFonts w:asciiTheme="majorHAnsi" w:hAnsiTheme="majorHAnsi" w:cstheme="majorHAnsi"/>
          <w:lang w:val="en-US"/>
        </w:rPr>
      </w:pPr>
      <w:r w:rsidRPr="00DE4CD2">
        <w:rPr>
          <w:rFonts w:asciiTheme="majorHAnsi" w:hAnsiTheme="majorHAnsi" w:cstheme="majorHAnsi"/>
          <w:noProof/>
          <w:bdr w:val="single" w:sz="4" w:space="0" w:color="auto"/>
        </w:rPr>
        <w:drawing>
          <wp:inline distT="0" distB="0" distL="0" distR="0" wp14:anchorId="7164F878" wp14:editId="09FC5C4F">
            <wp:extent cx="5136702" cy="3633746"/>
            <wp:effectExtent l="0" t="0" r="6985" b="0"/>
            <wp:docPr id="28678" name="Plassholder for innhold 5" descr="Et bilde som inneholder tekst">
              <a:extLst xmlns:a="http://schemas.openxmlformats.org/drawingml/2006/main">
                <a:ext uri="{FF2B5EF4-FFF2-40B4-BE49-F238E27FC236}">
                  <a16:creationId xmlns:a16="http://schemas.microsoft.com/office/drawing/2014/main" id="{B6411503-CC48-F0F8-A643-E53AF297E75C}"/>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8678" name="Plassholder for innhold 5" descr="Et bilde som inneholder tekst">
                      <a:extLst>
                        <a:ext uri="{FF2B5EF4-FFF2-40B4-BE49-F238E27FC236}">
                          <a16:creationId xmlns:a16="http://schemas.microsoft.com/office/drawing/2014/main" id="{B6411503-CC48-F0F8-A643-E53AF297E75C}"/>
                        </a:ext>
                      </a:extLst>
                    </pic:cNvPr>
                    <pic:cNvPicPr>
                      <a:picLocks noGrp="1"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224593" cy="3695921"/>
                    </a:xfrm>
                    <a:prstGeom prst="rect">
                      <a:avLst/>
                    </a:prstGeom>
                    <a:noFill/>
                    <a:ln>
                      <a:noFill/>
                    </a:ln>
                  </pic:spPr>
                </pic:pic>
              </a:graphicData>
            </a:graphic>
          </wp:inline>
        </w:drawing>
      </w:r>
    </w:p>
    <w:p w14:paraId="06986792" w14:textId="77777777" w:rsidR="003310B6" w:rsidRPr="00DE4CD2" w:rsidRDefault="003310B6" w:rsidP="003310B6">
      <w:pPr>
        <w:keepNext/>
        <w:keepLines/>
        <w:jc w:val="both"/>
        <w:rPr>
          <w:rFonts w:asciiTheme="majorHAnsi" w:hAnsiTheme="majorHAnsi" w:cstheme="majorHAnsi"/>
          <w:sz w:val="18"/>
          <w:szCs w:val="18"/>
          <w:lang w:val="en-US"/>
        </w:rPr>
      </w:pPr>
      <w:r w:rsidRPr="00DE4CD2">
        <w:rPr>
          <w:rFonts w:asciiTheme="majorHAnsi" w:hAnsiTheme="majorHAnsi" w:cstheme="majorHAnsi"/>
          <w:sz w:val="18"/>
          <w:szCs w:val="18"/>
          <w:lang w:val="en-US"/>
        </w:rPr>
        <w:t xml:space="preserve">Source: Philippe Breucker, Cristian Martinez, Marc Barbier, INRAE. Presentation at RISIS Week: 2022. </w:t>
      </w:r>
    </w:p>
    <w:p w14:paraId="1FC9FC85" w14:textId="77777777" w:rsidR="003310B6" w:rsidRPr="00DE4CD2" w:rsidRDefault="003310B6" w:rsidP="003310B6">
      <w:pPr>
        <w:jc w:val="both"/>
        <w:rPr>
          <w:rFonts w:asciiTheme="majorHAnsi" w:hAnsiTheme="majorHAnsi" w:cstheme="majorHAnsi"/>
          <w:lang w:val="en-US"/>
        </w:rPr>
      </w:pPr>
    </w:p>
    <w:p w14:paraId="0A9DD112" w14:textId="1EE8BB6C" w:rsidR="003310B6" w:rsidRPr="00DE4CD2" w:rsidRDefault="003310B6" w:rsidP="003310B6">
      <w:pPr>
        <w:spacing w:after="120"/>
        <w:jc w:val="both"/>
        <w:rPr>
          <w:rFonts w:asciiTheme="majorHAnsi" w:eastAsiaTheme="minorHAnsi" w:hAnsiTheme="majorHAnsi" w:cstheme="majorHAnsi"/>
          <w:i/>
          <w:iCs/>
          <w:lang w:val="en-US" w:eastAsia="en-US"/>
        </w:rPr>
      </w:pPr>
      <w:r w:rsidRPr="00DE4CD2">
        <w:rPr>
          <w:rFonts w:asciiTheme="majorHAnsi" w:eastAsiaTheme="minorHAnsi" w:hAnsiTheme="majorHAnsi" w:cstheme="majorHAnsi"/>
          <w:i/>
          <w:iCs/>
          <w:lang w:val="en-US" w:eastAsia="en-US"/>
        </w:rPr>
        <w:t xml:space="preserve">Figure </w:t>
      </w:r>
      <w:r w:rsidR="0063329C" w:rsidRPr="00DE4CD2">
        <w:rPr>
          <w:rFonts w:asciiTheme="majorHAnsi" w:eastAsiaTheme="minorHAnsi" w:hAnsiTheme="majorHAnsi" w:cstheme="majorHAnsi"/>
          <w:i/>
          <w:iCs/>
          <w:lang w:val="en-US" w:eastAsia="en-US"/>
        </w:rPr>
        <w:t>31</w:t>
      </w:r>
      <w:r w:rsidRPr="00DE4CD2">
        <w:rPr>
          <w:rFonts w:asciiTheme="majorHAnsi" w:eastAsiaTheme="minorHAnsi" w:hAnsiTheme="majorHAnsi" w:cstheme="majorHAnsi"/>
          <w:i/>
          <w:iCs/>
          <w:lang w:val="en-US" w:eastAsia="en-US"/>
        </w:rPr>
        <w:t xml:space="preserve"> Co-occurrence of topics: Louvain Clusters of topics (similarity, top 250) and domains (chi2) </w:t>
      </w:r>
    </w:p>
    <w:p w14:paraId="636A5EB4" w14:textId="77777777" w:rsidR="003310B6" w:rsidRPr="00DE4CD2" w:rsidRDefault="003310B6" w:rsidP="003310B6">
      <w:pPr>
        <w:rPr>
          <w:rFonts w:asciiTheme="majorHAnsi" w:hAnsiTheme="majorHAnsi" w:cstheme="majorHAnsi"/>
          <w:lang w:val="en-US"/>
        </w:rPr>
      </w:pPr>
      <w:r w:rsidRPr="00DE4CD2">
        <w:rPr>
          <w:rFonts w:asciiTheme="majorHAnsi" w:hAnsiTheme="majorHAnsi" w:cstheme="majorHAnsi"/>
          <w:noProof/>
          <w:bdr w:val="single" w:sz="4" w:space="0" w:color="auto"/>
        </w:rPr>
        <w:drawing>
          <wp:inline distT="0" distB="0" distL="0" distR="0" wp14:anchorId="29F92BB0" wp14:editId="570DCECF">
            <wp:extent cx="5422032" cy="2607398"/>
            <wp:effectExtent l="57150" t="0" r="64770" b="116840"/>
            <wp:docPr id="1831866653" name="Picture 1831866653" descr="A map of a network&#10;&#10;Description automatically generated">
              <a:extLst xmlns:a="http://schemas.openxmlformats.org/drawingml/2006/main">
                <a:ext uri="{FF2B5EF4-FFF2-40B4-BE49-F238E27FC236}">
                  <a16:creationId xmlns:a16="http://schemas.microsoft.com/office/drawing/2014/main" id="{1288E98E-9DF9-827E-5910-44E0E2F8E5AD}"/>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831866653" name="Picture 1831866653" descr="A map of a network&#10;&#10;Description automatically generated">
                      <a:extLst>
                        <a:ext uri="{FF2B5EF4-FFF2-40B4-BE49-F238E27FC236}">
                          <a16:creationId xmlns:a16="http://schemas.microsoft.com/office/drawing/2014/main" id="{1288E98E-9DF9-827E-5910-44E0E2F8E5AD}"/>
                        </a:ext>
                      </a:extLst>
                    </pic:cNvPr>
                    <pic:cNvPicPr>
                      <a:picLocks noGrp="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429685" cy="2611078"/>
                    </a:xfrm>
                    <a:prstGeom prst="rect">
                      <a:avLst/>
                    </a:prstGeom>
                    <a:noFill/>
                    <a:ln>
                      <a:noFill/>
                    </a:ln>
                    <a:effectLst>
                      <a:outerShdw blurRad="50800" dist="50800" dir="5400000" algn="ctr" rotWithShape="0">
                        <a:srgbClr val="000000">
                          <a:alpha val="48000"/>
                        </a:srgbClr>
                      </a:outerShdw>
                    </a:effectLst>
                  </pic:spPr>
                </pic:pic>
              </a:graphicData>
            </a:graphic>
          </wp:inline>
        </w:drawing>
      </w:r>
    </w:p>
    <w:p w14:paraId="02BFFDF4" w14:textId="77777777" w:rsidR="003310B6" w:rsidRPr="00DE4CD2" w:rsidRDefault="003310B6" w:rsidP="003310B6">
      <w:pPr>
        <w:keepNext/>
        <w:keepLines/>
        <w:jc w:val="both"/>
        <w:rPr>
          <w:rFonts w:asciiTheme="majorHAnsi" w:hAnsiTheme="majorHAnsi" w:cstheme="majorHAnsi"/>
          <w:sz w:val="18"/>
          <w:szCs w:val="18"/>
          <w:lang w:val="en-US"/>
        </w:rPr>
      </w:pPr>
      <w:r w:rsidRPr="00DE4CD2">
        <w:rPr>
          <w:rFonts w:asciiTheme="majorHAnsi" w:hAnsiTheme="majorHAnsi" w:cstheme="majorHAnsi"/>
          <w:sz w:val="18"/>
          <w:szCs w:val="18"/>
          <w:lang w:val="en-US"/>
        </w:rPr>
        <w:lastRenderedPageBreak/>
        <w:t xml:space="preserve">Source: Philippe Breucker, Cristian Martinez, Marc Barbier, INRAE. Presentation at RISIS Week: 2022. </w:t>
      </w:r>
    </w:p>
    <w:p w14:paraId="1A7E35F6" w14:textId="77777777" w:rsidR="003310B6" w:rsidRPr="00DE4CD2" w:rsidRDefault="003310B6" w:rsidP="003310B6">
      <w:pPr>
        <w:jc w:val="both"/>
        <w:rPr>
          <w:rFonts w:asciiTheme="majorHAnsi" w:hAnsiTheme="majorHAnsi" w:cstheme="majorHAnsi"/>
          <w:lang w:val="en-US"/>
        </w:rPr>
      </w:pPr>
    </w:p>
    <w:p w14:paraId="76E8DA4F" w14:textId="77777777" w:rsidR="003310B6" w:rsidRPr="00DE4CD2" w:rsidRDefault="003310B6" w:rsidP="003310B6">
      <w:pPr>
        <w:jc w:val="both"/>
        <w:rPr>
          <w:rFonts w:asciiTheme="majorHAnsi" w:hAnsiTheme="majorHAnsi" w:cstheme="majorHAnsi"/>
          <w:b/>
          <w:bCs/>
          <w:i/>
          <w:iCs/>
          <w:lang w:val="en-US"/>
        </w:rPr>
      </w:pPr>
      <w:r w:rsidRPr="00DE4CD2">
        <w:rPr>
          <w:rFonts w:asciiTheme="majorHAnsi" w:hAnsiTheme="majorHAnsi" w:cstheme="majorHAnsi"/>
          <w:b/>
          <w:bCs/>
          <w:i/>
          <w:iCs/>
          <w:lang w:val="en-US"/>
        </w:rPr>
        <w:t>Labor market placement (Illustration of the true outcomes for Norwegian data)</w:t>
      </w:r>
    </w:p>
    <w:p w14:paraId="0E3CFD90" w14:textId="77777777" w:rsidR="003310B6" w:rsidRPr="00DE4CD2" w:rsidRDefault="003310B6" w:rsidP="003310B6">
      <w:pPr>
        <w:jc w:val="both"/>
        <w:rPr>
          <w:rFonts w:asciiTheme="majorHAnsi" w:hAnsiTheme="majorHAnsi" w:cstheme="majorHAnsi"/>
          <w:lang w:val="en-US"/>
        </w:rPr>
      </w:pPr>
      <w:r w:rsidRPr="00DE4CD2">
        <w:rPr>
          <w:rFonts w:asciiTheme="majorHAnsi" w:hAnsiTheme="majorHAnsi" w:cstheme="majorHAnsi"/>
          <w:lang w:val="en-US"/>
        </w:rPr>
        <w:t xml:space="preserve">These enriched PhD dataset examples illustrate the inherent potential for the DDC approach to augment and enrich analysis of PhD production. But what about the ‘C’, the career dimension of the DDC? This exercise, conducted in relation to question 3 (above) matched the DDC data for Norway across time (2010-2016, with the labor-market outcome observed in 2021 for the individuals from Statistics Norway’s new Recruitment Monitor (2023). These data are further linked to publication but can be used here to understand what a reliable career-outcome monitor could be used to study. The data is pseudonymized and employed here only in an experimental capacity. </w:t>
      </w:r>
    </w:p>
    <w:p w14:paraId="54D837E8" w14:textId="77777777" w:rsidR="003310B6" w:rsidRPr="00DE4CD2" w:rsidRDefault="003310B6" w:rsidP="003310B6">
      <w:pPr>
        <w:jc w:val="both"/>
        <w:rPr>
          <w:rFonts w:asciiTheme="majorHAnsi" w:hAnsiTheme="majorHAnsi" w:cstheme="majorHAnsi"/>
          <w:lang w:val="en-US"/>
        </w:rPr>
      </w:pPr>
    </w:p>
    <w:p w14:paraId="05E59AC6" w14:textId="5A975F60" w:rsidR="003310B6" w:rsidRPr="00DE4CD2" w:rsidRDefault="003310B6" w:rsidP="003310B6">
      <w:pPr>
        <w:rPr>
          <w:rFonts w:asciiTheme="majorHAnsi" w:hAnsiTheme="majorHAnsi" w:cstheme="majorHAnsi"/>
          <w:sz w:val="20"/>
          <w:szCs w:val="20"/>
        </w:rPr>
      </w:pPr>
      <w:r w:rsidRPr="00DE4CD2">
        <w:rPr>
          <w:rFonts w:asciiTheme="majorHAnsi" w:eastAsiaTheme="minorHAnsi" w:hAnsiTheme="majorHAnsi" w:cstheme="majorHAnsi"/>
          <w:i/>
          <w:iCs/>
          <w:lang w:val="en-US" w:eastAsia="en-US"/>
        </w:rPr>
        <w:t xml:space="preserve">Figure </w:t>
      </w:r>
      <w:r w:rsidR="0063329C" w:rsidRPr="00DE4CD2">
        <w:rPr>
          <w:rFonts w:asciiTheme="majorHAnsi" w:eastAsiaTheme="minorHAnsi" w:hAnsiTheme="majorHAnsi" w:cstheme="majorHAnsi"/>
          <w:i/>
          <w:iCs/>
          <w:lang w:val="en-US" w:eastAsia="en-US"/>
        </w:rPr>
        <w:t>32</w:t>
      </w:r>
      <w:r w:rsidRPr="00DE4CD2">
        <w:rPr>
          <w:rFonts w:asciiTheme="majorHAnsi" w:eastAsiaTheme="minorHAnsi" w:hAnsiTheme="majorHAnsi" w:cstheme="majorHAnsi"/>
          <w:i/>
          <w:iCs/>
          <w:lang w:val="en-US" w:eastAsia="en-US"/>
        </w:rPr>
        <w:t>: PhDs from Norwegian HEIs by graduation year (2010-2016), field of science, and sector of employment (2021): NIFU and Statistics Norway.</w:t>
      </w:r>
      <w:r w:rsidRPr="00DE4CD2">
        <w:rPr>
          <w:rFonts w:asciiTheme="majorHAnsi" w:hAnsiTheme="majorHAnsi" w:cstheme="majorHAnsi"/>
          <w:lang w:val="en-US"/>
        </w:rPr>
        <w:t xml:space="preserve"> </w:t>
      </w:r>
      <w:r w:rsidRPr="00DE4CD2">
        <w:rPr>
          <w:rFonts w:asciiTheme="majorHAnsi" w:hAnsiTheme="majorHAnsi" w:cstheme="majorHAnsi"/>
          <w:noProof/>
          <w:bdr w:val="single" w:sz="4" w:space="0" w:color="auto"/>
        </w:rPr>
        <w:drawing>
          <wp:inline distT="0" distB="0" distL="0" distR="0" wp14:anchorId="47C3CD2A" wp14:editId="5A6FBB29">
            <wp:extent cx="6007094" cy="3363401"/>
            <wp:effectExtent l="0" t="0" r="0" b="0"/>
            <wp:docPr id="643291057" name="Picture 643291057">
              <a:extLst xmlns:a="http://schemas.openxmlformats.org/drawingml/2006/main">
                <a:ext uri="{FF2B5EF4-FFF2-40B4-BE49-F238E27FC236}">
                  <a16:creationId xmlns:a16="http://schemas.microsoft.com/office/drawing/2014/main" id="{E094BE1E-1130-569E-6C53-C11957243006}"/>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0" name="Content Placeholder 19">
                      <a:extLst>
                        <a:ext uri="{FF2B5EF4-FFF2-40B4-BE49-F238E27FC236}">
                          <a16:creationId xmlns:a16="http://schemas.microsoft.com/office/drawing/2014/main" id="{E094BE1E-1130-569E-6C53-C11957243006}"/>
                        </a:ext>
                      </a:extLst>
                    </pic:cNvPr>
                    <pic:cNvPicPr>
                      <a:picLocks noGrp="1" noChangeAspect="1"/>
                    </pic:cNvPicPr>
                  </pic:nvPicPr>
                  <pic:blipFill>
                    <a:blip r:embed="rId70"/>
                    <a:stretch>
                      <a:fillRect/>
                    </a:stretch>
                  </pic:blipFill>
                  <pic:spPr>
                    <a:xfrm>
                      <a:off x="0" y="0"/>
                      <a:ext cx="6033934" cy="3378429"/>
                    </a:xfrm>
                    <a:prstGeom prst="rect">
                      <a:avLst/>
                    </a:prstGeom>
                  </pic:spPr>
                </pic:pic>
              </a:graphicData>
            </a:graphic>
          </wp:inline>
        </w:drawing>
      </w:r>
    </w:p>
    <w:p w14:paraId="546F4916" w14:textId="77777777" w:rsidR="003310B6" w:rsidRPr="00DE4CD2" w:rsidRDefault="003310B6" w:rsidP="003310B6">
      <w:pPr>
        <w:jc w:val="both"/>
        <w:rPr>
          <w:rFonts w:asciiTheme="majorHAnsi" w:hAnsiTheme="majorHAnsi" w:cstheme="majorHAnsi"/>
          <w:sz w:val="20"/>
          <w:szCs w:val="20"/>
        </w:rPr>
      </w:pPr>
      <w:r w:rsidRPr="00DE4CD2">
        <w:rPr>
          <w:rFonts w:asciiTheme="majorHAnsi" w:hAnsiTheme="majorHAnsi" w:cstheme="majorHAnsi"/>
          <w:sz w:val="20"/>
          <w:szCs w:val="20"/>
        </w:rPr>
        <w:t xml:space="preserve">Source: Iversen, Eric J. &amp; Zach </w:t>
      </w:r>
      <w:proofErr w:type="spellStart"/>
      <w:r w:rsidRPr="00DE4CD2">
        <w:rPr>
          <w:rFonts w:asciiTheme="majorHAnsi" w:hAnsiTheme="majorHAnsi" w:cstheme="majorHAnsi"/>
          <w:sz w:val="20"/>
          <w:szCs w:val="20"/>
        </w:rPr>
        <w:t>Andreadakis</w:t>
      </w:r>
      <w:proofErr w:type="spellEnd"/>
      <w:r w:rsidRPr="00DE4CD2">
        <w:rPr>
          <w:rFonts w:asciiTheme="majorHAnsi" w:hAnsiTheme="majorHAnsi" w:cstheme="majorHAnsi"/>
          <w:sz w:val="20"/>
          <w:szCs w:val="20"/>
        </w:rPr>
        <w:t xml:space="preserve"> (2023) and the Policy Seminar in Brussels. </w:t>
      </w:r>
    </w:p>
    <w:p w14:paraId="4C53C2CF" w14:textId="77777777" w:rsidR="003310B6" w:rsidRPr="00DE4CD2" w:rsidRDefault="003310B6" w:rsidP="003310B6">
      <w:pPr>
        <w:jc w:val="both"/>
        <w:rPr>
          <w:rFonts w:asciiTheme="majorHAnsi" w:hAnsiTheme="majorHAnsi" w:cstheme="majorHAnsi"/>
          <w:sz w:val="20"/>
          <w:szCs w:val="20"/>
        </w:rPr>
      </w:pPr>
    </w:p>
    <w:p w14:paraId="446555AB" w14:textId="77777777" w:rsidR="003310B6" w:rsidRPr="00DE4CD2" w:rsidRDefault="003310B6" w:rsidP="003310B6">
      <w:pPr>
        <w:jc w:val="both"/>
        <w:rPr>
          <w:rFonts w:asciiTheme="majorHAnsi" w:hAnsiTheme="majorHAnsi" w:cstheme="majorHAnsi"/>
          <w:lang w:val="en-US"/>
        </w:rPr>
      </w:pPr>
      <w:r w:rsidRPr="00DE4CD2">
        <w:rPr>
          <w:rFonts w:asciiTheme="majorHAnsi" w:hAnsiTheme="majorHAnsi" w:cstheme="majorHAnsi"/>
          <w:lang w:val="en-US"/>
        </w:rPr>
        <w:t xml:space="preserve">Based on Iversen &amp; </w:t>
      </w:r>
      <w:proofErr w:type="spellStart"/>
      <w:r w:rsidRPr="00DE4CD2">
        <w:rPr>
          <w:rFonts w:asciiTheme="majorHAnsi" w:hAnsiTheme="majorHAnsi" w:cstheme="majorHAnsi"/>
          <w:lang w:val="en-US"/>
        </w:rPr>
        <w:t>Andreadakis</w:t>
      </w:r>
      <w:proofErr w:type="spellEnd"/>
      <w:r w:rsidRPr="00DE4CD2">
        <w:rPr>
          <w:rFonts w:asciiTheme="majorHAnsi" w:hAnsiTheme="majorHAnsi" w:cstheme="majorHAnsi"/>
          <w:lang w:val="en-US"/>
        </w:rPr>
        <w:t xml:space="preserve"> (2023), the figure partitions the labor market outcomes into three. The distribution of PhDs who were observed in 2021 in one of three research sectors (academia, research institutes, a/o hospitals) are contrasted with PhDs who move into other sectors of the Norwegian economy. The columns show trends and relative rather than absolute numbers.  The subpopulation (mainly foreign) that exists the Norwegian labor market forms the third group. </w:t>
      </w:r>
    </w:p>
    <w:p w14:paraId="7E944C1F" w14:textId="77777777" w:rsidR="003310B6" w:rsidRPr="00DE4CD2" w:rsidRDefault="003310B6" w:rsidP="003310B6">
      <w:pPr>
        <w:jc w:val="both"/>
        <w:rPr>
          <w:rFonts w:asciiTheme="majorHAnsi" w:hAnsiTheme="majorHAnsi" w:cstheme="majorHAnsi"/>
          <w:lang w:val="en-US"/>
        </w:rPr>
      </w:pPr>
    </w:p>
    <w:p w14:paraId="1A393AA6" w14:textId="26D7F707" w:rsidR="003310B6" w:rsidRPr="00DE4CD2" w:rsidRDefault="003310B6" w:rsidP="003310B6">
      <w:pPr>
        <w:jc w:val="both"/>
        <w:rPr>
          <w:rFonts w:asciiTheme="majorHAnsi" w:hAnsiTheme="majorHAnsi" w:cstheme="majorHAnsi"/>
          <w:lang w:val="en-US"/>
        </w:rPr>
      </w:pPr>
      <w:r w:rsidRPr="00DE4CD2">
        <w:rPr>
          <w:rFonts w:asciiTheme="majorHAnsi" w:hAnsiTheme="majorHAnsi" w:cstheme="majorHAnsi"/>
          <w:lang w:val="en-US"/>
        </w:rPr>
        <w:t xml:space="preserve">Excluding exit from the Norwegian labor market, the Norwegian case illustrate the general trend that PhD production increased strongly in the period. Normalizing per year, we find that the shares going into ‘academic’ vs non-academic sectors remains relatively stable. In line with other studies (but with some differences), this set up illustrates that 2/3 of PhDs end up in ‘Research Sectors’ including HEIs, PRIs and Hospitals. The academic sector accounts for a third. A similar share (1/3) of PhDs graduated in Norway end up in private or government sectors (excluding hospitals), when exit is not included. </w:t>
      </w:r>
    </w:p>
    <w:p w14:paraId="462C9FBC" w14:textId="38F8C11F" w:rsidR="0063329C" w:rsidRPr="00DE4CD2" w:rsidRDefault="0063329C" w:rsidP="003310B6">
      <w:pPr>
        <w:jc w:val="both"/>
        <w:rPr>
          <w:rFonts w:asciiTheme="majorHAnsi" w:hAnsiTheme="majorHAnsi" w:cstheme="majorHAnsi"/>
          <w:lang w:val="en-US"/>
        </w:rPr>
      </w:pPr>
    </w:p>
    <w:p w14:paraId="014C1A80" w14:textId="10EFCEC4" w:rsidR="0063329C" w:rsidRPr="00DE4CD2" w:rsidRDefault="00BE5CE4" w:rsidP="0063329C">
      <w:pPr>
        <w:jc w:val="both"/>
        <w:rPr>
          <w:rFonts w:asciiTheme="majorHAnsi" w:hAnsiTheme="majorHAnsi" w:cstheme="majorHAnsi"/>
          <w:b/>
          <w:bCs/>
          <w:lang w:val="en-US"/>
        </w:rPr>
      </w:pPr>
      <w:r w:rsidRPr="00DE4CD2">
        <w:rPr>
          <w:rFonts w:asciiTheme="majorHAnsi" w:hAnsiTheme="majorHAnsi" w:cstheme="majorHAnsi"/>
          <w:b/>
          <w:bCs/>
          <w:lang w:val="en-US"/>
        </w:rPr>
        <w:lastRenderedPageBreak/>
        <w:t>Some c</w:t>
      </w:r>
      <w:r w:rsidR="0063329C" w:rsidRPr="00DE4CD2">
        <w:rPr>
          <w:rFonts w:asciiTheme="majorHAnsi" w:hAnsiTheme="majorHAnsi" w:cstheme="majorHAnsi"/>
          <w:b/>
          <w:bCs/>
          <w:lang w:val="en-US"/>
        </w:rPr>
        <w:t xml:space="preserve">oncluding remarks </w:t>
      </w:r>
      <w:r w:rsidRPr="00DE4CD2">
        <w:rPr>
          <w:rFonts w:asciiTheme="majorHAnsi" w:hAnsiTheme="majorHAnsi" w:cstheme="majorHAnsi"/>
          <w:b/>
          <w:bCs/>
          <w:lang w:val="en-US"/>
        </w:rPr>
        <w:t>on DDC</w:t>
      </w:r>
    </w:p>
    <w:p w14:paraId="28D103C9" w14:textId="6BB7135A" w:rsidR="0063329C" w:rsidRPr="00DE4CD2" w:rsidRDefault="0063329C" w:rsidP="0063329C">
      <w:pPr>
        <w:jc w:val="both"/>
        <w:rPr>
          <w:rFonts w:asciiTheme="majorHAnsi" w:hAnsiTheme="majorHAnsi" w:cstheme="majorHAnsi"/>
          <w:lang w:val="en-US"/>
        </w:rPr>
      </w:pPr>
      <w:r w:rsidRPr="00DE4CD2">
        <w:rPr>
          <w:rFonts w:asciiTheme="majorHAnsi" w:hAnsiTheme="majorHAnsi" w:cstheme="majorHAnsi"/>
          <w:lang w:val="en-US"/>
        </w:rPr>
        <w:t xml:space="preserve">As described above, DDC is an experimental dataset which exists today as a pilot. Consisting of two cohorts for six countries, the experimental point of the pilot has been to explore a set of general issues (e.g. about GDPR compliance) and to test a set of specific empirical questions. The results are promising. The systematic activities build the proof-of-concept case for dissertation-centric datasets. We show how, if scaled-up, the DDC could provide a highly useful enriched PhD Production dataset, on the one hand, combined with a common (estimated) indicator to suggest subsequent labor-market placement.  </w:t>
      </w:r>
    </w:p>
    <w:p w14:paraId="758B10C1" w14:textId="77777777" w:rsidR="0063329C" w:rsidRPr="00DE4CD2" w:rsidRDefault="0063329C" w:rsidP="0063329C">
      <w:pPr>
        <w:jc w:val="both"/>
        <w:rPr>
          <w:rFonts w:asciiTheme="majorHAnsi" w:hAnsiTheme="majorHAnsi" w:cstheme="majorHAnsi"/>
          <w:lang w:val="en-US"/>
        </w:rPr>
      </w:pPr>
    </w:p>
    <w:p w14:paraId="730EBB0A" w14:textId="3A47E693" w:rsidR="0063329C" w:rsidRPr="00DE4CD2" w:rsidRDefault="0063329C" w:rsidP="0063329C">
      <w:pPr>
        <w:jc w:val="both"/>
        <w:rPr>
          <w:rFonts w:asciiTheme="majorHAnsi" w:hAnsiTheme="majorHAnsi" w:cstheme="majorHAnsi"/>
          <w:lang w:val="en-US"/>
        </w:rPr>
      </w:pPr>
      <w:r w:rsidRPr="00DE4CD2">
        <w:rPr>
          <w:rFonts w:asciiTheme="majorHAnsi" w:hAnsiTheme="majorHAnsi" w:cstheme="majorHAnsi"/>
          <w:lang w:val="en-US"/>
        </w:rPr>
        <w:t xml:space="preserve">The increase in the number of trained PhDs in our economies. There are pressing issues about potential risks of a “PhD glut” and implications for the sustainability and relevance of doctoral training. Questions include where the numbers of PhDs end up if they don’t go into Academia; and what effect this has on the individual's career, on the public policy's commitment to underwrite the training PhDs, and, not least, on the generation and spread of knowledge. </w:t>
      </w:r>
    </w:p>
    <w:p w14:paraId="172A6373" w14:textId="77777777" w:rsidR="0063329C" w:rsidRPr="00DE4CD2" w:rsidRDefault="0063329C" w:rsidP="0063329C">
      <w:pPr>
        <w:jc w:val="both"/>
        <w:rPr>
          <w:rFonts w:asciiTheme="majorHAnsi" w:hAnsiTheme="majorHAnsi" w:cstheme="majorHAnsi"/>
          <w:lang w:val="en-US"/>
        </w:rPr>
      </w:pPr>
    </w:p>
    <w:p w14:paraId="5035ED25" w14:textId="77777777" w:rsidR="0063329C" w:rsidRPr="00DE4CD2" w:rsidRDefault="0063329C" w:rsidP="0063329C">
      <w:pPr>
        <w:jc w:val="both"/>
        <w:rPr>
          <w:rFonts w:asciiTheme="majorHAnsi" w:hAnsiTheme="majorHAnsi" w:cstheme="majorHAnsi"/>
          <w:lang w:val="en-US"/>
        </w:rPr>
      </w:pPr>
      <w:r w:rsidRPr="00DE4CD2">
        <w:rPr>
          <w:rFonts w:asciiTheme="majorHAnsi" w:hAnsiTheme="majorHAnsi" w:cstheme="majorHAnsi"/>
          <w:lang w:val="en-US"/>
        </w:rPr>
        <w:t xml:space="preserve">Attempts to link PhD Production with research careers have faced major challenges, especially when we move away from individual countries and individual years.  Current work planned for the upcoming years will attempt to re-address these challenges (see OECD/EU’s </w:t>
      </w:r>
      <w:proofErr w:type="spellStart"/>
      <w:r w:rsidRPr="00DE4CD2">
        <w:rPr>
          <w:rFonts w:asciiTheme="majorHAnsi" w:hAnsiTheme="majorHAnsi" w:cstheme="majorHAnsi"/>
          <w:lang w:val="en-US"/>
        </w:rPr>
        <w:t>ReICO</w:t>
      </w:r>
      <w:proofErr w:type="spellEnd"/>
      <w:r w:rsidRPr="00DE4CD2">
        <w:rPr>
          <w:rFonts w:asciiTheme="majorHAnsi" w:hAnsiTheme="majorHAnsi" w:cstheme="majorHAnsi"/>
          <w:lang w:val="en-US"/>
        </w:rPr>
        <w:t xml:space="preserve"> </w:t>
      </w:r>
      <w:proofErr w:type="spellStart"/>
      <w:r w:rsidRPr="00DE4CD2">
        <w:rPr>
          <w:rFonts w:asciiTheme="majorHAnsi" w:hAnsiTheme="majorHAnsi" w:cstheme="majorHAnsi"/>
          <w:lang w:val="en-US"/>
        </w:rPr>
        <w:t>Programme</w:t>
      </w:r>
      <w:proofErr w:type="spellEnd"/>
      <w:r w:rsidRPr="00DE4CD2">
        <w:rPr>
          <w:rFonts w:asciiTheme="majorHAnsi" w:hAnsiTheme="majorHAnsi" w:cstheme="majorHAnsi"/>
          <w:lang w:val="en-US"/>
        </w:rPr>
        <w:t xml:space="preserve">). The DDC Pilot study can provide important input to these efforts, as demonstrated in this work so far. One benefit of bringing PhD Production data with indicators of further career together across countries and time, is to bring science (education) policy together with innovation policy around robust and granular and up-to-date information sources. This could significantly improve policy making both within countries and between them.  </w:t>
      </w:r>
    </w:p>
    <w:p w14:paraId="3FD79163" w14:textId="77777777" w:rsidR="0063329C" w:rsidRPr="00DE4CD2" w:rsidRDefault="0063329C" w:rsidP="0063329C">
      <w:pPr>
        <w:jc w:val="both"/>
        <w:rPr>
          <w:rFonts w:asciiTheme="majorHAnsi" w:hAnsiTheme="majorHAnsi" w:cstheme="majorHAnsi"/>
          <w:lang w:val="en-US"/>
        </w:rPr>
      </w:pPr>
    </w:p>
    <w:p w14:paraId="4BF160D9" w14:textId="77777777" w:rsidR="0063329C" w:rsidRPr="00DE4CD2" w:rsidRDefault="0063329C" w:rsidP="0063329C">
      <w:pPr>
        <w:jc w:val="both"/>
        <w:rPr>
          <w:rFonts w:asciiTheme="majorHAnsi" w:hAnsiTheme="majorHAnsi" w:cstheme="majorHAnsi"/>
          <w:lang w:val="en-US"/>
        </w:rPr>
      </w:pPr>
      <w:r w:rsidRPr="00DE4CD2">
        <w:rPr>
          <w:rFonts w:asciiTheme="majorHAnsi" w:hAnsiTheme="majorHAnsi" w:cstheme="majorHAnsi"/>
          <w:lang w:val="en-US"/>
        </w:rPr>
        <w:t xml:space="preserve">More work is needed. The first involves getting the policymakers, who are the users of the dataset, to sit down and decide whether the output from the dataset is GDPR compliant. There is all reason to think that it should be. However, recognition by the EU that the output of this Infrastructure data in fact complies with the rules it set for on GDPR would have a number of positive effects. It would encourage the university sector more confident in making PhD metadata available in useable form; and it would encourage researchers, concerned with potential problems, more likely to use the data.   </w:t>
      </w:r>
    </w:p>
    <w:p w14:paraId="061D5587" w14:textId="77777777" w:rsidR="0063329C" w:rsidRPr="00DE4CD2" w:rsidRDefault="0063329C" w:rsidP="0063329C">
      <w:pPr>
        <w:jc w:val="both"/>
        <w:rPr>
          <w:rFonts w:asciiTheme="majorHAnsi" w:hAnsiTheme="majorHAnsi" w:cstheme="majorHAnsi"/>
          <w:lang w:val="en-US"/>
        </w:rPr>
      </w:pPr>
    </w:p>
    <w:p w14:paraId="3A15833A" w14:textId="2E66D6B7" w:rsidR="0063329C" w:rsidRPr="00DE4CD2" w:rsidRDefault="0063329C" w:rsidP="0063329C">
      <w:pPr>
        <w:jc w:val="both"/>
        <w:rPr>
          <w:rFonts w:asciiTheme="majorHAnsi" w:hAnsiTheme="majorHAnsi" w:cstheme="majorHAnsi"/>
          <w:lang w:val="en-US"/>
        </w:rPr>
      </w:pPr>
      <w:r w:rsidRPr="00DE4CD2">
        <w:rPr>
          <w:rFonts w:asciiTheme="majorHAnsi" w:hAnsiTheme="majorHAnsi" w:cstheme="majorHAnsi"/>
          <w:lang w:val="en-US"/>
        </w:rPr>
        <w:t xml:space="preserve">A second challenge remains with DDC. More and better data are needed. A main consideration is to obtain data from different jurisdictions that can be used to train the models and allow us to infer out-of-sample predictions more confidentially in different settings. Immediate plans are to extend the data to Italy (where employment data can be available) and France. DDC would then encompass the large economies in Europe in addition to a set of smaller ones.      </w:t>
      </w:r>
    </w:p>
    <w:p w14:paraId="241FD429" w14:textId="77777777" w:rsidR="00FF0B92" w:rsidRPr="00DE4CD2" w:rsidRDefault="00FF0B92" w:rsidP="00FF0B92">
      <w:pPr>
        <w:rPr>
          <w:rFonts w:asciiTheme="majorHAnsi" w:hAnsiTheme="majorHAnsi" w:cstheme="majorHAnsi"/>
          <w:lang w:val="en-US"/>
        </w:rPr>
      </w:pPr>
    </w:p>
    <w:p w14:paraId="18E35A52" w14:textId="2EA530DC" w:rsidR="005B3E1A" w:rsidRPr="00DE4CD2" w:rsidRDefault="005B3E1A" w:rsidP="005B3E1A">
      <w:pPr>
        <w:pStyle w:val="berschrift3"/>
        <w:rPr>
          <w:rFonts w:asciiTheme="majorHAnsi" w:hAnsiTheme="majorHAnsi" w:cstheme="majorHAnsi"/>
          <w:color w:val="auto"/>
        </w:rPr>
      </w:pPr>
      <w:bookmarkStart w:id="28" w:name="_Toc153536134"/>
      <w:proofErr w:type="spellStart"/>
      <w:r w:rsidRPr="00DE4CD2">
        <w:rPr>
          <w:rFonts w:asciiTheme="majorHAnsi" w:hAnsiTheme="majorHAnsi" w:cstheme="majorHAnsi"/>
          <w:color w:val="auto"/>
        </w:rPr>
        <w:t>OrgReg</w:t>
      </w:r>
      <w:bookmarkEnd w:id="28"/>
      <w:proofErr w:type="spellEnd"/>
    </w:p>
    <w:p w14:paraId="15E6735A" w14:textId="12503E3E" w:rsidR="005B3E1A" w:rsidRPr="00DE4CD2" w:rsidRDefault="005B3E1A" w:rsidP="005B3E1A">
      <w:pPr>
        <w:rPr>
          <w:rFonts w:asciiTheme="majorHAnsi" w:hAnsiTheme="majorHAnsi" w:cstheme="majorHAnsi"/>
        </w:rPr>
      </w:pPr>
    </w:p>
    <w:p w14:paraId="5B5CD69A" w14:textId="77777777" w:rsidR="009442D4" w:rsidRPr="00DE4CD2" w:rsidRDefault="009442D4" w:rsidP="009442D4">
      <w:pPr>
        <w:pStyle w:val="Standard1"/>
        <w:rPr>
          <w:rFonts w:asciiTheme="majorHAnsi" w:hAnsiTheme="majorHAnsi" w:cstheme="majorHAnsi"/>
        </w:rPr>
      </w:pPr>
      <w:r w:rsidRPr="00DE4CD2">
        <w:rPr>
          <w:rFonts w:asciiTheme="majorHAnsi" w:hAnsiTheme="majorHAnsi" w:cstheme="majorHAnsi"/>
        </w:rPr>
        <w:t>The register of research and higher education organizations (</w:t>
      </w:r>
      <w:proofErr w:type="spellStart"/>
      <w:r w:rsidRPr="00DE4CD2">
        <w:rPr>
          <w:rFonts w:asciiTheme="majorHAnsi" w:hAnsiTheme="majorHAnsi" w:cstheme="majorHAnsi"/>
        </w:rPr>
        <w:t>OrgReg</w:t>
      </w:r>
      <w:proofErr w:type="spellEnd"/>
      <w:r w:rsidRPr="00DE4CD2">
        <w:rPr>
          <w:rFonts w:asciiTheme="majorHAnsi" w:hAnsiTheme="majorHAnsi" w:cstheme="majorHAnsi"/>
        </w:rPr>
        <w:t xml:space="preserve">) is a central facility within the Research Infrastructure for Science and Innovation Studies (RISIS) which aims at uniquely identifying and tracking over time some types of organizations involved in the research and higher education system (higher education institutions, public research organizations, research hospitals, public administration entities and private non-profit organizations;  </w:t>
      </w:r>
      <w:sdt>
        <w:sdtPr>
          <w:rPr>
            <w:rFonts w:asciiTheme="majorHAnsi" w:hAnsiTheme="majorHAnsi" w:cstheme="majorHAnsi"/>
            <w:highlight w:val="white"/>
          </w:rPr>
          <w:alias w:val="Citation"/>
          <w:tag w:val="{&quot;referencesIds&quot;:[&quot;doc:60756ab78f082a40bf5a2906&quot;],&quot;referencesOptions&quot;:{&quot;doc:60756ab78f082a40bf5a2906&quot;:{&quot;author&quot;:true,&quot;year&quot;:true,&quot;pageReplace&quot;:&quot;&quot;,&quot;prefix&quot;:&quot;&quot;,&quot;suffix&quot;:&quot;&quot;}},&quot;hasBrokenReferences&quot;:false,&quot;hasManualEdits&quot;:false,&quot;citationType&quot;:&quot;inline&quot;,&quot;id&quot;:617033413,&quot;citationText&quot;:&quot;&lt;span style=\&quot;font-family:Cambria;font-size:16px;color:#000000\&quot;&gt;Lepori, Benedetto, 2020&lt;/span&gt;&quot;}"/>
          <w:id w:val="617033413"/>
          <w:placeholder>
            <w:docPart w:val="4C4555691C5C4B31A62FDB65335D0487"/>
          </w:placeholder>
        </w:sdtPr>
        <w:sdtEndPr/>
        <w:sdtContent>
          <w:r w:rsidRPr="00DE4CD2">
            <w:rPr>
              <w:rFonts w:asciiTheme="majorHAnsi" w:eastAsia="Times New Roman" w:hAnsiTheme="majorHAnsi" w:cstheme="majorHAnsi"/>
            </w:rPr>
            <w:t>Lepori, Benedetto, 2020</w:t>
          </w:r>
        </w:sdtContent>
      </w:sdt>
      <w:r w:rsidRPr="00DE4CD2">
        <w:rPr>
          <w:rFonts w:asciiTheme="majorHAnsi" w:hAnsiTheme="majorHAnsi" w:cstheme="majorHAnsi"/>
        </w:rPr>
        <w:t xml:space="preserve">). Therefore, the register covers “public” and “semi-public” organizations engaged in R&amp;D and higher education, broadly corresponding to the Government, Higher Education and Private Non-Profit sector as </w:t>
      </w:r>
      <w:r w:rsidRPr="00DE4CD2">
        <w:rPr>
          <w:rFonts w:asciiTheme="majorHAnsi" w:hAnsiTheme="majorHAnsi" w:cstheme="majorHAnsi"/>
        </w:rPr>
        <w:lastRenderedPageBreak/>
        <w:t>identified by the Frascati manual, 2015 edition (FM 2015). Additionally, the register includes public Research Funding Organizations and Charities providing project funds to R&amp;D performing organizations. The register excludes business enterprises oriented to the market (business enterprise sector of the FM), which will be dealt in a separate register, but includes public-private partnerships performing R&amp;D, like some Research Technology Organizations (RTOs).</w:t>
      </w:r>
    </w:p>
    <w:p w14:paraId="13A1B7B3" w14:textId="77777777" w:rsidR="009442D4" w:rsidRPr="00DE4CD2" w:rsidRDefault="009442D4" w:rsidP="009442D4">
      <w:pPr>
        <w:pStyle w:val="Standard1"/>
        <w:rPr>
          <w:rFonts w:asciiTheme="majorHAnsi" w:hAnsiTheme="majorHAnsi" w:cstheme="majorHAnsi"/>
        </w:rPr>
      </w:pPr>
    </w:p>
    <w:p w14:paraId="3E111B21" w14:textId="77777777" w:rsidR="009442D4" w:rsidRPr="00DE4CD2" w:rsidRDefault="009442D4" w:rsidP="009442D4">
      <w:pPr>
        <w:pStyle w:val="Standard1"/>
        <w:rPr>
          <w:rFonts w:asciiTheme="majorHAnsi" w:hAnsiTheme="majorHAnsi" w:cstheme="majorHAnsi"/>
        </w:rPr>
      </w:pPr>
      <w:proofErr w:type="spellStart"/>
      <w:r w:rsidRPr="00DE4CD2">
        <w:rPr>
          <w:rFonts w:asciiTheme="majorHAnsi" w:hAnsiTheme="majorHAnsi" w:cstheme="majorHAnsi"/>
        </w:rPr>
        <w:t>OrgReg</w:t>
      </w:r>
      <w:proofErr w:type="spellEnd"/>
      <w:r w:rsidRPr="00DE4CD2">
        <w:rPr>
          <w:rFonts w:asciiTheme="majorHAnsi" w:hAnsiTheme="majorHAnsi" w:cstheme="majorHAnsi"/>
        </w:rPr>
        <w:t xml:space="preserve"> has a fundamental role in RISIS and beyond as it provides stable identifiers to be used in different datasets within and outside RISIS ,including EUPRO, RISIS patent and RISIS publications. Moreover, it provides the identifiers used in the ETER database to identify Higher Education Institutions, and it includes basic information such as foundation years and geography. The register documents history, linkages and geography and provides matching with publications, patents and EU-FP projects. It is unique in its coverage of demographics changes in European public research such as mergers ( </w:t>
      </w:r>
      <w:sdt>
        <w:sdtPr>
          <w:rPr>
            <w:rFonts w:asciiTheme="majorHAnsi" w:hAnsiTheme="majorHAnsi" w:cstheme="majorHAnsi"/>
            <w:highlight w:val="white"/>
          </w:rPr>
          <w:alias w:val="Citation"/>
          <w:tag w:val="{&quot;referencesIds&quot;:[&quot;doc:60756e578f08849269717437&quot;],&quot;referencesOptions&quot;:{&quot;doc:60756e578f08849269717437&quot;:{&quot;author&quot;:true,&quot;year&quot;:true,&quot;pageReplace&quot;:&quot;&quot;,&quot;prefix&quot;:&quot;&quot;,&quot;suffix&quot;:&quot;&quot;}},&quot;hasBrokenReferences&quot;:false,&quot;hasManualEdits&quot;:false,&quot;citationType&quot;:&quot;inline&quot;,&quot;id&quot;:-382030011,&quot;citationText&quot;:&quot;&lt;span style=\&quot;font-family:Cambria;font-size:16px;color:#000000\&quot;&gt;Heller-Schuh et al., 2020&lt;/span&gt;&quot;}"/>
          <w:id w:val="-382030011"/>
          <w:placeholder>
            <w:docPart w:val="62662A0EF1EA42EA8D82ABAC8D23B939"/>
          </w:placeholder>
        </w:sdtPr>
        <w:sdtEndPr/>
        <w:sdtContent>
          <w:r w:rsidRPr="00DE4CD2">
            <w:rPr>
              <w:rFonts w:asciiTheme="majorHAnsi" w:eastAsia="Times New Roman" w:hAnsiTheme="majorHAnsi" w:cstheme="majorHAnsi"/>
            </w:rPr>
            <w:t>Heller-Schuh et al., 2020</w:t>
          </w:r>
        </w:sdtContent>
      </w:sdt>
      <w:r w:rsidRPr="00DE4CD2">
        <w:rPr>
          <w:rFonts w:asciiTheme="majorHAnsi" w:hAnsiTheme="majorHAnsi" w:cstheme="majorHAnsi"/>
        </w:rPr>
        <w:t xml:space="preserve">). The register enables to identify research organizations, based on their organizational structures, and provides matching with core identifiers and databases in the community. It documents demography and official name changes. An important feature of </w:t>
      </w:r>
      <w:proofErr w:type="spellStart"/>
      <w:r w:rsidRPr="00DE4CD2">
        <w:rPr>
          <w:rFonts w:asciiTheme="majorHAnsi" w:hAnsiTheme="majorHAnsi" w:cstheme="majorHAnsi"/>
        </w:rPr>
        <w:t>OrgReg</w:t>
      </w:r>
      <w:proofErr w:type="spellEnd"/>
      <w:r w:rsidRPr="00DE4CD2">
        <w:rPr>
          <w:rFonts w:asciiTheme="majorHAnsi" w:hAnsiTheme="majorHAnsi" w:cstheme="majorHAnsi"/>
        </w:rPr>
        <w:t xml:space="preserve"> is to provide matching with widely used identifiers in other settings, particularly the Research Organizations Registry identifiers (ROR; </w:t>
      </w:r>
      <w:hyperlink r:id="rId71" w:history="1">
        <w:r w:rsidRPr="00DE4CD2">
          <w:rPr>
            <w:rStyle w:val="Hyperlink"/>
            <w:rFonts w:asciiTheme="majorHAnsi" w:hAnsiTheme="majorHAnsi" w:cstheme="majorHAnsi"/>
            <w:color w:val="auto"/>
          </w:rPr>
          <w:t>https://ror.org/</w:t>
        </w:r>
      </w:hyperlink>
      <w:r w:rsidRPr="00DE4CD2">
        <w:rPr>
          <w:rFonts w:asciiTheme="majorHAnsi" w:hAnsiTheme="majorHAnsi" w:cstheme="majorHAnsi"/>
        </w:rPr>
        <w:t>), and, as of HEIs, identifiers from the World Higher Education Database, DEQAR, Erasmus Charter codes.</w:t>
      </w:r>
    </w:p>
    <w:p w14:paraId="4E84AF67" w14:textId="77777777" w:rsidR="006E27F4" w:rsidRPr="00DE4CD2" w:rsidRDefault="006E27F4" w:rsidP="009442D4">
      <w:pPr>
        <w:pStyle w:val="Standard1"/>
        <w:rPr>
          <w:rFonts w:asciiTheme="majorHAnsi" w:hAnsiTheme="majorHAnsi" w:cstheme="majorHAnsi"/>
        </w:rPr>
      </w:pPr>
    </w:p>
    <w:p w14:paraId="4F80776F" w14:textId="29592AF4" w:rsidR="009442D4" w:rsidRPr="00DE4CD2" w:rsidRDefault="009442D4" w:rsidP="009442D4">
      <w:pPr>
        <w:spacing w:after="120"/>
        <w:jc w:val="both"/>
        <w:rPr>
          <w:rFonts w:asciiTheme="majorHAnsi" w:eastAsiaTheme="minorHAnsi" w:hAnsiTheme="majorHAnsi" w:cstheme="majorHAnsi"/>
          <w:i/>
          <w:iCs/>
          <w:lang w:val="en-US" w:eastAsia="en-US"/>
        </w:rPr>
      </w:pPr>
      <w:r w:rsidRPr="00DE4CD2">
        <w:rPr>
          <w:rFonts w:asciiTheme="majorHAnsi" w:eastAsiaTheme="minorHAnsi" w:hAnsiTheme="majorHAnsi" w:cstheme="majorHAnsi"/>
          <w:i/>
          <w:iCs/>
          <w:lang w:val="en-US" w:eastAsia="en-US"/>
        </w:rPr>
        <w:t>Figure</w:t>
      </w:r>
      <w:r w:rsidR="006E27F4" w:rsidRPr="00DE4CD2">
        <w:rPr>
          <w:rFonts w:asciiTheme="majorHAnsi" w:eastAsiaTheme="minorHAnsi" w:hAnsiTheme="majorHAnsi" w:cstheme="majorHAnsi"/>
          <w:i/>
          <w:iCs/>
          <w:lang w:val="en-US" w:eastAsia="en-US"/>
        </w:rPr>
        <w:t xml:space="preserve"> </w:t>
      </w:r>
      <w:r w:rsidR="00FE6AC1" w:rsidRPr="00DE4CD2">
        <w:rPr>
          <w:rFonts w:asciiTheme="majorHAnsi" w:eastAsiaTheme="minorHAnsi" w:hAnsiTheme="majorHAnsi" w:cstheme="majorHAnsi"/>
          <w:i/>
          <w:iCs/>
          <w:lang w:val="en-US" w:eastAsia="en-US"/>
        </w:rPr>
        <w:t>33</w:t>
      </w:r>
      <w:r w:rsidRPr="00DE4CD2">
        <w:rPr>
          <w:rFonts w:asciiTheme="majorHAnsi" w:eastAsiaTheme="minorHAnsi" w:hAnsiTheme="majorHAnsi" w:cstheme="majorHAnsi"/>
          <w:i/>
          <w:iCs/>
          <w:lang w:val="en-US" w:eastAsia="en-US"/>
        </w:rPr>
        <w:t xml:space="preserve">. </w:t>
      </w:r>
      <w:proofErr w:type="spellStart"/>
      <w:r w:rsidRPr="00DE4CD2">
        <w:rPr>
          <w:rFonts w:asciiTheme="majorHAnsi" w:eastAsiaTheme="minorHAnsi" w:hAnsiTheme="majorHAnsi" w:cstheme="majorHAnsi"/>
          <w:i/>
          <w:iCs/>
          <w:lang w:val="en-US" w:eastAsia="en-US"/>
        </w:rPr>
        <w:t>OrgReg</w:t>
      </w:r>
      <w:proofErr w:type="spellEnd"/>
      <w:r w:rsidRPr="00DE4CD2">
        <w:rPr>
          <w:rFonts w:asciiTheme="majorHAnsi" w:eastAsiaTheme="minorHAnsi" w:hAnsiTheme="majorHAnsi" w:cstheme="majorHAnsi"/>
          <w:i/>
          <w:iCs/>
          <w:lang w:val="en-US" w:eastAsia="en-US"/>
        </w:rPr>
        <w:t xml:space="preserve"> Search interface</w:t>
      </w:r>
    </w:p>
    <w:p w14:paraId="613D1FB0" w14:textId="77777777" w:rsidR="009442D4" w:rsidRPr="00DE4CD2" w:rsidRDefault="009442D4" w:rsidP="009442D4">
      <w:pPr>
        <w:pStyle w:val="Standard1"/>
        <w:rPr>
          <w:rFonts w:asciiTheme="majorHAnsi" w:hAnsiTheme="majorHAnsi" w:cstheme="majorHAnsi"/>
        </w:rPr>
      </w:pPr>
      <w:r w:rsidRPr="00DE4CD2">
        <w:rPr>
          <w:rFonts w:asciiTheme="majorHAnsi" w:hAnsiTheme="majorHAnsi" w:cstheme="majorHAnsi"/>
          <w:noProof/>
        </w:rPr>
        <w:drawing>
          <wp:inline distT="0" distB="0" distL="0" distR="0" wp14:anchorId="4371E2E2" wp14:editId="0319CF52">
            <wp:extent cx="6116320" cy="3293745"/>
            <wp:effectExtent l="0" t="0" r="0" b="1905"/>
            <wp:docPr id="69" name="Picture 9">
              <a:extLst xmlns:a="http://schemas.openxmlformats.org/drawingml/2006/main">
                <a:ext uri="{FF2B5EF4-FFF2-40B4-BE49-F238E27FC236}">
                  <a16:creationId xmlns:a16="http://schemas.microsoft.com/office/drawing/2014/main" id="{120D53ED-85EE-4008-A433-61BD0DC029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120D53ED-85EE-4008-A433-61BD0DC0294B}"/>
                        </a:ext>
                      </a:extLst>
                    </pic:cNvPr>
                    <pic:cNvPicPr>
                      <a:picLocks noChangeAspect="1"/>
                    </pic:cNvPicPr>
                  </pic:nvPicPr>
                  <pic:blipFill>
                    <a:blip r:embed="rId72"/>
                    <a:stretch>
                      <a:fillRect/>
                    </a:stretch>
                  </pic:blipFill>
                  <pic:spPr>
                    <a:xfrm>
                      <a:off x="0" y="0"/>
                      <a:ext cx="6116320" cy="3293745"/>
                    </a:xfrm>
                    <a:prstGeom prst="rect">
                      <a:avLst/>
                    </a:prstGeom>
                  </pic:spPr>
                </pic:pic>
              </a:graphicData>
            </a:graphic>
          </wp:inline>
        </w:drawing>
      </w:r>
    </w:p>
    <w:p w14:paraId="00F58D6A" w14:textId="77777777" w:rsidR="009442D4" w:rsidRPr="00DE4CD2" w:rsidRDefault="009442D4" w:rsidP="009442D4">
      <w:pPr>
        <w:pStyle w:val="Standard1"/>
        <w:rPr>
          <w:rFonts w:asciiTheme="majorHAnsi" w:hAnsiTheme="majorHAnsi" w:cstheme="majorHAnsi"/>
        </w:rPr>
      </w:pPr>
    </w:p>
    <w:p w14:paraId="71E8AB67" w14:textId="77777777" w:rsidR="00D32776" w:rsidRPr="00DE4CD2" w:rsidRDefault="00D32776" w:rsidP="00D32776">
      <w:pPr>
        <w:pStyle w:val="Standard1"/>
        <w:rPr>
          <w:rFonts w:asciiTheme="majorHAnsi" w:hAnsiTheme="majorHAnsi" w:cstheme="majorHAnsi"/>
        </w:rPr>
      </w:pPr>
      <w:r w:rsidRPr="00DE4CD2">
        <w:rPr>
          <w:rFonts w:asciiTheme="majorHAnsi" w:hAnsiTheme="majorHAnsi" w:cstheme="majorHAnsi"/>
        </w:rPr>
        <w:t xml:space="preserve">To easy mapping with other registers and user data, the </w:t>
      </w:r>
      <w:proofErr w:type="spellStart"/>
      <w:r w:rsidRPr="00DE4CD2">
        <w:rPr>
          <w:rFonts w:asciiTheme="majorHAnsi" w:hAnsiTheme="majorHAnsi" w:cstheme="majorHAnsi"/>
        </w:rPr>
        <w:t>OpenRefine</w:t>
      </w:r>
      <w:proofErr w:type="spellEnd"/>
      <w:r w:rsidRPr="00DE4CD2">
        <w:rPr>
          <w:rFonts w:asciiTheme="majorHAnsi" w:hAnsiTheme="majorHAnsi" w:cstheme="majorHAnsi"/>
        </w:rPr>
        <w:t xml:space="preserve"> API service has been implemented in </w:t>
      </w:r>
      <w:proofErr w:type="spellStart"/>
      <w:r w:rsidRPr="00DE4CD2">
        <w:rPr>
          <w:rFonts w:asciiTheme="majorHAnsi" w:hAnsiTheme="majorHAnsi" w:cstheme="majorHAnsi"/>
        </w:rPr>
        <w:t>OrgReg</w:t>
      </w:r>
      <w:proofErr w:type="spellEnd"/>
      <w:r w:rsidRPr="00DE4CD2">
        <w:rPr>
          <w:rFonts w:asciiTheme="majorHAnsi" w:hAnsiTheme="majorHAnsi" w:cstheme="majorHAnsi"/>
        </w:rPr>
        <w:t xml:space="preserve">. This service allow users to reconcile using the </w:t>
      </w:r>
      <w:proofErr w:type="spellStart"/>
      <w:r w:rsidRPr="00DE4CD2">
        <w:rPr>
          <w:rFonts w:asciiTheme="majorHAnsi" w:hAnsiTheme="majorHAnsi" w:cstheme="majorHAnsi"/>
        </w:rPr>
        <w:t>Openrefine</w:t>
      </w:r>
      <w:proofErr w:type="spellEnd"/>
      <w:r w:rsidRPr="00DE4CD2">
        <w:rPr>
          <w:rFonts w:asciiTheme="majorHAnsi" w:hAnsiTheme="majorHAnsi" w:cstheme="majorHAnsi"/>
        </w:rPr>
        <w:t xml:space="preserve"> (former Google refine) software their own data with </w:t>
      </w:r>
      <w:proofErr w:type="spellStart"/>
      <w:r w:rsidRPr="00DE4CD2">
        <w:rPr>
          <w:rFonts w:asciiTheme="majorHAnsi" w:hAnsiTheme="majorHAnsi" w:cstheme="majorHAnsi"/>
        </w:rPr>
        <w:t>Orgreg</w:t>
      </w:r>
      <w:proofErr w:type="spellEnd"/>
      <w:r w:rsidRPr="00DE4CD2">
        <w:rPr>
          <w:rFonts w:asciiTheme="majorHAnsi" w:hAnsiTheme="majorHAnsi" w:cstheme="majorHAnsi"/>
        </w:rPr>
        <w:t xml:space="preserve"> data and import automatically </w:t>
      </w:r>
      <w:proofErr w:type="spellStart"/>
      <w:r w:rsidRPr="00DE4CD2">
        <w:rPr>
          <w:rFonts w:asciiTheme="majorHAnsi" w:hAnsiTheme="majorHAnsi" w:cstheme="majorHAnsi"/>
        </w:rPr>
        <w:t>OrgReg</w:t>
      </w:r>
      <w:proofErr w:type="spellEnd"/>
      <w:r w:rsidRPr="00DE4CD2">
        <w:rPr>
          <w:rFonts w:asciiTheme="majorHAnsi" w:hAnsiTheme="majorHAnsi" w:cstheme="majorHAnsi"/>
        </w:rPr>
        <w:t xml:space="preserve"> IDs in their datasets. This is therefore a core service to support the use of </w:t>
      </w:r>
      <w:proofErr w:type="spellStart"/>
      <w:r w:rsidRPr="00DE4CD2">
        <w:rPr>
          <w:rFonts w:asciiTheme="majorHAnsi" w:hAnsiTheme="majorHAnsi" w:cstheme="majorHAnsi"/>
        </w:rPr>
        <w:t>OrgReg</w:t>
      </w:r>
      <w:proofErr w:type="spellEnd"/>
      <w:r w:rsidRPr="00DE4CD2">
        <w:rPr>
          <w:rFonts w:asciiTheme="majorHAnsi" w:hAnsiTheme="majorHAnsi" w:cstheme="majorHAnsi"/>
        </w:rPr>
        <w:t xml:space="preserve"> for entity matching.</w:t>
      </w:r>
    </w:p>
    <w:p w14:paraId="0604717A" w14:textId="77777777" w:rsidR="00D32776" w:rsidRPr="00DE4CD2" w:rsidRDefault="00D32776" w:rsidP="00D32776">
      <w:pPr>
        <w:pStyle w:val="Standard1"/>
        <w:rPr>
          <w:rFonts w:asciiTheme="majorHAnsi" w:hAnsiTheme="majorHAnsi" w:cstheme="majorHAnsi"/>
        </w:rPr>
      </w:pPr>
    </w:p>
    <w:p w14:paraId="73820DE3" w14:textId="77777777" w:rsidR="00D32776" w:rsidRPr="00DE4CD2" w:rsidRDefault="00D32776" w:rsidP="00D32776">
      <w:pPr>
        <w:pStyle w:val="Standard1"/>
        <w:rPr>
          <w:rFonts w:asciiTheme="majorHAnsi" w:hAnsiTheme="majorHAnsi" w:cstheme="majorHAnsi"/>
        </w:rPr>
      </w:pPr>
      <w:r w:rsidRPr="00DE4CD2">
        <w:rPr>
          <w:rFonts w:asciiTheme="majorHAnsi" w:hAnsiTheme="majorHAnsi" w:cstheme="majorHAnsi"/>
        </w:rPr>
        <w:t xml:space="preserve">As of December 2023, </w:t>
      </w:r>
      <w:proofErr w:type="spellStart"/>
      <w:r w:rsidRPr="00DE4CD2">
        <w:rPr>
          <w:rFonts w:asciiTheme="majorHAnsi" w:hAnsiTheme="majorHAnsi" w:cstheme="majorHAnsi"/>
        </w:rPr>
        <w:t>OrgReg</w:t>
      </w:r>
      <w:proofErr w:type="spellEnd"/>
      <w:r w:rsidRPr="00DE4CD2">
        <w:rPr>
          <w:rFonts w:asciiTheme="majorHAnsi" w:hAnsiTheme="majorHAnsi" w:cstheme="majorHAnsi"/>
        </w:rPr>
        <w:t xml:space="preserve"> includes more than 7,500 unique entities. An important recent extension has been to include European University Alliances and the membership of HEIs in the </w:t>
      </w:r>
      <w:r w:rsidRPr="00DE4CD2">
        <w:rPr>
          <w:rFonts w:asciiTheme="majorHAnsi" w:hAnsiTheme="majorHAnsi" w:cstheme="majorHAnsi"/>
        </w:rPr>
        <w:lastRenderedPageBreak/>
        <w:t>alliances, as this will allow computing indicators on participation and, in a long-term perspective, outputs of alliances systematically (</w:t>
      </w:r>
      <w:proofErr w:type="spellStart"/>
      <w:sdt>
        <w:sdtPr>
          <w:rPr>
            <w:rFonts w:asciiTheme="majorHAnsi" w:hAnsiTheme="majorHAnsi" w:cstheme="majorHAnsi"/>
            <w:highlight w:val="white"/>
          </w:rPr>
          <w:alias w:val="Citation"/>
          <w:tag w:val="{&quot;referencesIds&quot;:[&quot;doc:6448beba63d58569faec6a9e&quot;],&quot;referencesOptions&quot;:{&quot;doc:6448beba63d58569faec6a9e&quot;:{&quot;author&quot;:true,&quot;year&quot;:true,&quot;pageReplace&quot;:&quot;&quot;,&quot;prefix&quot;:&quot;&quot;,&quot;suffix&quot;:&quot;&quot;}},&quot;hasBrokenReferences&quot;:false,&quot;hasManualEdits&quot;:false,&quot;citationType&quot;:&quot;inline&quot;,&quot;id&quot;:1237433180,&quot;citationText&quot;:&quot;&lt;span style=\&quot;font-family:Cambria;font-size:16px;color:#000000\&quot;&gt;Lambrechts et al., 2023&lt;/span&gt;&quot;}"/>
          <w:id w:val="1237433180"/>
          <w:placeholder>
            <w:docPart w:val="7EB7D34C9443446686BDCA71467310E9"/>
          </w:placeholder>
        </w:sdtPr>
        <w:sdtEndPr/>
        <w:sdtContent>
          <w:r w:rsidRPr="00DE4CD2">
            <w:rPr>
              <w:rFonts w:asciiTheme="majorHAnsi" w:eastAsia="Times New Roman" w:hAnsiTheme="majorHAnsi" w:cstheme="majorHAnsi"/>
            </w:rPr>
            <w:t>Lambrechts</w:t>
          </w:r>
          <w:proofErr w:type="spellEnd"/>
          <w:r w:rsidRPr="00DE4CD2">
            <w:rPr>
              <w:rFonts w:asciiTheme="majorHAnsi" w:eastAsia="Times New Roman" w:hAnsiTheme="majorHAnsi" w:cstheme="majorHAnsi"/>
            </w:rPr>
            <w:t xml:space="preserve"> et al., 2023</w:t>
          </w:r>
        </w:sdtContent>
      </w:sdt>
      <w:r w:rsidRPr="00DE4CD2">
        <w:rPr>
          <w:rFonts w:asciiTheme="majorHAnsi" w:hAnsiTheme="majorHAnsi" w:cstheme="majorHAnsi"/>
        </w:rPr>
        <w:t>).</w:t>
      </w:r>
    </w:p>
    <w:p w14:paraId="07484EBA" w14:textId="77777777" w:rsidR="00D32776" w:rsidRPr="00DE4CD2" w:rsidRDefault="00D32776" w:rsidP="009442D4">
      <w:pPr>
        <w:pStyle w:val="Standard1"/>
        <w:rPr>
          <w:rFonts w:asciiTheme="majorHAnsi" w:hAnsiTheme="majorHAnsi" w:cstheme="majorHAnsi"/>
        </w:rPr>
      </w:pPr>
    </w:p>
    <w:p w14:paraId="673ED341" w14:textId="7B6C5D68" w:rsidR="009442D4" w:rsidRPr="00DE4CD2" w:rsidRDefault="009442D4" w:rsidP="009442D4">
      <w:pPr>
        <w:pStyle w:val="Standard1"/>
        <w:rPr>
          <w:rFonts w:asciiTheme="majorHAnsi" w:hAnsiTheme="majorHAnsi" w:cstheme="majorHAnsi"/>
        </w:rPr>
      </w:pPr>
      <w:r w:rsidRPr="00DE4CD2">
        <w:rPr>
          <w:rFonts w:asciiTheme="majorHAnsi" w:hAnsiTheme="majorHAnsi" w:cstheme="majorHAnsi"/>
        </w:rPr>
        <w:t xml:space="preserve">Further, </w:t>
      </w:r>
      <w:proofErr w:type="spellStart"/>
      <w:r w:rsidRPr="00DE4CD2">
        <w:rPr>
          <w:rFonts w:asciiTheme="majorHAnsi" w:hAnsiTheme="majorHAnsi" w:cstheme="majorHAnsi"/>
        </w:rPr>
        <w:t>OrgReg</w:t>
      </w:r>
      <w:proofErr w:type="spellEnd"/>
      <w:r w:rsidRPr="00DE4CD2">
        <w:rPr>
          <w:rFonts w:asciiTheme="majorHAnsi" w:hAnsiTheme="majorHAnsi" w:cstheme="majorHAnsi"/>
        </w:rPr>
        <w:t xml:space="preserve"> provides thanks to its integration with the KNOWMAK central database, indicators on research output of research organizations (scientific publications, European projects, patents) (see Figure </w:t>
      </w:r>
      <w:r w:rsidR="00FE6AC1" w:rsidRPr="00DE4CD2">
        <w:rPr>
          <w:rFonts w:asciiTheme="majorHAnsi" w:hAnsiTheme="majorHAnsi" w:cstheme="majorHAnsi"/>
        </w:rPr>
        <w:t>34</w:t>
      </w:r>
      <w:r w:rsidRPr="00DE4CD2">
        <w:rPr>
          <w:rFonts w:asciiTheme="majorHAnsi" w:hAnsiTheme="majorHAnsi" w:cstheme="majorHAnsi"/>
        </w:rPr>
        <w:t xml:space="preserve">). These indicators complement those already available in the ETER database </w:t>
      </w:r>
      <w:proofErr w:type="spellStart"/>
      <w:r w:rsidRPr="00DE4CD2">
        <w:rPr>
          <w:rFonts w:asciiTheme="majorHAnsi" w:hAnsiTheme="majorHAnsi" w:cstheme="majorHAnsi"/>
        </w:rPr>
        <w:t>fro</w:t>
      </w:r>
      <w:proofErr w:type="spellEnd"/>
      <w:r w:rsidRPr="00DE4CD2">
        <w:rPr>
          <w:rFonts w:asciiTheme="majorHAnsi" w:hAnsiTheme="majorHAnsi" w:cstheme="majorHAnsi"/>
        </w:rPr>
        <w:t xml:space="preserve"> Higher Education Institutions, therefore providing a more systematic view of their activity.</w:t>
      </w:r>
    </w:p>
    <w:p w14:paraId="703B43D8" w14:textId="77777777" w:rsidR="009442D4" w:rsidRPr="00DE4CD2" w:rsidRDefault="009442D4" w:rsidP="009442D4">
      <w:pPr>
        <w:pStyle w:val="Standard1"/>
        <w:rPr>
          <w:rFonts w:asciiTheme="majorHAnsi" w:hAnsiTheme="majorHAnsi" w:cstheme="majorHAnsi"/>
        </w:rPr>
      </w:pPr>
    </w:p>
    <w:p w14:paraId="2CA6BBF7" w14:textId="7AC5301A" w:rsidR="009442D4" w:rsidRPr="00DE4CD2" w:rsidRDefault="009442D4" w:rsidP="009442D4">
      <w:pPr>
        <w:spacing w:after="120"/>
        <w:jc w:val="both"/>
        <w:rPr>
          <w:rFonts w:asciiTheme="majorHAnsi" w:eastAsiaTheme="minorHAnsi" w:hAnsiTheme="majorHAnsi" w:cstheme="majorHAnsi"/>
          <w:i/>
          <w:iCs/>
          <w:lang w:val="en-US" w:eastAsia="en-US"/>
        </w:rPr>
      </w:pPr>
      <w:bookmarkStart w:id="29" w:name="_Ref153531093"/>
      <w:r w:rsidRPr="00DE4CD2">
        <w:rPr>
          <w:rFonts w:asciiTheme="majorHAnsi" w:eastAsiaTheme="minorHAnsi" w:hAnsiTheme="majorHAnsi" w:cstheme="majorHAnsi"/>
          <w:i/>
          <w:iCs/>
          <w:lang w:val="en-US" w:eastAsia="en-US"/>
        </w:rPr>
        <w:t>Figure</w:t>
      </w:r>
      <w:bookmarkEnd w:id="29"/>
      <w:r w:rsidRPr="00DE4CD2">
        <w:rPr>
          <w:rFonts w:asciiTheme="majorHAnsi" w:eastAsiaTheme="minorHAnsi" w:hAnsiTheme="majorHAnsi" w:cstheme="majorHAnsi"/>
          <w:i/>
          <w:iCs/>
          <w:lang w:val="en-US" w:eastAsia="en-US"/>
        </w:rPr>
        <w:t xml:space="preserve"> </w:t>
      </w:r>
      <w:r w:rsidR="00FE6AC1" w:rsidRPr="00DE4CD2">
        <w:rPr>
          <w:rFonts w:asciiTheme="majorHAnsi" w:eastAsiaTheme="minorHAnsi" w:hAnsiTheme="majorHAnsi" w:cstheme="majorHAnsi"/>
          <w:i/>
          <w:iCs/>
          <w:lang w:val="en-US" w:eastAsia="en-US"/>
        </w:rPr>
        <w:t>34</w:t>
      </w:r>
      <w:r w:rsidRPr="00DE4CD2">
        <w:rPr>
          <w:rFonts w:asciiTheme="majorHAnsi" w:eastAsiaTheme="minorHAnsi" w:hAnsiTheme="majorHAnsi" w:cstheme="majorHAnsi"/>
          <w:i/>
          <w:iCs/>
          <w:lang w:val="en-US" w:eastAsia="en-US"/>
        </w:rPr>
        <w:t xml:space="preserve">. </w:t>
      </w:r>
      <w:proofErr w:type="spellStart"/>
      <w:r w:rsidRPr="00DE4CD2">
        <w:rPr>
          <w:rFonts w:asciiTheme="majorHAnsi" w:eastAsiaTheme="minorHAnsi" w:hAnsiTheme="majorHAnsi" w:cstheme="majorHAnsi"/>
          <w:i/>
          <w:iCs/>
          <w:lang w:val="en-US" w:eastAsia="en-US"/>
        </w:rPr>
        <w:t>OrgReg</w:t>
      </w:r>
      <w:proofErr w:type="spellEnd"/>
      <w:r w:rsidRPr="00DE4CD2">
        <w:rPr>
          <w:rFonts w:asciiTheme="majorHAnsi" w:eastAsiaTheme="minorHAnsi" w:hAnsiTheme="majorHAnsi" w:cstheme="majorHAnsi"/>
          <w:i/>
          <w:iCs/>
          <w:lang w:val="en-US" w:eastAsia="en-US"/>
        </w:rPr>
        <w:t xml:space="preserve"> Indicators Module</w:t>
      </w:r>
    </w:p>
    <w:p w14:paraId="1385CE5F" w14:textId="77777777" w:rsidR="009442D4" w:rsidRPr="00DE4CD2" w:rsidRDefault="009442D4" w:rsidP="009442D4">
      <w:pPr>
        <w:rPr>
          <w:rFonts w:asciiTheme="majorHAnsi" w:hAnsiTheme="majorHAnsi" w:cstheme="majorHAnsi"/>
        </w:rPr>
      </w:pPr>
      <w:r w:rsidRPr="00DE4CD2">
        <w:rPr>
          <w:rFonts w:asciiTheme="majorHAnsi" w:hAnsiTheme="majorHAnsi" w:cstheme="majorHAnsi"/>
          <w:noProof/>
        </w:rPr>
        <w:drawing>
          <wp:inline distT="0" distB="0" distL="0" distR="0" wp14:anchorId="103340C1" wp14:editId="1947D5EE">
            <wp:extent cx="6116320" cy="2232025"/>
            <wp:effectExtent l="0" t="0" r="0" b="0"/>
            <wp:docPr id="7" name="Grafik 7">
              <a:extLst xmlns:a="http://schemas.openxmlformats.org/drawingml/2006/main">
                <a:ext uri="{FF2B5EF4-FFF2-40B4-BE49-F238E27FC236}">
                  <a16:creationId xmlns:a16="http://schemas.microsoft.com/office/drawing/2014/main" id="{099EA007-F136-41E1-97D4-610C1B595F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099EA007-F136-41E1-97D4-610C1B595F88}"/>
                        </a:ext>
                      </a:extLst>
                    </pic:cNvPr>
                    <pic:cNvPicPr>
                      <a:picLocks noChangeAspect="1"/>
                    </pic:cNvPicPr>
                  </pic:nvPicPr>
                  <pic:blipFill>
                    <a:blip r:embed="rId73"/>
                    <a:stretch>
                      <a:fillRect/>
                    </a:stretch>
                  </pic:blipFill>
                  <pic:spPr>
                    <a:xfrm>
                      <a:off x="0" y="0"/>
                      <a:ext cx="6116320" cy="2232025"/>
                    </a:xfrm>
                    <a:prstGeom prst="rect">
                      <a:avLst/>
                    </a:prstGeom>
                  </pic:spPr>
                </pic:pic>
              </a:graphicData>
            </a:graphic>
          </wp:inline>
        </w:drawing>
      </w:r>
    </w:p>
    <w:p w14:paraId="0F4ACB9C" w14:textId="77777777" w:rsidR="009442D4" w:rsidRPr="00DE4CD2" w:rsidRDefault="009442D4" w:rsidP="009442D4">
      <w:pPr>
        <w:rPr>
          <w:rFonts w:asciiTheme="majorHAnsi" w:hAnsiTheme="majorHAnsi" w:cstheme="majorHAnsi"/>
        </w:rPr>
      </w:pPr>
    </w:p>
    <w:p w14:paraId="44E3EE08" w14:textId="77777777" w:rsidR="005B3E1A" w:rsidRPr="00DE4CD2" w:rsidRDefault="005B3E1A" w:rsidP="005B3E1A">
      <w:pPr>
        <w:rPr>
          <w:rFonts w:asciiTheme="majorHAnsi" w:hAnsiTheme="majorHAnsi" w:cstheme="majorHAnsi"/>
        </w:rPr>
      </w:pPr>
    </w:p>
    <w:p w14:paraId="3E7A5809" w14:textId="77777777" w:rsidR="005B3E1A" w:rsidRPr="00DE4CD2" w:rsidRDefault="005B3E1A" w:rsidP="005B3E1A">
      <w:pPr>
        <w:rPr>
          <w:rFonts w:asciiTheme="majorHAnsi" w:hAnsiTheme="majorHAnsi" w:cstheme="majorHAnsi"/>
        </w:rPr>
      </w:pPr>
    </w:p>
    <w:p w14:paraId="6D50B74A" w14:textId="4D07ABFA" w:rsidR="005B3E1A" w:rsidRPr="00DE4CD2" w:rsidRDefault="005B3E1A" w:rsidP="005B3E1A">
      <w:pPr>
        <w:pStyle w:val="berschrift2"/>
        <w:rPr>
          <w:rFonts w:asciiTheme="majorHAnsi" w:hAnsiTheme="majorHAnsi" w:cstheme="majorHAnsi"/>
          <w:color w:val="auto"/>
        </w:rPr>
      </w:pPr>
      <w:bookmarkStart w:id="30" w:name="_Toc153536135"/>
      <w:r w:rsidRPr="00DE4CD2">
        <w:rPr>
          <w:rFonts w:asciiTheme="majorHAnsi" w:hAnsiTheme="majorHAnsi" w:cstheme="majorHAnsi"/>
          <w:color w:val="auto"/>
        </w:rPr>
        <w:t>Group 4 – Datasets supporting policy learning</w:t>
      </w:r>
      <w:bookmarkEnd w:id="30"/>
    </w:p>
    <w:p w14:paraId="308855ED" w14:textId="0DF6E2FA" w:rsidR="005B3E1A" w:rsidRPr="00DE4CD2" w:rsidRDefault="005B3E1A" w:rsidP="005B3E1A">
      <w:pPr>
        <w:pStyle w:val="berschrift3"/>
        <w:rPr>
          <w:rFonts w:asciiTheme="majorHAnsi" w:hAnsiTheme="majorHAnsi" w:cstheme="majorHAnsi"/>
          <w:color w:val="auto"/>
        </w:rPr>
      </w:pPr>
      <w:bookmarkStart w:id="31" w:name="_Toc153536136"/>
      <w:r w:rsidRPr="00DE4CD2">
        <w:rPr>
          <w:rFonts w:asciiTheme="majorHAnsi" w:hAnsiTheme="majorHAnsi" w:cstheme="majorHAnsi"/>
          <w:color w:val="auto"/>
        </w:rPr>
        <w:t>SIPER</w:t>
      </w:r>
      <w:bookmarkEnd w:id="31"/>
    </w:p>
    <w:p w14:paraId="164316C9" w14:textId="77777777" w:rsidR="00301856" w:rsidRPr="00DE4CD2" w:rsidRDefault="00301856" w:rsidP="00C305CA">
      <w:pPr>
        <w:rPr>
          <w:rFonts w:asciiTheme="majorHAnsi" w:hAnsiTheme="majorHAnsi" w:cstheme="majorHAnsi"/>
        </w:rPr>
      </w:pPr>
    </w:p>
    <w:p w14:paraId="22DCDA26" w14:textId="77777777" w:rsidR="002C3BB1" w:rsidRPr="00DE4CD2" w:rsidRDefault="002C3BB1" w:rsidP="002C3BB1">
      <w:pPr>
        <w:rPr>
          <w:rFonts w:asciiTheme="majorHAnsi" w:hAnsiTheme="majorHAnsi" w:cstheme="majorHAnsi"/>
          <w:b/>
          <w:i/>
        </w:rPr>
      </w:pPr>
      <w:r w:rsidRPr="00DE4CD2">
        <w:rPr>
          <w:rFonts w:asciiTheme="majorHAnsi" w:hAnsiTheme="majorHAnsi" w:cstheme="majorHAnsi"/>
          <w:b/>
          <w:i/>
        </w:rPr>
        <w:t>Present state and value added</w:t>
      </w:r>
    </w:p>
    <w:p w14:paraId="1EED2AD8" w14:textId="7F79A8DC" w:rsidR="002C3BB1" w:rsidRPr="00DE4CD2" w:rsidRDefault="002C3BB1" w:rsidP="002C3BB1">
      <w:pPr>
        <w:jc w:val="both"/>
        <w:rPr>
          <w:rFonts w:asciiTheme="majorHAnsi" w:hAnsiTheme="majorHAnsi" w:cstheme="majorHAnsi"/>
        </w:rPr>
      </w:pPr>
      <w:r w:rsidRPr="00DE4CD2">
        <w:rPr>
          <w:rFonts w:asciiTheme="majorHAnsi" w:hAnsiTheme="majorHAnsi" w:cstheme="majorHAnsi"/>
        </w:rPr>
        <w:t>SIPER, the Science and Innovation Policy Evaluations Repository, is a rich and unique database and knowledge source of science and innovation policy evaluations worldwide with a clear focus on EU and OECD member states covering the period since 2000. Effects and efficiency of science, technology and innovation (STI) policies are typically assessed through a process of evaluation and illustrated in corresponding reports. The Fraunhofer ISI team collects those reports, codes them and thereafter makes them publicly accessible via SIPER's website (</w:t>
      </w:r>
      <w:hyperlink r:id="rId74" w:history="1">
        <w:r w:rsidRPr="00DE4CD2">
          <w:rPr>
            <w:rStyle w:val="Hyperlink"/>
            <w:rFonts w:asciiTheme="majorHAnsi" w:hAnsiTheme="majorHAnsi" w:cstheme="majorHAnsi"/>
            <w:color w:val="auto"/>
          </w:rPr>
          <w:t>https://si-per.eu/siper-en/index.php</w:t>
        </w:r>
      </w:hyperlink>
      <w:r w:rsidRPr="00DE4CD2">
        <w:rPr>
          <w:rStyle w:val="Hyperlink"/>
          <w:rFonts w:asciiTheme="majorHAnsi" w:hAnsiTheme="majorHAnsi" w:cstheme="majorHAnsi"/>
          <w:color w:val="auto"/>
        </w:rPr>
        <w:t>)</w:t>
      </w:r>
      <w:r w:rsidRPr="00DE4CD2">
        <w:rPr>
          <w:rFonts w:asciiTheme="majorHAnsi" w:hAnsiTheme="majorHAnsi" w:cstheme="majorHAnsi"/>
        </w:rPr>
        <w:t xml:space="preserve">. Furthermore, for all reports coded until November 2023 the </w:t>
      </w:r>
      <w:proofErr w:type="spellStart"/>
      <w:r w:rsidRPr="00DE4CD2">
        <w:rPr>
          <w:rFonts w:asciiTheme="majorHAnsi" w:hAnsiTheme="majorHAnsi" w:cstheme="majorHAnsi"/>
        </w:rPr>
        <w:t>codings</w:t>
      </w:r>
      <w:proofErr w:type="spellEnd"/>
      <w:r w:rsidRPr="00DE4CD2">
        <w:rPr>
          <w:rFonts w:asciiTheme="majorHAnsi" w:hAnsiTheme="majorHAnsi" w:cstheme="majorHAnsi"/>
        </w:rPr>
        <w:t xml:space="preserve"> include information on the underlying policy measure and a qualitative assessment of each report. Thus, interested researchers and policy makers can freely exploit the database choosing between two different approaches: a predefined search mask based on the criteria used for coding the reports and a free text search function. Main features of the SIPER database are that it offers a searchable and structured characterisation of policy measures and evaluations as well as the provision of access to those reports in PDF format at one single location. Prior to the second funding period of RISIS, people interested in these reports had to retrieve them from a multitude of different websites and data portals. Now, using SIPER is much more comfortable and less time consuming if one is looking for STI policy evaluation reports. On the one hand, the database aims at facilitating policy learning, e.g. what works (and what does not) under which circumstances and why, and on the other hand </w:t>
      </w:r>
      <w:r w:rsidRPr="00DE4CD2">
        <w:rPr>
          <w:rFonts w:asciiTheme="majorHAnsi" w:hAnsiTheme="majorHAnsi" w:cstheme="majorHAnsi"/>
        </w:rPr>
        <w:lastRenderedPageBreak/>
        <w:t xml:space="preserve">supports further academic research, e.g. on the methods used for evaluations or how different types of impacts are measured and assessed. Access to the full dataset of coded reports can be requested via the RISIS Core Facility (RCF; </w:t>
      </w:r>
      <w:hyperlink r:id="rId75" w:history="1">
        <w:r w:rsidRPr="00DE4CD2">
          <w:rPr>
            <w:rStyle w:val="Hyperlink"/>
            <w:rFonts w:asciiTheme="majorHAnsi" w:hAnsiTheme="majorHAnsi" w:cstheme="majorHAnsi"/>
            <w:color w:val="auto"/>
          </w:rPr>
          <w:t>https://rcf.risis2.eu/</w:t>
        </w:r>
      </w:hyperlink>
      <w:r w:rsidRPr="00DE4CD2">
        <w:rPr>
          <w:rFonts w:asciiTheme="majorHAnsi" w:hAnsiTheme="majorHAnsi" w:cstheme="majorHAnsi"/>
        </w:rPr>
        <w:t>).</w:t>
      </w:r>
    </w:p>
    <w:p w14:paraId="08FB03D7" w14:textId="77777777" w:rsidR="002C3BB1" w:rsidRPr="00DE4CD2" w:rsidRDefault="002C3BB1" w:rsidP="002C3BB1">
      <w:pPr>
        <w:jc w:val="both"/>
        <w:rPr>
          <w:rFonts w:asciiTheme="majorHAnsi" w:hAnsiTheme="majorHAnsi" w:cstheme="majorHAnsi"/>
        </w:rPr>
      </w:pPr>
    </w:p>
    <w:p w14:paraId="5289AF05" w14:textId="5AE3EC32" w:rsidR="002C3BB1" w:rsidRPr="00DE4CD2" w:rsidRDefault="002C3BB1" w:rsidP="00FE6AC1">
      <w:pPr>
        <w:spacing w:after="120"/>
        <w:jc w:val="both"/>
        <w:rPr>
          <w:rFonts w:asciiTheme="majorHAnsi" w:eastAsiaTheme="minorHAnsi" w:hAnsiTheme="majorHAnsi" w:cstheme="majorHAnsi"/>
          <w:i/>
          <w:iCs/>
          <w:lang w:val="en-US" w:eastAsia="en-US"/>
        </w:rPr>
      </w:pPr>
      <w:bookmarkStart w:id="32" w:name="_Ref152853290"/>
      <w:r w:rsidRPr="00DE4CD2">
        <w:rPr>
          <w:rFonts w:asciiTheme="majorHAnsi" w:eastAsiaTheme="minorHAnsi" w:hAnsiTheme="majorHAnsi" w:cstheme="majorHAnsi"/>
          <w:i/>
          <w:iCs/>
          <w:lang w:val="en-US" w:eastAsia="en-US"/>
        </w:rPr>
        <w:t xml:space="preserve">Figure </w:t>
      </w:r>
      <w:r w:rsidR="00FE6AC1" w:rsidRPr="00DE4CD2">
        <w:rPr>
          <w:rFonts w:asciiTheme="majorHAnsi" w:eastAsiaTheme="minorHAnsi" w:hAnsiTheme="majorHAnsi" w:cstheme="majorHAnsi"/>
          <w:i/>
          <w:iCs/>
          <w:lang w:val="en-US" w:eastAsia="en-US"/>
        </w:rPr>
        <w:t>35</w:t>
      </w:r>
      <w:bookmarkEnd w:id="32"/>
      <w:r w:rsidRPr="00DE4CD2">
        <w:rPr>
          <w:rFonts w:asciiTheme="majorHAnsi" w:eastAsiaTheme="minorHAnsi" w:hAnsiTheme="majorHAnsi" w:cstheme="majorHAnsi"/>
          <w:i/>
          <w:iCs/>
          <w:lang w:val="en-US" w:eastAsia="en-US"/>
        </w:rPr>
        <w:t>: Reports collected and reports coded per year of publication</w:t>
      </w:r>
    </w:p>
    <w:p w14:paraId="070C35CD" w14:textId="77777777" w:rsidR="002C3BB1" w:rsidRPr="00DE4CD2" w:rsidRDefault="002C3BB1" w:rsidP="002C3BB1">
      <w:pPr>
        <w:keepNext/>
        <w:rPr>
          <w:rFonts w:asciiTheme="majorHAnsi" w:hAnsiTheme="majorHAnsi" w:cstheme="majorHAnsi"/>
        </w:rPr>
      </w:pPr>
      <w:r w:rsidRPr="00DE4CD2">
        <w:rPr>
          <w:rFonts w:asciiTheme="majorHAnsi" w:hAnsiTheme="majorHAnsi" w:cstheme="majorHAnsi"/>
          <w:noProof/>
          <w:lang w:val="de-DE" w:eastAsia="de-DE"/>
        </w:rPr>
        <w:drawing>
          <wp:inline distT="0" distB="0" distL="0" distR="0" wp14:anchorId="57DAD1FD" wp14:editId="206505A3">
            <wp:extent cx="5779579" cy="3371353"/>
            <wp:effectExtent l="0" t="0" r="12065" b="635"/>
            <wp:docPr id="31" name="Diagramm 3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7A78AAEC" w14:textId="77777777" w:rsidR="002C3BB1" w:rsidRPr="00DE4CD2" w:rsidRDefault="002C3BB1" w:rsidP="002C3BB1">
      <w:pPr>
        <w:pStyle w:val="Beschriftung"/>
        <w:spacing w:after="0"/>
        <w:rPr>
          <w:rFonts w:asciiTheme="majorHAnsi" w:hAnsiTheme="majorHAnsi" w:cstheme="majorHAnsi"/>
          <w:color w:val="auto"/>
        </w:rPr>
      </w:pPr>
      <w:r w:rsidRPr="00DE4CD2">
        <w:rPr>
          <w:rFonts w:asciiTheme="majorHAnsi" w:hAnsiTheme="majorHAnsi" w:cstheme="majorHAnsi"/>
          <w:color w:val="auto"/>
        </w:rPr>
        <w:t>Source: SIPER Database (as of 5</w:t>
      </w:r>
      <w:r w:rsidRPr="00DE4CD2">
        <w:rPr>
          <w:rFonts w:asciiTheme="majorHAnsi" w:hAnsiTheme="majorHAnsi" w:cstheme="majorHAnsi"/>
          <w:color w:val="auto"/>
          <w:vertAlign w:val="superscript"/>
        </w:rPr>
        <w:t>th</w:t>
      </w:r>
      <w:r w:rsidRPr="00DE4CD2">
        <w:rPr>
          <w:rFonts w:asciiTheme="majorHAnsi" w:hAnsiTheme="majorHAnsi" w:cstheme="majorHAnsi"/>
          <w:color w:val="auto"/>
        </w:rPr>
        <w:t xml:space="preserve"> December 2023)</w:t>
      </w:r>
    </w:p>
    <w:p w14:paraId="02421B72" w14:textId="77777777" w:rsidR="002C3BB1" w:rsidRPr="00DE4CD2" w:rsidRDefault="002C3BB1" w:rsidP="002C3BB1">
      <w:pPr>
        <w:rPr>
          <w:rFonts w:asciiTheme="majorHAnsi" w:hAnsiTheme="majorHAnsi" w:cstheme="majorHAnsi"/>
        </w:rPr>
      </w:pPr>
    </w:p>
    <w:p w14:paraId="3D2393B2" w14:textId="2F5CCE74" w:rsidR="002C3BB1" w:rsidRPr="00DE4CD2" w:rsidRDefault="002C3BB1" w:rsidP="00FE6AC1">
      <w:pPr>
        <w:spacing w:after="120"/>
        <w:jc w:val="both"/>
        <w:rPr>
          <w:rFonts w:asciiTheme="majorHAnsi" w:eastAsiaTheme="minorHAnsi" w:hAnsiTheme="majorHAnsi" w:cstheme="majorHAnsi"/>
          <w:i/>
          <w:iCs/>
          <w:lang w:val="en-US" w:eastAsia="en-US"/>
        </w:rPr>
      </w:pPr>
      <w:bookmarkStart w:id="33" w:name="_Ref152853293"/>
      <w:r w:rsidRPr="00DE4CD2">
        <w:rPr>
          <w:rFonts w:asciiTheme="majorHAnsi" w:eastAsiaTheme="minorHAnsi" w:hAnsiTheme="majorHAnsi" w:cstheme="majorHAnsi"/>
          <w:i/>
          <w:iCs/>
          <w:lang w:val="en-US" w:eastAsia="en-US"/>
        </w:rPr>
        <w:t xml:space="preserve">Figure </w:t>
      </w:r>
      <w:r w:rsidR="00FE6AC1" w:rsidRPr="00DE4CD2">
        <w:rPr>
          <w:rFonts w:asciiTheme="majorHAnsi" w:eastAsiaTheme="minorHAnsi" w:hAnsiTheme="majorHAnsi" w:cstheme="majorHAnsi"/>
          <w:i/>
          <w:iCs/>
          <w:lang w:val="en-US" w:eastAsia="en-US"/>
        </w:rPr>
        <w:t>36</w:t>
      </w:r>
      <w:bookmarkEnd w:id="33"/>
      <w:r w:rsidRPr="00DE4CD2">
        <w:rPr>
          <w:rFonts w:asciiTheme="majorHAnsi" w:eastAsiaTheme="minorHAnsi" w:hAnsiTheme="majorHAnsi" w:cstheme="majorHAnsi"/>
          <w:i/>
          <w:iCs/>
          <w:lang w:val="en-US" w:eastAsia="en-US"/>
        </w:rPr>
        <w:t>: Reports collected and reports coded per country / geographical area</w:t>
      </w:r>
    </w:p>
    <w:p w14:paraId="18E5DEBF" w14:textId="77777777" w:rsidR="002C3BB1" w:rsidRPr="00DE4CD2" w:rsidRDefault="002C3BB1" w:rsidP="002C3BB1">
      <w:pPr>
        <w:rPr>
          <w:rFonts w:asciiTheme="majorHAnsi" w:hAnsiTheme="majorHAnsi" w:cstheme="majorHAnsi"/>
        </w:rPr>
      </w:pPr>
      <w:r w:rsidRPr="00DE4CD2">
        <w:rPr>
          <w:rFonts w:asciiTheme="majorHAnsi" w:hAnsiTheme="majorHAnsi" w:cstheme="majorHAnsi"/>
          <w:noProof/>
          <w:lang w:val="de-DE" w:eastAsia="de-DE"/>
        </w:rPr>
        <w:drawing>
          <wp:inline distT="0" distB="0" distL="0" distR="0" wp14:anchorId="7BD86538" wp14:editId="3AC99EEA">
            <wp:extent cx="5756829" cy="3252084"/>
            <wp:effectExtent l="0" t="0" r="15875" b="5715"/>
            <wp:docPr id="33" name="Diagramm 3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459F1004" w14:textId="77777777" w:rsidR="002C3BB1" w:rsidRPr="00DE4CD2" w:rsidRDefault="002C3BB1" w:rsidP="002C3BB1">
      <w:pPr>
        <w:pStyle w:val="Beschriftung"/>
        <w:spacing w:after="0"/>
        <w:rPr>
          <w:rFonts w:asciiTheme="majorHAnsi" w:hAnsiTheme="majorHAnsi" w:cstheme="majorHAnsi"/>
          <w:color w:val="auto"/>
        </w:rPr>
      </w:pPr>
      <w:r w:rsidRPr="00DE4CD2">
        <w:rPr>
          <w:rFonts w:asciiTheme="majorHAnsi" w:hAnsiTheme="majorHAnsi" w:cstheme="majorHAnsi"/>
          <w:color w:val="auto"/>
        </w:rPr>
        <w:t>Source: SIPER Database (as of 5</w:t>
      </w:r>
      <w:r w:rsidRPr="00DE4CD2">
        <w:rPr>
          <w:rFonts w:asciiTheme="majorHAnsi" w:hAnsiTheme="majorHAnsi" w:cstheme="majorHAnsi"/>
          <w:color w:val="auto"/>
          <w:vertAlign w:val="superscript"/>
        </w:rPr>
        <w:t>th</w:t>
      </w:r>
      <w:r w:rsidRPr="00DE4CD2">
        <w:rPr>
          <w:rFonts w:asciiTheme="majorHAnsi" w:hAnsiTheme="majorHAnsi" w:cstheme="majorHAnsi"/>
          <w:color w:val="auto"/>
        </w:rPr>
        <w:t xml:space="preserve"> December 2023)</w:t>
      </w:r>
    </w:p>
    <w:p w14:paraId="7E852944" w14:textId="77777777" w:rsidR="002C3BB1" w:rsidRPr="00DE4CD2" w:rsidRDefault="002C3BB1" w:rsidP="002C3BB1">
      <w:pPr>
        <w:rPr>
          <w:rFonts w:asciiTheme="majorHAnsi" w:hAnsiTheme="majorHAnsi" w:cstheme="majorHAnsi"/>
          <w:b/>
          <w:i/>
        </w:rPr>
      </w:pPr>
    </w:p>
    <w:p w14:paraId="3A57A41D" w14:textId="77777777" w:rsidR="00D32776" w:rsidRPr="00DE4CD2" w:rsidRDefault="00D32776" w:rsidP="00D32776">
      <w:pPr>
        <w:jc w:val="both"/>
        <w:rPr>
          <w:rFonts w:asciiTheme="majorHAnsi" w:hAnsiTheme="majorHAnsi" w:cstheme="majorHAnsi"/>
        </w:rPr>
      </w:pPr>
      <w:r w:rsidRPr="00DE4CD2">
        <w:rPr>
          <w:rFonts w:asciiTheme="majorHAnsi" w:hAnsiTheme="majorHAnsi" w:cstheme="majorHAnsi"/>
        </w:rPr>
        <w:lastRenderedPageBreak/>
        <w:t>In order to ensure that the evaluation reports are appropriate for the application of the coding process, each report must fulfil certain criteria. It either has to relate directly to an STI policy instrument, i.e. all public interventions that support R&amp;I activities, evaluate an instrument or a defined group of instruments and provide some kind of evidence on the instrument's performance. Considering these criteria, during RISIS 2 we coded reports mainly in German and English. As in certain periods, the SIPER team included people fluent in Dutch and Polish, we coded selected reports from the Netherlands and Poland as well. Besides, we invested considerable time and effort in identifying and coding additional reports from those countries already included in SIPER during the funding period of RISIS 1. As of December 2023, 1223 reports have been collected and 864 of them have been coded. Thus, in total, 70.6% of the evaluation reports collected have already been coded (as of 5</w:t>
      </w:r>
      <w:r w:rsidRPr="00DE4CD2">
        <w:rPr>
          <w:rFonts w:asciiTheme="majorHAnsi" w:hAnsiTheme="majorHAnsi" w:cstheme="majorHAnsi"/>
          <w:vertAlign w:val="superscript"/>
        </w:rPr>
        <w:t>th</w:t>
      </w:r>
      <w:r w:rsidRPr="00DE4CD2">
        <w:rPr>
          <w:rFonts w:asciiTheme="majorHAnsi" w:hAnsiTheme="majorHAnsi" w:cstheme="majorHAnsi"/>
        </w:rPr>
        <w:t xml:space="preserve"> December 2023). The figures below show the number of reports collected and reports coded per year (</w:t>
      </w:r>
      <w:r w:rsidRPr="00DE4CD2">
        <w:rPr>
          <w:rFonts w:asciiTheme="majorHAnsi" w:hAnsiTheme="majorHAnsi" w:cstheme="majorHAnsi"/>
        </w:rPr>
        <w:fldChar w:fldCharType="begin"/>
      </w:r>
      <w:r w:rsidRPr="00DE4CD2">
        <w:rPr>
          <w:rFonts w:asciiTheme="majorHAnsi" w:hAnsiTheme="majorHAnsi" w:cstheme="majorHAnsi"/>
        </w:rPr>
        <w:instrText xml:space="preserve"> REF _Ref152853290 \h  \* MERGEFORMAT </w:instrText>
      </w:r>
      <w:r w:rsidRPr="00DE4CD2">
        <w:rPr>
          <w:rFonts w:asciiTheme="majorHAnsi" w:hAnsiTheme="majorHAnsi" w:cstheme="majorHAnsi"/>
        </w:rPr>
      </w:r>
      <w:r w:rsidRPr="00DE4CD2">
        <w:rPr>
          <w:rFonts w:asciiTheme="majorHAnsi" w:hAnsiTheme="majorHAnsi" w:cstheme="majorHAnsi"/>
        </w:rPr>
        <w:fldChar w:fldCharType="separate"/>
      </w:r>
      <w:r w:rsidRPr="00DE4CD2">
        <w:rPr>
          <w:rFonts w:asciiTheme="majorHAnsi" w:hAnsiTheme="majorHAnsi" w:cstheme="majorHAnsi"/>
        </w:rPr>
        <w:t xml:space="preserve">Figure </w:t>
      </w:r>
      <w:r w:rsidRPr="00DE4CD2">
        <w:rPr>
          <w:rFonts w:asciiTheme="majorHAnsi" w:hAnsiTheme="majorHAnsi" w:cstheme="majorHAnsi"/>
          <w:noProof/>
        </w:rPr>
        <w:t>35</w:t>
      </w:r>
      <w:r w:rsidRPr="00DE4CD2">
        <w:rPr>
          <w:rFonts w:asciiTheme="majorHAnsi" w:hAnsiTheme="majorHAnsi" w:cstheme="majorHAnsi"/>
        </w:rPr>
        <w:fldChar w:fldCharType="end"/>
      </w:r>
      <w:r w:rsidRPr="00DE4CD2">
        <w:rPr>
          <w:rFonts w:asciiTheme="majorHAnsi" w:hAnsiTheme="majorHAnsi" w:cstheme="majorHAnsi"/>
        </w:rPr>
        <w:t>) and per country / geographical area (</w:t>
      </w:r>
      <w:r w:rsidRPr="00DE4CD2">
        <w:rPr>
          <w:rFonts w:asciiTheme="majorHAnsi" w:hAnsiTheme="majorHAnsi" w:cstheme="majorHAnsi"/>
        </w:rPr>
        <w:fldChar w:fldCharType="begin"/>
      </w:r>
      <w:r w:rsidRPr="00DE4CD2">
        <w:rPr>
          <w:rFonts w:asciiTheme="majorHAnsi" w:hAnsiTheme="majorHAnsi" w:cstheme="majorHAnsi"/>
        </w:rPr>
        <w:instrText xml:space="preserve"> REF _Ref152853293 \h  \* MERGEFORMAT </w:instrText>
      </w:r>
      <w:r w:rsidRPr="00DE4CD2">
        <w:rPr>
          <w:rFonts w:asciiTheme="majorHAnsi" w:hAnsiTheme="majorHAnsi" w:cstheme="majorHAnsi"/>
        </w:rPr>
      </w:r>
      <w:r w:rsidRPr="00DE4CD2">
        <w:rPr>
          <w:rFonts w:asciiTheme="majorHAnsi" w:hAnsiTheme="majorHAnsi" w:cstheme="majorHAnsi"/>
        </w:rPr>
        <w:fldChar w:fldCharType="separate"/>
      </w:r>
      <w:r w:rsidRPr="00DE4CD2">
        <w:rPr>
          <w:rFonts w:asciiTheme="majorHAnsi" w:hAnsiTheme="majorHAnsi" w:cstheme="majorHAnsi"/>
        </w:rPr>
        <w:t xml:space="preserve">Figure </w:t>
      </w:r>
      <w:r w:rsidRPr="00DE4CD2">
        <w:rPr>
          <w:rFonts w:asciiTheme="majorHAnsi" w:hAnsiTheme="majorHAnsi" w:cstheme="majorHAnsi"/>
          <w:noProof/>
        </w:rPr>
        <w:t>36</w:t>
      </w:r>
      <w:r w:rsidRPr="00DE4CD2">
        <w:rPr>
          <w:rFonts w:asciiTheme="majorHAnsi" w:hAnsiTheme="majorHAnsi" w:cstheme="majorHAnsi"/>
        </w:rPr>
        <w:fldChar w:fldCharType="end"/>
      </w:r>
      <w:r w:rsidRPr="00DE4CD2">
        <w:rPr>
          <w:rFonts w:asciiTheme="majorHAnsi" w:hAnsiTheme="majorHAnsi" w:cstheme="majorHAnsi"/>
        </w:rPr>
        <w:t>).</w:t>
      </w:r>
    </w:p>
    <w:p w14:paraId="5BDB2BDB" w14:textId="77777777" w:rsidR="00D32776" w:rsidRPr="00DE4CD2" w:rsidRDefault="00D32776" w:rsidP="002C3BB1">
      <w:pPr>
        <w:rPr>
          <w:rFonts w:asciiTheme="majorHAnsi" w:hAnsiTheme="majorHAnsi" w:cstheme="majorHAnsi"/>
          <w:b/>
          <w:i/>
        </w:rPr>
      </w:pPr>
    </w:p>
    <w:p w14:paraId="02364000" w14:textId="4F3FC0FB" w:rsidR="002C3BB1" w:rsidRPr="00DE4CD2" w:rsidRDefault="002C3BB1" w:rsidP="002C3BB1">
      <w:pPr>
        <w:rPr>
          <w:rFonts w:asciiTheme="majorHAnsi" w:hAnsiTheme="majorHAnsi" w:cstheme="majorHAnsi"/>
          <w:b/>
          <w:i/>
        </w:rPr>
      </w:pPr>
      <w:r w:rsidRPr="00DE4CD2">
        <w:rPr>
          <w:rFonts w:asciiTheme="majorHAnsi" w:hAnsiTheme="majorHAnsi" w:cstheme="majorHAnsi"/>
          <w:b/>
          <w:i/>
        </w:rPr>
        <w:t>Main achievements</w:t>
      </w:r>
    </w:p>
    <w:p w14:paraId="7641EB9B" w14:textId="77777777" w:rsidR="002C3BB1" w:rsidRPr="00DE4CD2" w:rsidRDefault="002C3BB1" w:rsidP="002C3BB1">
      <w:pPr>
        <w:rPr>
          <w:rFonts w:asciiTheme="majorHAnsi" w:hAnsiTheme="majorHAnsi" w:cstheme="majorHAnsi"/>
        </w:rPr>
      </w:pPr>
      <w:r w:rsidRPr="00DE4CD2">
        <w:rPr>
          <w:rFonts w:asciiTheme="majorHAnsi" w:hAnsiTheme="majorHAnsi" w:cstheme="majorHAnsi"/>
        </w:rPr>
        <w:t>Database maintenance for SIPER implies first and foremost that additional evaluation reports are collected and coded on a continuous basis. In this section, we decided to give insight into the other developments that RISIS 2 has enabled the Fraunhofer ISI team to do.</w:t>
      </w:r>
    </w:p>
    <w:p w14:paraId="59F88E93" w14:textId="77777777" w:rsidR="002C3BB1" w:rsidRPr="00DE4CD2" w:rsidRDefault="002C3BB1" w:rsidP="002C3BB1">
      <w:pPr>
        <w:jc w:val="both"/>
        <w:rPr>
          <w:rFonts w:asciiTheme="majorHAnsi" w:hAnsiTheme="majorHAnsi" w:cstheme="majorHAnsi"/>
        </w:rPr>
      </w:pPr>
      <w:r w:rsidRPr="00DE4CD2">
        <w:rPr>
          <w:rFonts w:asciiTheme="majorHAnsi" w:hAnsiTheme="majorHAnsi" w:cstheme="majorHAnsi"/>
        </w:rPr>
        <w:t>First of all, with the start of RISIS 2, responsibility for maintaining and updating SIPER shifted from the University of Manchester to Fraunhofer ISI. During the first year of funding (</w:t>
      </w:r>
      <w:r w:rsidRPr="00DE4CD2">
        <w:rPr>
          <w:rFonts w:asciiTheme="majorHAnsi" w:hAnsiTheme="majorHAnsi" w:cstheme="majorHAnsi"/>
          <w:b/>
        </w:rPr>
        <w:t>2019</w:t>
      </w:r>
      <w:r w:rsidRPr="00DE4CD2">
        <w:rPr>
          <w:rFonts w:asciiTheme="majorHAnsi" w:hAnsiTheme="majorHAnsi" w:cstheme="majorHAnsi"/>
        </w:rPr>
        <w:t xml:space="preserve">) we focused on transferring the website to servers at Fraunhofer ISI including a redesign of the website and developed the first new feature that all reports which have been coded are available via the website in PDF format. In </w:t>
      </w:r>
      <w:r w:rsidRPr="00DE4CD2">
        <w:rPr>
          <w:rFonts w:asciiTheme="majorHAnsi" w:hAnsiTheme="majorHAnsi" w:cstheme="majorHAnsi"/>
          <w:b/>
        </w:rPr>
        <w:t>2020</w:t>
      </w:r>
      <w:r w:rsidRPr="00DE4CD2">
        <w:rPr>
          <w:rFonts w:asciiTheme="majorHAnsi" w:hAnsiTheme="majorHAnsi" w:cstheme="majorHAnsi"/>
        </w:rPr>
        <w:t>, we developed a second new functionality for the website: since then, the repository can be explored in a new way as free text searches can be conducted that enable a more flexible use of the repository than the predefined search mask alone. Furthermore, the new search function has been configured in such a way that the search result also includes reports that have been uploaded to the repository but have not yet been coded for the application of the search mask.</w:t>
      </w:r>
    </w:p>
    <w:p w14:paraId="2ECC3C3D" w14:textId="77777777" w:rsidR="002C3BB1" w:rsidRPr="00DE4CD2" w:rsidRDefault="002C3BB1" w:rsidP="002C3BB1">
      <w:pPr>
        <w:rPr>
          <w:rFonts w:asciiTheme="majorHAnsi" w:hAnsiTheme="majorHAnsi" w:cstheme="majorHAnsi"/>
        </w:rPr>
      </w:pPr>
    </w:p>
    <w:p w14:paraId="2F827226" w14:textId="3440A37A" w:rsidR="002C3BB1" w:rsidRPr="00DE4CD2" w:rsidRDefault="002C3BB1" w:rsidP="002C3BB1">
      <w:pPr>
        <w:jc w:val="both"/>
        <w:rPr>
          <w:rFonts w:asciiTheme="majorHAnsi" w:hAnsiTheme="majorHAnsi" w:cstheme="majorHAnsi"/>
        </w:rPr>
      </w:pPr>
      <w:r w:rsidRPr="00DE4CD2">
        <w:rPr>
          <w:rFonts w:asciiTheme="majorHAnsi" w:hAnsiTheme="majorHAnsi" w:cstheme="majorHAnsi"/>
        </w:rPr>
        <w:t xml:space="preserve">In </w:t>
      </w:r>
      <w:r w:rsidRPr="00DE4CD2">
        <w:rPr>
          <w:rFonts w:asciiTheme="majorHAnsi" w:hAnsiTheme="majorHAnsi" w:cstheme="majorHAnsi"/>
          <w:b/>
        </w:rPr>
        <w:t>2021</w:t>
      </w:r>
      <w:r w:rsidRPr="00DE4CD2">
        <w:rPr>
          <w:rFonts w:asciiTheme="majorHAnsi" w:hAnsiTheme="majorHAnsi" w:cstheme="majorHAnsi"/>
        </w:rPr>
        <w:t>, we were successful in organising a policy maker session with the participation of Michael Keenan from the OECD as a discussant on the topic of the growing importance of societal and environmental impacts. As part of this policy maker session, the Fraunhofer ISI team developed a corresponding policy brief. This joint presentation and discussion was the result of meetings taking place beforehand aiming at connecting SIPER and the OECD's STIP Compass (</w:t>
      </w:r>
      <w:hyperlink r:id="rId78" w:history="1">
        <w:r w:rsidRPr="00DE4CD2">
          <w:rPr>
            <w:rStyle w:val="Hyperlink"/>
            <w:rFonts w:asciiTheme="majorHAnsi" w:hAnsiTheme="majorHAnsi" w:cstheme="majorHAnsi"/>
            <w:color w:val="auto"/>
          </w:rPr>
          <w:t>https://stip.oecd.org/stip.html</w:t>
        </w:r>
      </w:hyperlink>
      <w:r w:rsidRPr="00DE4CD2">
        <w:rPr>
          <w:rFonts w:asciiTheme="majorHAnsi" w:hAnsiTheme="majorHAnsi" w:cstheme="majorHAnsi"/>
        </w:rPr>
        <w:t>). One of the main achievements of this collaboration is that since 2020 the STIP Compass has included information on whether a policy measure has been evaluated. This is beneficial for both parties: while the collaboration facilitates search procedures for SIPER, the STIP Compass can benefit from information on and access to further evaluation reports.</w:t>
      </w:r>
    </w:p>
    <w:p w14:paraId="5882FD6A" w14:textId="77777777" w:rsidR="002C3BB1" w:rsidRPr="00DE4CD2" w:rsidRDefault="002C3BB1" w:rsidP="002C3BB1">
      <w:pPr>
        <w:rPr>
          <w:rFonts w:asciiTheme="majorHAnsi" w:hAnsiTheme="majorHAnsi" w:cstheme="majorHAnsi"/>
        </w:rPr>
      </w:pPr>
    </w:p>
    <w:p w14:paraId="3A61DFFD" w14:textId="5E95FAC1" w:rsidR="002C3BB1" w:rsidRPr="00DE4CD2" w:rsidRDefault="002C3BB1" w:rsidP="00D32776">
      <w:pPr>
        <w:jc w:val="both"/>
        <w:rPr>
          <w:rFonts w:asciiTheme="majorHAnsi" w:hAnsiTheme="majorHAnsi" w:cstheme="majorHAnsi"/>
        </w:rPr>
      </w:pPr>
      <w:r w:rsidRPr="00DE4CD2">
        <w:rPr>
          <w:rFonts w:asciiTheme="majorHAnsi" w:hAnsiTheme="majorHAnsi" w:cstheme="majorHAnsi"/>
        </w:rPr>
        <w:t xml:space="preserve">In the final two funding years </w:t>
      </w:r>
      <w:r w:rsidRPr="00DE4CD2">
        <w:rPr>
          <w:rFonts w:asciiTheme="majorHAnsi" w:hAnsiTheme="majorHAnsi" w:cstheme="majorHAnsi"/>
          <w:b/>
        </w:rPr>
        <w:t xml:space="preserve">2022 </w:t>
      </w:r>
      <w:r w:rsidRPr="00DE4CD2">
        <w:rPr>
          <w:rFonts w:asciiTheme="majorHAnsi" w:hAnsiTheme="majorHAnsi" w:cstheme="majorHAnsi"/>
        </w:rPr>
        <w:t xml:space="preserve">and </w:t>
      </w:r>
      <w:r w:rsidRPr="00DE4CD2">
        <w:rPr>
          <w:rFonts w:asciiTheme="majorHAnsi" w:hAnsiTheme="majorHAnsi" w:cstheme="majorHAnsi"/>
          <w:b/>
        </w:rPr>
        <w:t>2023</w:t>
      </w:r>
      <w:r w:rsidRPr="00DE4CD2">
        <w:rPr>
          <w:rFonts w:asciiTheme="majorHAnsi" w:hAnsiTheme="majorHAnsi" w:cstheme="majorHAnsi"/>
        </w:rPr>
        <w:t xml:space="preserve">, we intensified our efforts to complete the matching of SIPER and EFIL. There are still some minor technical issues with displaying the EFIL codes on SIPER's website but once these have been solved by the Fraunhofer ISI IT department, the matching will be complete and the codes will be publicly visible. Currently we focus on closing the gap between collected and coded reports for the years 2020-2023. The table below gives a more detailed account on project deliverables, milestones and presentations per funding year. </w:t>
      </w:r>
    </w:p>
    <w:p w14:paraId="3AC1B553" w14:textId="34560A9E" w:rsidR="00D32776" w:rsidRPr="00DE4CD2" w:rsidRDefault="00D32776" w:rsidP="00D32776">
      <w:pPr>
        <w:jc w:val="both"/>
        <w:rPr>
          <w:rFonts w:asciiTheme="majorHAnsi" w:hAnsiTheme="majorHAnsi" w:cstheme="majorHAnsi"/>
        </w:rPr>
      </w:pPr>
    </w:p>
    <w:p w14:paraId="63E22497" w14:textId="75A2A2D9" w:rsidR="00D32776" w:rsidRPr="00DE4CD2" w:rsidRDefault="00D32776" w:rsidP="00D32776">
      <w:pPr>
        <w:jc w:val="both"/>
        <w:rPr>
          <w:rFonts w:asciiTheme="majorHAnsi" w:hAnsiTheme="majorHAnsi" w:cstheme="majorHAnsi"/>
        </w:rPr>
      </w:pPr>
    </w:p>
    <w:p w14:paraId="7B4E518B" w14:textId="77777777" w:rsidR="00D32776" w:rsidRPr="00DE4CD2" w:rsidRDefault="00D32776" w:rsidP="00D32776">
      <w:pPr>
        <w:jc w:val="both"/>
        <w:rPr>
          <w:rFonts w:asciiTheme="majorHAnsi" w:hAnsiTheme="majorHAnsi" w:cstheme="majorHAnsi"/>
        </w:rPr>
      </w:pPr>
    </w:p>
    <w:p w14:paraId="7CB99EFB" w14:textId="781501F6" w:rsidR="002C3BB1" w:rsidRPr="00DE4CD2" w:rsidRDefault="002C3BB1" w:rsidP="002C3BB1">
      <w:pPr>
        <w:jc w:val="both"/>
        <w:rPr>
          <w:rFonts w:asciiTheme="majorHAnsi" w:hAnsiTheme="majorHAnsi" w:cstheme="majorHAnsi"/>
        </w:rPr>
      </w:pPr>
    </w:p>
    <w:p w14:paraId="687770C1" w14:textId="77777777" w:rsidR="002C3BB1" w:rsidRPr="00DE4CD2" w:rsidRDefault="002C3BB1" w:rsidP="002C3BB1">
      <w:pPr>
        <w:rPr>
          <w:rFonts w:asciiTheme="majorHAnsi" w:hAnsiTheme="majorHAnsi" w:cstheme="majorHAnsi"/>
          <w:b/>
          <w:i/>
        </w:rPr>
      </w:pPr>
      <w:r w:rsidRPr="00DE4CD2">
        <w:rPr>
          <w:rFonts w:asciiTheme="majorHAnsi" w:hAnsiTheme="majorHAnsi" w:cstheme="majorHAnsi"/>
          <w:b/>
          <w:i/>
        </w:rPr>
        <w:lastRenderedPageBreak/>
        <w:t>Descriptions of use</w:t>
      </w:r>
    </w:p>
    <w:p w14:paraId="492D908D" w14:textId="77777777" w:rsidR="002C3BB1" w:rsidRPr="00DE4CD2" w:rsidRDefault="002C3BB1" w:rsidP="002C3BB1">
      <w:pPr>
        <w:rPr>
          <w:rFonts w:asciiTheme="majorHAnsi" w:hAnsiTheme="majorHAnsi" w:cstheme="majorHAnsi"/>
        </w:rPr>
      </w:pPr>
      <w:r w:rsidRPr="00DE4CD2">
        <w:rPr>
          <w:rFonts w:asciiTheme="majorHAnsi" w:hAnsiTheme="majorHAnsi" w:cstheme="majorHAnsi"/>
        </w:rPr>
        <w:t>As SIPER is a publicly available online service, which does not require registration by users, we cannot provide concrete numbers of cases where users only exploit the public interface of SIPER as they do not have to apply for access via the RCF.</w:t>
      </w:r>
    </w:p>
    <w:p w14:paraId="740F5566" w14:textId="77777777" w:rsidR="002C3BB1" w:rsidRPr="00DE4CD2" w:rsidRDefault="002C3BB1" w:rsidP="002C3BB1">
      <w:pPr>
        <w:rPr>
          <w:rFonts w:asciiTheme="majorHAnsi" w:hAnsiTheme="majorHAnsi" w:cstheme="majorHAnsi"/>
        </w:rPr>
      </w:pPr>
      <w:r w:rsidRPr="00DE4CD2">
        <w:rPr>
          <w:rFonts w:asciiTheme="majorHAnsi" w:hAnsiTheme="majorHAnsi" w:cstheme="majorHAnsi"/>
        </w:rPr>
        <w:t xml:space="preserve">Regarding the access requests via the RCF, we registered three requests in 2021; only one of them was assessed positively concerning SIPER. As regards further RISIS datasets, the applicant asked for access to the CWTS Publication Database and JOREP 2.0. The respective project title was "Research Funding Programmes for Interdisciplinarity and </w:t>
      </w:r>
      <w:proofErr w:type="spellStart"/>
      <w:r w:rsidRPr="00DE4CD2">
        <w:rPr>
          <w:rFonts w:asciiTheme="majorHAnsi" w:hAnsiTheme="majorHAnsi" w:cstheme="majorHAnsi"/>
        </w:rPr>
        <w:t>Transdisciplinarity</w:t>
      </w:r>
      <w:proofErr w:type="spellEnd"/>
      <w:r w:rsidRPr="00DE4CD2">
        <w:rPr>
          <w:rFonts w:asciiTheme="majorHAnsi" w:hAnsiTheme="majorHAnsi" w:cstheme="majorHAnsi"/>
        </w:rPr>
        <w:t>". The project's aim was to identify and compare research funding and performing programmes that address green and digital transitions.</w:t>
      </w:r>
    </w:p>
    <w:p w14:paraId="79926670" w14:textId="77777777" w:rsidR="002C3BB1" w:rsidRPr="00DE4CD2" w:rsidRDefault="002C3BB1" w:rsidP="002C3BB1">
      <w:pPr>
        <w:rPr>
          <w:rFonts w:asciiTheme="majorHAnsi" w:hAnsiTheme="majorHAnsi" w:cstheme="majorHAnsi"/>
        </w:rPr>
      </w:pPr>
    </w:p>
    <w:p w14:paraId="0B4C24A4" w14:textId="70013670" w:rsidR="002C3BB1" w:rsidRPr="00DE4CD2" w:rsidRDefault="002C3BB1" w:rsidP="002C3BB1">
      <w:pPr>
        <w:rPr>
          <w:rFonts w:asciiTheme="majorHAnsi" w:hAnsiTheme="majorHAnsi" w:cstheme="majorHAnsi"/>
        </w:rPr>
      </w:pPr>
      <w:r w:rsidRPr="00DE4CD2">
        <w:rPr>
          <w:rFonts w:asciiTheme="majorHAnsi" w:hAnsiTheme="majorHAnsi" w:cstheme="majorHAnsi"/>
        </w:rPr>
        <w:t xml:space="preserve">All other access requests via the RCF pertain to the year 2022 (n=5). Again, only one of these was assessed positively regarding the use of SIPER, while all other requests were completely rejected (not only for SIPER) in their original form due to, e.g. unclear explanations of how and / or to which end the data would be used. As the applicants were asked to revise their application requests accordingly, it is possible that they resubmit the request in the future. Regarding the positively assessed case, further RISIS datasets included CIB / </w:t>
      </w:r>
      <w:proofErr w:type="spellStart"/>
      <w:r w:rsidRPr="00DE4CD2">
        <w:rPr>
          <w:rFonts w:asciiTheme="majorHAnsi" w:hAnsiTheme="majorHAnsi" w:cstheme="majorHAnsi"/>
        </w:rPr>
        <w:t>CinnoB</w:t>
      </w:r>
      <w:proofErr w:type="spellEnd"/>
      <w:r w:rsidRPr="00DE4CD2">
        <w:rPr>
          <w:rFonts w:asciiTheme="majorHAnsi" w:hAnsiTheme="majorHAnsi" w:cstheme="majorHAnsi"/>
        </w:rPr>
        <w:t>, CWTS Publication Database and EUPRO. The project entitled "USA and China: competition in the semiconductor industry: where economic competition, technological issues and national interests collide" addresses the technological competition between USA and China using the semiconductor industry as an exemplary area of technological competition.</w:t>
      </w:r>
    </w:p>
    <w:p w14:paraId="0326615A" w14:textId="77777777" w:rsidR="002C3BB1" w:rsidRPr="00DE4CD2" w:rsidRDefault="002C3BB1" w:rsidP="002C3BB1">
      <w:pPr>
        <w:rPr>
          <w:rFonts w:asciiTheme="majorHAnsi" w:hAnsiTheme="majorHAnsi" w:cstheme="majorHAnsi"/>
        </w:rPr>
      </w:pPr>
    </w:p>
    <w:p w14:paraId="72716EE4" w14:textId="77777777" w:rsidR="002C3BB1" w:rsidRPr="00DE4CD2" w:rsidRDefault="002C3BB1" w:rsidP="002C3BB1">
      <w:pPr>
        <w:rPr>
          <w:rFonts w:asciiTheme="majorHAnsi" w:hAnsiTheme="majorHAnsi" w:cstheme="majorHAnsi"/>
        </w:rPr>
      </w:pPr>
      <w:r w:rsidRPr="00DE4CD2">
        <w:rPr>
          <w:rFonts w:asciiTheme="majorHAnsi" w:hAnsiTheme="majorHAnsi" w:cstheme="majorHAnsi"/>
        </w:rPr>
        <w:t>To complete the roughly sketched picture on usage given above, we will give insights into some exemplary further use cases of publications using the SIPER database below:</w:t>
      </w:r>
    </w:p>
    <w:p w14:paraId="04B81FB0" w14:textId="77777777" w:rsidR="002C3BB1" w:rsidRPr="00DE4CD2" w:rsidRDefault="002C3BB1" w:rsidP="002C3BB1">
      <w:pPr>
        <w:pStyle w:val="Listenabsatz"/>
        <w:numPr>
          <w:ilvl w:val="0"/>
          <w:numId w:val="14"/>
        </w:numPr>
        <w:rPr>
          <w:rFonts w:asciiTheme="majorHAnsi" w:hAnsiTheme="majorHAnsi" w:cstheme="majorHAnsi"/>
        </w:rPr>
      </w:pPr>
      <w:r w:rsidRPr="00DE4CD2">
        <w:rPr>
          <w:rFonts w:asciiTheme="majorHAnsi" w:hAnsiTheme="majorHAnsi" w:cstheme="majorHAnsi"/>
          <w:u w:val="single"/>
        </w:rPr>
        <w:t>Case 1:</w:t>
      </w:r>
      <w:r w:rsidRPr="00DE4CD2">
        <w:rPr>
          <w:rFonts w:asciiTheme="majorHAnsi" w:hAnsiTheme="majorHAnsi" w:cstheme="majorHAnsi"/>
        </w:rPr>
        <w:t xml:space="preserve"> Next to other sources, Paulina </w:t>
      </w:r>
      <w:proofErr w:type="spellStart"/>
      <w:r w:rsidRPr="00DE4CD2">
        <w:rPr>
          <w:rFonts w:asciiTheme="majorHAnsi" w:hAnsiTheme="majorHAnsi" w:cstheme="majorHAnsi"/>
        </w:rPr>
        <w:t>Kubera</w:t>
      </w:r>
      <w:proofErr w:type="spellEnd"/>
      <w:r w:rsidRPr="00DE4CD2">
        <w:rPr>
          <w:rFonts w:asciiTheme="majorHAnsi" w:hAnsiTheme="majorHAnsi" w:cstheme="majorHAnsi"/>
        </w:rPr>
        <w:t xml:space="preserve"> (2017) used the SIPER database to explore the shift from the traditional input-output oriented approach of evaluations to behavioural additionality, i.e. the assessment of persistent behavioural change influenced by an intervention. She concludes that in this regard there are tensions between the theory and practice of evaluations.</w:t>
      </w:r>
    </w:p>
    <w:p w14:paraId="26A45AE9" w14:textId="77777777" w:rsidR="002C3BB1" w:rsidRPr="00DE4CD2" w:rsidRDefault="002C3BB1" w:rsidP="002C3BB1">
      <w:pPr>
        <w:pStyle w:val="Listenabsatz"/>
        <w:numPr>
          <w:ilvl w:val="0"/>
          <w:numId w:val="13"/>
        </w:numPr>
        <w:rPr>
          <w:rFonts w:asciiTheme="majorHAnsi" w:hAnsiTheme="majorHAnsi" w:cstheme="majorHAnsi"/>
        </w:rPr>
      </w:pPr>
      <w:r w:rsidRPr="00DE4CD2">
        <w:rPr>
          <w:rFonts w:asciiTheme="majorHAnsi" w:hAnsiTheme="majorHAnsi" w:cstheme="majorHAnsi"/>
          <w:u w:val="single"/>
        </w:rPr>
        <w:t>Case 2:</w:t>
      </w:r>
      <w:r w:rsidRPr="00DE4CD2">
        <w:rPr>
          <w:rFonts w:asciiTheme="majorHAnsi" w:hAnsiTheme="majorHAnsi" w:cstheme="majorHAnsi"/>
        </w:rPr>
        <w:t xml:space="preserve"> In 2018, Adriana Bin and colleagues used the SIPER database to explore evaluation practices in Latin American countries. They draw three conclusions from their analysis: 1) The results indicate a growing movement towards the institutionalisation of STI policy evaluations in Latin America in accordance with the increasing importance of these policies making a contribution to national economic and social development. 2) There is little variation regarding the methods applied and the indicators used (rather a standard set of methods is applied, indicating the need for substantive advances in this area). And 3) complementary analyses should be applied after the evaluation process seeking to identify possible relationships between the variables analysed as well as the countries' profile regarding STI policy evaluation.</w:t>
      </w:r>
    </w:p>
    <w:p w14:paraId="0A406A6C" w14:textId="77777777" w:rsidR="002C3BB1" w:rsidRPr="00DE4CD2" w:rsidRDefault="002C3BB1" w:rsidP="002C3BB1">
      <w:pPr>
        <w:pStyle w:val="Listenabsatz"/>
        <w:numPr>
          <w:ilvl w:val="0"/>
          <w:numId w:val="13"/>
        </w:numPr>
        <w:rPr>
          <w:rFonts w:asciiTheme="majorHAnsi" w:hAnsiTheme="majorHAnsi" w:cstheme="majorHAnsi"/>
        </w:rPr>
      </w:pPr>
      <w:r w:rsidRPr="00DE4CD2">
        <w:rPr>
          <w:rFonts w:asciiTheme="majorHAnsi" w:hAnsiTheme="majorHAnsi" w:cstheme="majorHAnsi"/>
          <w:u w:val="single"/>
        </w:rPr>
        <w:t>Case 3:</w:t>
      </w:r>
      <w:r w:rsidRPr="00DE4CD2">
        <w:rPr>
          <w:rFonts w:asciiTheme="majorHAnsi" w:hAnsiTheme="majorHAnsi" w:cstheme="majorHAnsi"/>
        </w:rPr>
        <w:t xml:space="preserve"> Using the databases SIPER and RIO (Research and Innovation Observatory), Susana </w:t>
      </w:r>
      <w:proofErr w:type="spellStart"/>
      <w:r w:rsidRPr="00DE4CD2">
        <w:rPr>
          <w:rFonts w:asciiTheme="majorHAnsi" w:hAnsiTheme="majorHAnsi" w:cstheme="majorHAnsi"/>
        </w:rPr>
        <w:t>Borrás</w:t>
      </w:r>
      <w:proofErr w:type="spellEnd"/>
      <w:r w:rsidRPr="00DE4CD2">
        <w:rPr>
          <w:rFonts w:asciiTheme="majorHAnsi" w:hAnsiTheme="majorHAnsi" w:cstheme="majorHAnsi"/>
        </w:rPr>
        <w:t xml:space="preserve"> and Mart </w:t>
      </w:r>
      <w:proofErr w:type="spellStart"/>
      <w:r w:rsidRPr="00DE4CD2">
        <w:rPr>
          <w:rFonts w:asciiTheme="majorHAnsi" w:hAnsiTheme="majorHAnsi" w:cstheme="majorHAnsi"/>
        </w:rPr>
        <w:t>Laatsit</w:t>
      </w:r>
      <w:proofErr w:type="spellEnd"/>
      <w:r w:rsidRPr="00DE4CD2">
        <w:rPr>
          <w:rFonts w:asciiTheme="majorHAnsi" w:hAnsiTheme="majorHAnsi" w:cstheme="majorHAnsi"/>
        </w:rPr>
        <w:t xml:space="preserve"> (2019) developed the concept "system oriented innovation policy evaluation" based on the four attributes coverage, perspective, temporality and expertise.  These attributes are used as analytical devices for gathering empirical evidence on the actual practices of STI policy evaluation in EU member states.</w:t>
      </w:r>
    </w:p>
    <w:p w14:paraId="643F798A" w14:textId="77777777" w:rsidR="002C3BB1" w:rsidRPr="00DE4CD2" w:rsidRDefault="002C3BB1" w:rsidP="002C3BB1">
      <w:pPr>
        <w:pStyle w:val="Listenabsatz"/>
        <w:numPr>
          <w:ilvl w:val="0"/>
          <w:numId w:val="13"/>
        </w:numPr>
        <w:rPr>
          <w:rFonts w:asciiTheme="majorHAnsi" w:hAnsiTheme="majorHAnsi" w:cstheme="majorHAnsi"/>
        </w:rPr>
      </w:pPr>
      <w:r w:rsidRPr="00DE4CD2">
        <w:rPr>
          <w:rFonts w:asciiTheme="majorHAnsi" w:hAnsiTheme="majorHAnsi" w:cstheme="majorHAnsi"/>
          <w:u w:val="single"/>
        </w:rPr>
        <w:t>Case 4:</w:t>
      </w:r>
      <w:r w:rsidRPr="00DE4CD2">
        <w:rPr>
          <w:rFonts w:asciiTheme="majorHAnsi" w:hAnsiTheme="majorHAnsi" w:cstheme="majorHAnsi"/>
        </w:rPr>
        <w:t xml:space="preserve"> In the debate on how to increase the effectiveness of public policy instruments, learning-oriented evaluation becomes a topic of increasing interest as the focus of interest </w:t>
      </w:r>
      <w:r w:rsidRPr="00DE4CD2">
        <w:rPr>
          <w:rFonts w:asciiTheme="majorHAnsi" w:hAnsiTheme="majorHAnsi" w:cstheme="majorHAnsi"/>
        </w:rPr>
        <w:lastRenderedPageBreak/>
        <w:t xml:space="preserve">shifted from the question of "what works" (or what does not) to the more qualitative questions of "why" and "how". Amongst other approaches, Paulina </w:t>
      </w:r>
      <w:proofErr w:type="spellStart"/>
      <w:r w:rsidRPr="00DE4CD2">
        <w:rPr>
          <w:rFonts w:asciiTheme="majorHAnsi" w:hAnsiTheme="majorHAnsi" w:cstheme="majorHAnsi"/>
        </w:rPr>
        <w:t>Kubera</w:t>
      </w:r>
      <w:proofErr w:type="spellEnd"/>
      <w:r w:rsidRPr="00DE4CD2">
        <w:rPr>
          <w:rFonts w:asciiTheme="majorHAnsi" w:hAnsiTheme="majorHAnsi" w:cstheme="majorHAnsi"/>
        </w:rPr>
        <w:t xml:space="preserve"> (2019) explored the SIPER database to dive into the topic of (European) evaluation practices. Her conclusion is that case study approaches are well recognised in evaluation practices in the area of RTDI but that the full potential of such approaches has not been exploited in terms of drawing lessons for future public interventions.</w:t>
      </w:r>
    </w:p>
    <w:p w14:paraId="722687D5" w14:textId="77777777" w:rsidR="002C3BB1" w:rsidRPr="00DE4CD2" w:rsidRDefault="002C3BB1" w:rsidP="002C3BB1">
      <w:pPr>
        <w:pStyle w:val="Listenabsatz"/>
        <w:numPr>
          <w:ilvl w:val="0"/>
          <w:numId w:val="13"/>
        </w:numPr>
        <w:rPr>
          <w:rFonts w:asciiTheme="majorHAnsi" w:hAnsiTheme="majorHAnsi" w:cstheme="majorHAnsi"/>
        </w:rPr>
      </w:pPr>
      <w:r w:rsidRPr="00DE4CD2">
        <w:rPr>
          <w:rFonts w:asciiTheme="majorHAnsi" w:hAnsiTheme="majorHAnsi" w:cstheme="majorHAnsi"/>
          <w:u w:val="single"/>
        </w:rPr>
        <w:t>Case 5:</w:t>
      </w:r>
      <w:r w:rsidRPr="00DE4CD2">
        <w:rPr>
          <w:rFonts w:asciiTheme="majorHAnsi" w:hAnsiTheme="majorHAnsi" w:cstheme="majorHAnsi"/>
        </w:rPr>
        <w:t xml:space="preserve"> Despite growing demand for practicable methods of research evaluations the use of bibliometric indicators remains controversial. In her paper, Arlette </w:t>
      </w:r>
      <w:proofErr w:type="spellStart"/>
      <w:r w:rsidRPr="00DE4CD2">
        <w:rPr>
          <w:rFonts w:asciiTheme="majorHAnsi" w:hAnsiTheme="majorHAnsi" w:cstheme="majorHAnsi"/>
        </w:rPr>
        <w:t>Jappe</w:t>
      </w:r>
      <w:proofErr w:type="spellEnd"/>
      <w:r w:rsidRPr="00DE4CD2">
        <w:rPr>
          <w:rFonts w:asciiTheme="majorHAnsi" w:hAnsiTheme="majorHAnsi" w:cstheme="majorHAnsi"/>
        </w:rPr>
        <w:t xml:space="preserve"> (2019) examines performance assessment practice in Europe by 1) identifying the most commonly used bibliometric methods and 2) identifying the actors who have defined widespread practices. To this end she explored, amongst others, the SIPER database in respect to relevant reports coded as applying citation analysis.</w:t>
      </w:r>
    </w:p>
    <w:p w14:paraId="4B35FB60" w14:textId="77777777" w:rsidR="002C3BB1" w:rsidRPr="00DE4CD2" w:rsidRDefault="002C3BB1" w:rsidP="002C3BB1">
      <w:pPr>
        <w:pStyle w:val="Listenabsatz"/>
        <w:numPr>
          <w:ilvl w:val="0"/>
          <w:numId w:val="13"/>
        </w:numPr>
        <w:rPr>
          <w:rFonts w:asciiTheme="majorHAnsi" w:hAnsiTheme="majorHAnsi" w:cstheme="majorHAnsi"/>
        </w:rPr>
      </w:pPr>
      <w:r w:rsidRPr="00DE4CD2">
        <w:rPr>
          <w:rFonts w:asciiTheme="majorHAnsi" w:hAnsiTheme="majorHAnsi" w:cstheme="majorHAnsi"/>
          <w:u w:val="single"/>
        </w:rPr>
        <w:t>Case 6:</w:t>
      </w:r>
      <w:r w:rsidRPr="00DE4CD2">
        <w:rPr>
          <w:rFonts w:asciiTheme="majorHAnsi" w:hAnsiTheme="majorHAnsi" w:cstheme="majorHAnsi"/>
        </w:rPr>
        <w:t xml:space="preserve"> In his PhD thesis, Mart </w:t>
      </w:r>
      <w:proofErr w:type="spellStart"/>
      <w:r w:rsidRPr="00DE4CD2">
        <w:rPr>
          <w:rFonts w:asciiTheme="majorHAnsi" w:hAnsiTheme="majorHAnsi" w:cstheme="majorHAnsi"/>
        </w:rPr>
        <w:t>Laatsit</w:t>
      </w:r>
      <w:proofErr w:type="spellEnd"/>
      <w:r w:rsidRPr="00DE4CD2">
        <w:rPr>
          <w:rFonts w:asciiTheme="majorHAnsi" w:hAnsiTheme="majorHAnsi" w:cstheme="majorHAnsi"/>
        </w:rPr>
        <w:t xml:space="preserve"> (2019) studied policy learning in the field of innovation policy focusing on the sources of policy learning primarily from evaluations and informal networks. He compared his findings across EU member states in respect to the question what the differences are across countries regarding the way in which they use various sources of policy learning. To complement the data he collected through interviews, he used, inter alia, the SIPER database.</w:t>
      </w:r>
    </w:p>
    <w:p w14:paraId="70F97B99" w14:textId="77777777" w:rsidR="002C3BB1" w:rsidRPr="00DE4CD2" w:rsidRDefault="002C3BB1" w:rsidP="002C3BB1">
      <w:pPr>
        <w:pStyle w:val="Listenabsatz"/>
        <w:numPr>
          <w:ilvl w:val="0"/>
          <w:numId w:val="13"/>
        </w:numPr>
        <w:rPr>
          <w:rFonts w:asciiTheme="majorHAnsi" w:hAnsiTheme="majorHAnsi" w:cstheme="majorHAnsi"/>
        </w:rPr>
      </w:pPr>
      <w:r w:rsidRPr="00DE4CD2">
        <w:rPr>
          <w:rFonts w:asciiTheme="majorHAnsi" w:hAnsiTheme="majorHAnsi" w:cstheme="majorHAnsi"/>
          <w:u w:val="single"/>
        </w:rPr>
        <w:t>Case 7:</w:t>
      </w:r>
      <w:r w:rsidRPr="00DE4CD2">
        <w:rPr>
          <w:rFonts w:asciiTheme="majorHAnsi" w:hAnsiTheme="majorHAnsi" w:cstheme="majorHAnsi"/>
        </w:rPr>
        <w:t xml:space="preserve">  To increase the knowledge on national evaluation practices in Brazil, Rodrigo Nunes </w:t>
      </w:r>
      <w:proofErr w:type="spellStart"/>
      <w:r w:rsidRPr="00DE4CD2">
        <w:rPr>
          <w:rFonts w:asciiTheme="majorHAnsi" w:hAnsiTheme="majorHAnsi" w:cstheme="majorHAnsi"/>
        </w:rPr>
        <w:t>Peclat</w:t>
      </w:r>
      <w:proofErr w:type="spellEnd"/>
      <w:r w:rsidRPr="00DE4CD2">
        <w:rPr>
          <w:rFonts w:asciiTheme="majorHAnsi" w:hAnsiTheme="majorHAnsi" w:cstheme="majorHAnsi"/>
        </w:rPr>
        <w:t xml:space="preserve"> and André </w:t>
      </w:r>
      <w:proofErr w:type="spellStart"/>
      <w:r w:rsidRPr="00DE4CD2">
        <w:rPr>
          <w:rFonts w:asciiTheme="majorHAnsi" w:hAnsiTheme="majorHAnsi" w:cstheme="majorHAnsi"/>
        </w:rPr>
        <w:t>Tortato</w:t>
      </w:r>
      <w:proofErr w:type="spellEnd"/>
      <w:r w:rsidRPr="00DE4CD2">
        <w:rPr>
          <w:rFonts w:asciiTheme="majorHAnsi" w:hAnsiTheme="majorHAnsi" w:cstheme="majorHAnsi"/>
        </w:rPr>
        <w:t xml:space="preserve"> </w:t>
      </w:r>
      <w:proofErr w:type="spellStart"/>
      <w:r w:rsidRPr="00DE4CD2">
        <w:rPr>
          <w:rFonts w:asciiTheme="majorHAnsi" w:hAnsiTheme="majorHAnsi" w:cstheme="majorHAnsi"/>
        </w:rPr>
        <w:t>Rauen</w:t>
      </w:r>
      <w:proofErr w:type="spellEnd"/>
      <w:r w:rsidRPr="00DE4CD2">
        <w:rPr>
          <w:rFonts w:asciiTheme="majorHAnsi" w:hAnsiTheme="majorHAnsi" w:cstheme="majorHAnsi"/>
        </w:rPr>
        <w:t xml:space="preserve"> (2019) used data from the SIPER database to compare Brazilian evaluation practices to those in other countries. They focused on certain key parameters such as time of the evaluation, impacts evaluated or evaluation designs employed. Additionally, they found that the data suggest a lack of integration between qualitative and quantitative methods in the studies they analysed.</w:t>
      </w:r>
    </w:p>
    <w:p w14:paraId="2E0781BD" w14:textId="77777777" w:rsidR="002C3BB1" w:rsidRPr="00DE4CD2" w:rsidRDefault="002C3BB1" w:rsidP="002C3BB1">
      <w:pPr>
        <w:pStyle w:val="Listenabsatz"/>
        <w:numPr>
          <w:ilvl w:val="0"/>
          <w:numId w:val="13"/>
        </w:numPr>
        <w:rPr>
          <w:rFonts w:asciiTheme="majorHAnsi" w:hAnsiTheme="majorHAnsi" w:cstheme="majorHAnsi"/>
        </w:rPr>
      </w:pPr>
      <w:r w:rsidRPr="00DE4CD2">
        <w:rPr>
          <w:rFonts w:asciiTheme="majorHAnsi" w:hAnsiTheme="majorHAnsi" w:cstheme="majorHAnsi"/>
          <w:u w:val="single"/>
        </w:rPr>
        <w:t>Case 8:</w:t>
      </w:r>
      <w:r w:rsidRPr="00DE4CD2">
        <w:rPr>
          <w:rFonts w:asciiTheme="majorHAnsi" w:hAnsiTheme="majorHAnsi" w:cstheme="majorHAnsi"/>
        </w:rPr>
        <w:t xml:space="preserve"> In their report, Michael </w:t>
      </w:r>
      <w:proofErr w:type="spellStart"/>
      <w:r w:rsidRPr="00DE4CD2">
        <w:rPr>
          <w:rFonts w:asciiTheme="majorHAnsi" w:hAnsiTheme="majorHAnsi" w:cstheme="majorHAnsi"/>
        </w:rPr>
        <w:t>Stampfer</w:t>
      </w:r>
      <w:proofErr w:type="spellEnd"/>
      <w:r w:rsidRPr="00DE4CD2">
        <w:rPr>
          <w:rFonts w:asciiTheme="majorHAnsi" w:hAnsiTheme="majorHAnsi" w:cstheme="majorHAnsi"/>
        </w:rPr>
        <w:t xml:space="preserve"> and Michael </w:t>
      </w:r>
      <w:proofErr w:type="spellStart"/>
      <w:r w:rsidRPr="00DE4CD2">
        <w:rPr>
          <w:rFonts w:asciiTheme="majorHAnsi" w:hAnsiTheme="majorHAnsi" w:cstheme="majorHAnsi"/>
        </w:rPr>
        <w:t>Strassnig</w:t>
      </w:r>
      <w:proofErr w:type="spellEnd"/>
      <w:r w:rsidRPr="00DE4CD2">
        <w:rPr>
          <w:rFonts w:asciiTheme="majorHAnsi" w:hAnsiTheme="majorHAnsi" w:cstheme="majorHAnsi"/>
        </w:rPr>
        <w:t xml:space="preserve"> (2020) summarised current concepts for public support actions that aim at strengthening the methodological capabilities of actors in the area of RTI policy evaluation against the backdrop of current and upcoming challenges, e.g. the increasing complexity of RTI policies using, amongst others, data from the SIPER repository for their report. </w:t>
      </w:r>
    </w:p>
    <w:p w14:paraId="7108EB86" w14:textId="77777777" w:rsidR="002C3BB1" w:rsidRPr="00DE4CD2" w:rsidRDefault="002C3BB1" w:rsidP="002C3BB1">
      <w:pPr>
        <w:pStyle w:val="Listenabsatz"/>
        <w:numPr>
          <w:ilvl w:val="0"/>
          <w:numId w:val="13"/>
        </w:numPr>
        <w:rPr>
          <w:rFonts w:asciiTheme="majorHAnsi" w:hAnsiTheme="majorHAnsi" w:cstheme="majorHAnsi"/>
        </w:rPr>
      </w:pPr>
      <w:r w:rsidRPr="00DE4CD2">
        <w:rPr>
          <w:rFonts w:asciiTheme="majorHAnsi" w:hAnsiTheme="majorHAnsi" w:cstheme="majorHAnsi"/>
          <w:u w:val="single"/>
        </w:rPr>
        <w:t>Case 9:</w:t>
      </w:r>
      <w:r w:rsidRPr="00DE4CD2">
        <w:rPr>
          <w:rFonts w:asciiTheme="majorHAnsi" w:hAnsiTheme="majorHAnsi" w:cstheme="majorHAnsi"/>
        </w:rPr>
        <w:t xml:space="preserve"> In their research thesis, Annalisa Monguzzi and </w:t>
      </w:r>
      <w:proofErr w:type="spellStart"/>
      <w:r w:rsidRPr="00DE4CD2">
        <w:rPr>
          <w:rFonts w:asciiTheme="majorHAnsi" w:hAnsiTheme="majorHAnsi" w:cstheme="majorHAnsi"/>
        </w:rPr>
        <w:t>Kseniia</w:t>
      </w:r>
      <w:proofErr w:type="spellEnd"/>
      <w:r w:rsidRPr="00DE4CD2">
        <w:rPr>
          <w:rFonts w:asciiTheme="majorHAnsi" w:hAnsiTheme="majorHAnsi" w:cstheme="majorHAnsi"/>
        </w:rPr>
        <w:t xml:space="preserve"> </w:t>
      </w:r>
      <w:proofErr w:type="spellStart"/>
      <w:r w:rsidRPr="00DE4CD2">
        <w:rPr>
          <w:rFonts w:asciiTheme="majorHAnsi" w:hAnsiTheme="majorHAnsi" w:cstheme="majorHAnsi"/>
        </w:rPr>
        <w:t>Kataskina</w:t>
      </w:r>
      <w:proofErr w:type="spellEnd"/>
      <w:r w:rsidRPr="00DE4CD2">
        <w:rPr>
          <w:rFonts w:asciiTheme="majorHAnsi" w:hAnsiTheme="majorHAnsi" w:cstheme="majorHAnsi"/>
        </w:rPr>
        <w:t xml:space="preserve"> (2021) examined the highly topical issue of societal impacts on the basis of the data provided by SIPER.</w:t>
      </w:r>
    </w:p>
    <w:p w14:paraId="7E4078E6" w14:textId="77777777" w:rsidR="002C3BB1" w:rsidRPr="00DE4CD2" w:rsidRDefault="002C3BB1" w:rsidP="002C3BB1">
      <w:pPr>
        <w:pStyle w:val="Listenabsatz"/>
        <w:numPr>
          <w:ilvl w:val="0"/>
          <w:numId w:val="13"/>
        </w:numPr>
        <w:rPr>
          <w:rFonts w:asciiTheme="majorHAnsi" w:hAnsiTheme="majorHAnsi" w:cstheme="majorHAnsi"/>
        </w:rPr>
      </w:pPr>
      <w:r w:rsidRPr="00DE4CD2">
        <w:rPr>
          <w:rFonts w:asciiTheme="majorHAnsi" w:hAnsiTheme="majorHAnsi" w:cstheme="majorHAnsi"/>
          <w:u w:val="single"/>
        </w:rPr>
        <w:t>Case 10</w:t>
      </w:r>
      <w:r w:rsidRPr="00DE4CD2">
        <w:rPr>
          <w:rFonts w:asciiTheme="majorHAnsi" w:hAnsiTheme="majorHAnsi" w:cstheme="majorHAnsi"/>
        </w:rPr>
        <w:t xml:space="preserve">: Analysing, inter alia, data from the SIPER database, Susanne </w:t>
      </w:r>
      <w:proofErr w:type="spellStart"/>
      <w:r w:rsidRPr="00DE4CD2">
        <w:rPr>
          <w:rFonts w:asciiTheme="majorHAnsi" w:hAnsiTheme="majorHAnsi" w:cstheme="majorHAnsi"/>
        </w:rPr>
        <w:t>Bührer</w:t>
      </w:r>
      <w:proofErr w:type="spellEnd"/>
      <w:r w:rsidRPr="00DE4CD2">
        <w:rPr>
          <w:rFonts w:asciiTheme="majorHAnsi" w:hAnsiTheme="majorHAnsi" w:cstheme="majorHAnsi"/>
        </w:rPr>
        <w:t xml:space="preserve"> and colleagues (2021) demonstrated the growing importance of measuring societal impacts in evaluations. Paying attention to this rising importance, they summarised the current approaches to defining and measuring societal impacts of RTDI policies. They compared funding programmes and agencies across different countries (e.g. Austria, Germany, UK or Sweden) with the conclusion that existing approaches, methods, indicators and data sets run the risk of reaching their limits and failing to meet the market demands.</w:t>
      </w:r>
    </w:p>
    <w:p w14:paraId="0A6B0E43" w14:textId="77777777" w:rsidR="002C3BB1" w:rsidRPr="00DE4CD2" w:rsidRDefault="002C3BB1" w:rsidP="002C3BB1">
      <w:pPr>
        <w:pStyle w:val="Listenabsatz"/>
        <w:numPr>
          <w:ilvl w:val="0"/>
          <w:numId w:val="13"/>
        </w:numPr>
        <w:rPr>
          <w:rFonts w:asciiTheme="majorHAnsi" w:hAnsiTheme="majorHAnsi" w:cstheme="majorHAnsi"/>
          <w:u w:val="single"/>
        </w:rPr>
      </w:pPr>
      <w:r w:rsidRPr="00DE4CD2">
        <w:rPr>
          <w:rFonts w:asciiTheme="majorHAnsi" w:hAnsiTheme="majorHAnsi" w:cstheme="majorHAnsi"/>
          <w:u w:val="single"/>
        </w:rPr>
        <w:t>Case 11:</w:t>
      </w:r>
      <w:r w:rsidRPr="00DE4CD2">
        <w:rPr>
          <w:rFonts w:asciiTheme="majorHAnsi" w:hAnsiTheme="majorHAnsi" w:cstheme="majorHAnsi"/>
        </w:rPr>
        <w:t xml:space="preserve"> In 2022, Carrillo and colleagues analysed data from 30 digital sample platforms (one of which is SIPER) to dive into the question of if and how evaluation practices and frameworks adapt to the rapid development of digital technologies and their ever-growing use. They concluded that there is a lack of evaluation frameworks measuring the performance and effectiveness of public information systems informing STI policy making, which limits the knowledge about what works for whom, when and why. To address this gap, in their paper they proposed an assessment framework tool for STI policy focusing on digital platforms.</w:t>
      </w:r>
    </w:p>
    <w:p w14:paraId="480ED9CF" w14:textId="77777777" w:rsidR="002C3BB1" w:rsidRPr="00DE4CD2" w:rsidRDefault="002C3BB1" w:rsidP="002C3BB1">
      <w:pPr>
        <w:pStyle w:val="Listenabsatz"/>
        <w:numPr>
          <w:ilvl w:val="0"/>
          <w:numId w:val="13"/>
        </w:numPr>
        <w:rPr>
          <w:rFonts w:asciiTheme="majorHAnsi" w:hAnsiTheme="majorHAnsi" w:cstheme="majorHAnsi"/>
          <w:u w:val="single"/>
        </w:rPr>
      </w:pPr>
      <w:r w:rsidRPr="00DE4CD2">
        <w:rPr>
          <w:rFonts w:asciiTheme="majorHAnsi" w:hAnsiTheme="majorHAnsi" w:cstheme="majorHAnsi"/>
          <w:u w:val="single"/>
        </w:rPr>
        <w:lastRenderedPageBreak/>
        <w:t>Case 12:</w:t>
      </w:r>
      <w:r w:rsidRPr="00DE4CD2">
        <w:rPr>
          <w:rFonts w:asciiTheme="majorHAnsi" w:hAnsiTheme="majorHAnsi" w:cstheme="majorHAnsi"/>
        </w:rPr>
        <w:t xml:space="preserve"> Using, amongst others, data from SIPER, Flavia de </w:t>
      </w:r>
      <w:proofErr w:type="spellStart"/>
      <w:r w:rsidRPr="00DE4CD2">
        <w:rPr>
          <w:rFonts w:asciiTheme="majorHAnsi" w:hAnsiTheme="majorHAnsi" w:cstheme="majorHAnsi"/>
        </w:rPr>
        <w:t>Holanda</w:t>
      </w:r>
      <w:proofErr w:type="spellEnd"/>
      <w:r w:rsidRPr="00DE4CD2">
        <w:rPr>
          <w:rFonts w:asciiTheme="majorHAnsi" w:hAnsiTheme="majorHAnsi" w:cstheme="majorHAnsi"/>
        </w:rPr>
        <w:t xml:space="preserve"> Schmidt and colleagues (2022) demonstrated the increasing trend of perceiving science as a political actor and specifically dive into the implications of the current economic recession in Brazil regarding public investments in innovative and scientific (funding) activities.</w:t>
      </w:r>
    </w:p>
    <w:p w14:paraId="7CC6C040" w14:textId="77777777" w:rsidR="002C3BB1" w:rsidRPr="00DE4CD2" w:rsidRDefault="002C3BB1" w:rsidP="002C3BB1">
      <w:pPr>
        <w:pStyle w:val="Listenabsatz"/>
        <w:numPr>
          <w:ilvl w:val="0"/>
          <w:numId w:val="13"/>
        </w:numPr>
        <w:rPr>
          <w:rFonts w:asciiTheme="majorHAnsi" w:hAnsiTheme="majorHAnsi" w:cstheme="majorHAnsi"/>
        </w:rPr>
      </w:pPr>
      <w:r w:rsidRPr="00DE4CD2">
        <w:rPr>
          <w:rFonts w:asciiTheme="majorHAnsi" w:hAnsiTheme="majorHAnsi" w:cstheme="majorHAnsi"/>
          <w:u w:val="single"/>
        </w:rPr>
        <w:t>Case 13:</w:t>
      </w:r>
      <w:r w:rsidRPr="00DE4CD2">
        <w:rPr>
          <w:rFonts w:asciiTheme="majorHAnsi" w:hAnsiTheme="majorHAnsi" w:cstheme="majorHAnsi"/>
        </w:rPr>
        <w:t xml:space="preserve"> In order to identify gender aspects in R&amp;I policy, and in particular existing funding approaches, a research group at </w:t>
      </w:r>
      <w:proofErr w:type="spellStart"/>
      <w:r w:rsidRPr="00DE4CD2">
        <w:rPr>
          <w:rFonts w:asciiTheme="majorHAnsi" w:hAnsiTheme="majorHAnsi" w:cstheme="majorHAnsi"/>
        </w:rPr>
        <w:t>Joanneum</w:t>
      </w:r>
      <w:proofErr w:type="spellEnd"/>
      <w:r w:rsidRPr="00DE4CD2">
        <w:rPr>
          <w:rFonts w:asciiTheme="majorHAnsi" w:hAnsiTheme="majorHAnsi" w:cstheme="majorHAnsi"/>
        </w:rPr>
        <w:t xml:space="preserve"> Research (Austria) analysed the SIPER database. As a result, 50 relevant programmes were identified. This research contributed to the preparation of policy case studies in the framework of INSPIRE, an EU-funded Centre of Excellence on inclusive Gender Equality in Research and Innovation (</w:t>
      </w:r>
      <w:hyperlink r:id="rId79" w:history="1">
        <w:r w:rsidRPr="00DE4CD2">
          <w:rPr>
            <w:rStyle w:val="Hyperlink"/>
            <w:rFonts w:asciiTheme="majorHAnsi" w:hAnsiTheme="majorHAnsi" w:cstheme="majorHAnsi"/>
            <w:color w:val="auto"/>
          </w:rPr>
          <w:t>https://www.isi.fraunhofer.de/en/competence-center/politik-gesellschaft/projekte/inspire.html</w:t>
        </w:r>
      </w:hyperlink>
      <w:r w:rsidRPr="00DE4CD2">
        <w:rPr>
          <w:rFonts w:asciiTheme="majorHAnsi" w:hAnsiTheme="majorHAnsi" w:cstheme="majorHAnsi"/>
        </w:rPr>
        <w:t>).</w:t>
      </w:r>
    </w:p>
    <w:p w14:paraId="58F92118" w14:textId="18A72D0D" w:rsidR="002C3BB1" w:rsidRPr="00DE4CD2" w:rsidRDefault="002C3BB1" w:rsidP="002C3BB1">
      <w:pPr>
        <w:rPr>
          <w:rFonts w:asciiTheme="majorHAnsi" w:hAnsiTheme="majorHAnsi" w:cstheme="majorHAnsi"/>
        </w:rPr>
      </w:pPr>
    </w:p>
    <w:p w14:paraId="6077FA8D" w14:textId="77777777" w:rsidR="00D32776" w:rsidRPr="00DE4CD2" w:rsidRDefault="00D32776" w:rsidP="002C3BB1">
      <w:pPr>
        <w:rPr>
          <w:rFonts w:asciiTheme="majorHAnsi" w:hAnsiTheme="majorHAnsi" w:cstheme="majorHAnsi"/>
        </w:rPr>
      </w:pPr>
    </w:p>
    <w:p w14:paraId="79B2DC5D" w14:textId="480BBC9E" w:rsidR="00C305CA" w:rsidRPr="00DE4CD2" w:rsidRDefault="00C305CA" w:rsidP="00C305CA">
      <w:pPr>
        <w:pStyle w:val="berschrift3"/>
        <w:rPr>
          <w:rFonts w:asciiTheme="majorHAnsi" w:hAnsiTheme="majorHAnsi" w:cstheme="majorHAnsi"/>
          <w:color w:val="auto"/>
        </w:rPr>
      </w:pPr>
      <w:bookmarkStart w:id="34" w:name="_Toc153536137"/>
      <w:r w:rsidRPr="00DE4CD2">
        <w:rPr>
          <w:rFonts w:asciiTheme="majorHAnsi" w:hAnsiTheme="majorHAnsi" w:cstheme="majorHAnsi"/>
          <w:color w:val="auto"/>
        </w:rPr>
        <w:t>EFIL</w:t>
      </w:r>
      <w:bookmarkEnd w:id="34"/>
    </w:p>
    <w:p w14:paraId="79DF7191" w14:textId="6419A94D" w:rsidR="005B3E1A" w:rsidRPr="00DE4CD2" w:rsidRDefault="005B3E1A" w:rsidP="00ED6220">
      <w:pPr>
        <w:rPr>
          <w:rFonts w:asciiTheme="majorHAnsi" w:hAnsiTheme="majorHAnsi" w:cstheme="majorHAnsi"/>
        </w:rPr>
      </w:pPr>
    </w:p>
    <w:p w14:paraId="4154B3EA" w14:textId="77777777" w:rsidR="002C3BB1" w:rsidRPr="00DE4CD2" w:rsidRDefault="002C3BB1" w:rsidP="002C3BB1">
      <w:pPr>
        <w:rPr>
          <w:rFonts w:asciiTheme="majorHAnsi" w:hAnsiTheme="majorHAnsi" w:cstheme="majorHAnsi"/>
          <w:b/>
          <w:bCs/>
          <w:i/>
          <w:iCs/>
        </w:rPr>
      </w:pPr>
      <w:r w:rsidRPr="00DE4CD2">
        <w:rPr>
          <w:rFonts w:asciiTheme="majorHAnsi" w:hAnsiTheme="majorHAnsi" w:cstheme="majorHAnsi"/>
          <w:b/>
          <w:bCs/>
          <w:i/>
          <w:iCs/>
        </w:rPr>
        <w:t xml:space="preserve">Present State and value added </w:t>
      </w:r>
    </w:p>
    <w:p w14:paraId="7B5A4815" w14:textId="77777777" w:rsidR="002C3BB1" w:rsidRPr="00DE4CD2" w:rsidRDefault="002C3BB1" w:rsidP="002C3BB1">
      <w:pPr>
        <w:pBdr>
          <w:top w:val="none" w:sz="0" w:space="0" w:color="auto"/>
          <w:left w:val="none" w:sz="0" w:space="0" w:color="auto"/>
          <w:bottom w:val="none" w:sz="0" w:space="0" w:color="auto"/>
          <w:right w:val="none" w:sz="0" w:space="0" w:color="auto"/>
          <w:between w:val="none" w:sz="0" w:space="0" w:color="auto"/>
        </w:pBdr>
        <w:jc w:val="both"/>
        <w:rPr>
          <w:rFonts w:asciiTheme="majorHAnsi" w:hAnsiTheme="majorHAnsi" w:cstheme="majorHAnsi"/>
          <w:lang w:val="en-US"/>
        </w:rPr>
      </w:pPr>
      <w:r w:rsidRPr="00DE4CD2">
        <w:rPr>
          <w:rFonts w:asciiTheme="majorHAnsi" w:hAnsiTheme="majorHAnsi" w:cstheme="majorHAnsi"/>
          <w:lang w:val="en-US"/>
        </w:rPr>
        <w:t>EFIL - European dataset of public R&amp;D funding instruments has been set up in RISIS2 as a completely new dataset collecting data on national project-based R&amp;D funding instruments managed by relevant Research Funding Organizations (RFO) in selected European countries. The facility provides a comprehensive picture of the R&amp;D funding portfolios from the most relevant RFOs in Europe, allowing for the retrieving of information normally scattered over various sources, through a set of qualitative and quantitative descriptors. The dataset allows characterizing each single funding instruments in terms of several descriptors enabling users to address questions related to R&amp;D policy design and implementation.</w:t>
      </w:r>
    </w:p>
    <w:p w14:paraId="518C5613" w14:textId="77777777" w:rsidR="002C3BB1" w:rsidRPr="00DE4CD2" w:rsidRDefault="002C3BB1" w:rsidP="002C3BB1">
      <w:pPr>
        <w:pBdr>
          <w:top w:val="none" w:sz="0" w:space="0" w:color="auto"/>
          <w:left w:val="none" w:sz="0" w:space="0" w:color="auto"/>
          <w:bottom w:val="none" w:sz="0" w:space="0" w:color="auto"/>
          <w:right w:val="none" w:sz="0" w:space="0" w:color="auto"/>
          <w:between w:val="none" w:sz="0" w:space="0" w:color="auto"/>
        </w:pBdr>
        <w:jc w:val="both"/>
        <w:rPr>
          <w:rFonts w:asciiTheme="majorHAnsi" w:hAnsiTheme="majorHAnsi" w:cstheme="majorHAnsi"/>
          <w:lang w:val="en-US"/>
        </w:rPr>
      </w:pPr>
    </w:p>
    <w:p w14:paraId="0FCEE7E7" w14:textId="77777777" w:rsidR="002C3BB1" w:rsidRPr="00DE4CD2" w:rsidRDefault="002C3BB1" w:rsidP="002C3BB1">
      <w:pPr>
        <w:pBdr>
          <w:top w:val="none" w:sz="0" w:space="0" w:color="auto"/>
          <w:left w:val="none" w:sz="0" w:space="0" w:color="auto"/>
          <w:bottom w:val="none" w:sz="0" w:space="0" w:color="auto"/>
          <w:right w:val="none" w:sz="0" w:space="0" w:color="auto"/>
          <w:between w:val="none" w:sz="0" w:space="0" w:color="auto"/>
        </w:pBdr>
        <w:jc w:val="both"/>
        <w:rPr>
          <w:rFonts w:asciiTheme="majorHAnsi" w:hAnsiTheme="majorHAnsi" w:cstheme="majorHAnsi"/>
          <w:lang w:val="en-US"/>
        </w:rPr>
      </w:pPr>
      <w:r w:rsidRPr="00DE4CD2">
        <w:rPr>
          <w:rFonts w:asciiTheme="majorHAnsi" w:hAnsiTheme="majorHAnsi" w:cstheme="majorHAnsi"/>
          <w:lang w:val="en-US"/>
        </w:rPr>
        <w:t xml:space="preserve">R&amp;D instruments serve in fact as representations of the current R&amp;D policy design, offering empirical insights into public policy choices and their attributes (Reale and </w:t>
      </w:r>
      <w:proofErr w:type="spellStart"/>
      <w:r w:rsidRPr="00DE4CD2">
        <w:rPr>
          <w:rFonts w:asciiTheme="majorHAnsi" w:hAnsiTheme="majorHAnsi" w:cstheme="majorHAnsi"/>
          <w:lang w:val="en-US"/>
        </w:rPr>
        <w:t>Seeber</w:t>
      </w:r>
      <w:proofErr w:type="spellEnd"/>
      <w:r w:rsidRPr="00DE4CD2">
        <w:rPr>
          <w:rFonts w:asciiTheme="majorHAnsi" w:hAnsiTheme="majorHAnsi" w:cstheme="majorHAnsi"/>
          <w:lang w:val="en-US"/>
        </w:rPr>
        <w:t>, 2013). They are the basic units of any governance mode (</w:t>
      </w:r>
      <w:proofErr w:type="spellStart"/>
      <w:r w:rsidRPr="00DE4CD2">
        <w:rPr>
          <w:rFonts w:asciiTheme="majorHAnsi" w:hAnsiTheme="majorHAnsi" w:cstheme="majorHAnsi"/>
          <w:lang w:val="en-US"/>
        </w:rPr>
        <w:t>Capano</w:t>
      </w:r>
      <w:proofErr w:type="spellEnd"/>
      <w:r w:rsidRPr="00DE4CD2">
        <w:rPr>
          <w:rFonts w:asciiTheme="majorHAnsi" w:hAnsiTheme="majorHAnsi" w:cstheme="majorHAnsi"/>
          <w:lang w:val="en-US"/>
        </w:rPr>
        <w:t xml:space="preserve"> et al., 2019), and can be used both in research policy studies and innovation studies to deepen the characteristics of policy mixes (Flanagan et al., 2011). EFIL facilitates comprehension not only of the variety of funding instruments employed in public research but also of their individual roles and effectiveness, underscoring how each specific instrument contributes to the policy mix and impacts on the overall funding landscape in terms of the distribution of resource allocation and the achievement of research goals. EFIL data, in general, are supposed to support research aimed at responding relevant policy questions, such as: ‘how are policy instruments implemented?’; ‘how policy instruments combine and evolve producing different policy mixes?’, ‘what public R&amp;D funding tells us about governance, autonomy, policy goals and means of different European R&amp;D funding systems?’, ‘how instruments combine different logics of governance generating hybridity of public action?’.</w:t>
      </w:r>
    </w:p>
    <w:p w14:paraId="0FA349F6" w14:textId="77777777" w:rsidR="002C3BB1" w:rsidRPr="00DE4CD2" w:rsidRDefault="002C3BB1" w:rsidP="002C3BB1">
      <w:pPr>
        <w:jc w:val="both"/>
        <w:rPr>
          <w:rFonts w:asciiTheme="majorHAnsi" w:hAnsiTheme="majorHAnsi" w:cstheme="majorHAnsi"/>
          <w:lang w:val="en-US"/>
        </w:rPr>
      </w:pPr>
    </w:p>
    <w:p w14:paraId="065908F6" w14:textId="72A33682" w:rsidR="002C3BB1" w:rsidRPr="00DE4CD2" w:rsidRDefault="002C3BB1" w:rsidP="002C3BB1">
      <w:pPr>
        <w:jc w:val="both"/>
        <w:rPr>
          <w:rFonts w:asciiTheme="majorHAnsi" w:hAnsiTheme="majorHAnsi" w:cstheme="majorHAnsi"/>
          <w:lang w:val="en-US"/>
        </w:rPr>
      </w:pPr>
      <w:r w:rsidRPr="00DE4CD2">
        <w:rPr>
          <w:rFonts w:asciiTheme="majorHAnsi" w:hAnsiTheme="majorHAnsi" w:cstheme="majorHAnsi"/>
          <w:lang w:val="en-US"/>
        </w:rPr>
        <w:t xml:space="preserve">Currently, EFIL stores data on 701 project-based R&amp;D funding instruments from 55 RFOs across 10 European countries (see Table </w:t>
      </w:r>
      <w:r w:rsidR="009837B8" w:rsidRPr="00DE4CD2">
        <w:rPr>
          <w:rFonts w:asciiTheme="majorHAnsi" w:hAnsiTheme="majorHAnsi" w:cstheme="majorHAnsi"/>
          <w:lang w:val="en-US"/>
        </w:rPr>
        <w:t>14</w:t>
      </w:r>
      <w:r w:rsidRPr="00DE4CD2">
        <w:rPr>
          <w:rFonts w:asciiTheme="majorHAnsi" w:hAnsiTheme="majorHAnsi" w:cstheme="majorHAnsi"/>
          <w:lang w:val="en-US"/>
        </w:rPr>
        <w:t xml:space="preserve">). Data collection is based on publicly available official documentation accessible through web-exploration and organized in a rich set of descriptors to characterize each instrument from the portfolio of the national RFOs. Descriptors include: (i) attributes of the managing RFOs (e.g., domain, mission); (ii) attributes of the instruments (e.g., aim, mode of funding, composition of decision-making body, eligible beneficiary categories etc.); (iii) time-variant descriptors on budgetary information (funding amounts provided by each funding </w:t>
      </w:r>
      <w:r w:rsidRPr="00DE4CD2">
        <w:rPr>
          <w:rFonts w:asciiTheme="majorHAnsi" w:hAnsiTheme="majorHAnsi" w:cstheme="majorHAnsi"/>
          <w:lang w:val="en-US"/>
        </w:rPr>
        <w:lastRenderedPageBreak/>
        <w:t>single instrument for each single reference year). The temporal coverage assumes the years 2017/2018 (first wave of data collection) and 2021 (second wave) as reference for the re-composition of the RFO portfolios. Budgetary data refer to each year of instrument activity and cover from 2021 back in time up to 2010.</w:t>
      </w:r>
    </w:p>
    <w:p w14:paraId="20B96763" w14:textId="77777777" w:rsidR="002C3BB1" w:rsidRPr="00DE4CD2" w:rsidRDefault="002C3BB1" w:rsidP="002C3BB1">
      <w:pPr>
        <w:rPr>
          <w:rFonts w:asciiTheme="majorHAnsi" w:eastAsiaTheme="minorHAnsi" w:hAnsiTheme="majorHAnsi" w:cstheme="majorHAnsi"/>
          <w:i/>
          <w:iCs/>
          <w:lang w:val="en-US" w:eastAsia="en-US"/>
        </w:rPr>
      </w:pPr>
    </w:p>
    <w:p w14:paraId="03C00647" w14:textId="06DCD083" w:rsidR="002C3BB1" w:rsidRPr="00DE4CD2" w:rsidRDefault="002C3BB1" w:rsidP="002C3BB1">
      <w:pPr>
        <w:rPr>
          <w:rFonts w:asciiTheme="majorHAnsi" w:eastAsiaTheme="minorHAnsi" w:hAnsiTheme="majorHAnsi" w:cstheme="majorHAnsi"/>
          <w:i/>
          <w:iCs/>
          <w:lang w:val="en-US" w:eastAsia="en-US"/>
        </w:rPr>
      </w:pPr>
      <w:r w:rsidRPr="00DE4CD2">
        <w:rPr>
          <w:rFonts w:asciiTheme="majorHAnsi" w:eastAsiaTheme="minorHAnsi" w:hAnsiTheme="majorHAnsi" w:cstheme="majorHAnsi"/>
          <w:i/>
          <w:iCs/>
          <w:lang w:val="en-US" w:eastAsia="en-US"/>
        </w:rPr>
        <w:t xml:space="preserve">Table </w:t>
      </w:r>
      <w:r w:rsidR="009837B8" w:rsidRPr="00DE4CD2">
        <w:rPr>
          <w:rFonts w:asciiTheme="majorHAnsi" w:eastAsiaTheme="minorHAnsi" w:hAnsiTheme="majorHAnsi" w:cstheme="majorHAnsi"/>
          <w:i/>
          <w:iCs/>
          <w:lang w:val="en-US" w:eastAsia="en-US"/>
        </w:rPr>
        <w:t>14</w:t>
      </w:r>
      <w:r w:rsidRPr="00DE4CD2">
        <w:rPr>
          <w:rFonts w:asciiTheme="majorHAnsi" w:eastAsiaTheme="minorHAnsi" w:hAnsiTheme="majorHAnsi" w:cstheme="majorHAnsi"/>
          <w:i/>
          <w:iCs/>
          <w:lang w:val="en-US" w:eastAsia="en-US"/>
        </w:rPr>
        <w:t>. Overview of the coverage of the units of analysis in EFIL as of the current release.</w:t>
      </w:r>
    </w:p>
    <w:p w14:paraId="78BD85F1" w14:textId="77777777" w:rsidR="002C3BB1" w:rsidRPr="00DE4CD2" w:rsidRDefault="002C3BB1" w:rsidP="002C3BB1">
      <w:pPr>
        <w:jc w:val="both"/>
        <w:rPr>
          <w:rFonts w:asciiTheme="majorHAnsi" w:hAnsiTheme="majorHAnsi" w:cstheme="majorHAnsi"/>
          <w:lang w:val="en-US"/>
        </w:rPr>
      </w:pPr>
    </w:p>
    <w:tbl>
      <w:tblPr>
        <w:tblStyle w:val="Tabellenraster"/>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38"/>
        <w:gridCol w:w="1510"/>
        <w:gridCol w:w="1674"/>
      </w:tblGrid>
      <w:tr w:rsidR="00FC3526" w:rsidRPr="00DE4CD2" w14:paraId="60BADB3D" w14:textId="77777777" w:rsidTr="00D41D63">
        <w:trPr>
          <w:jc w:val="center"/>
        </w:trPr>
        <w:tc>
          <w:tcPr>
            <w:tcW w:w="1838" w:type="dxa"/>
            <w:tcBorders>
              <w:top w:val="single" w:sz="4" w:space="0" w:color="auto"/>
              <w:bottom w:val="single" w:sz="4" w:space="0" w:color="auto"/>
            </w:tcBorders>
            <w:vAlign w:val="bottom"/>
          </w:tcPr>
          <w:p w14:paraId="19C85894" w14:textId="77777777" w:rsidR="002C3BB1" w:rsidRPr="00DE4CD2" w:rsidRDefault="002C3BB1" w:rsidP="00D41D63">
            <w:pPr>
              <w:rPr>
                <w:rFonts w:asciiTheme="majorHAnsi" w:hAnsiTheme="majorHAnsi" w:cstheme="majorHAnsi"/>
                <w:sz w:val="24"/>
                <w:szCs w:val="24"/>
                <w:lang w:val="pt-PT"/>
              </w:rPr>
            </w:pPr>
            <w:r w:rsidRPr="00DE4CD2">
              <w:rPr>
                <w:rFonts w:asciiTheme="majorHAnsi" w:hAnsiTheme="majorHAnsi" w:cstheme="majorHAnsi"/>
                <w:sz w:val="24"/>
                <w:szCs w:val="24"/>
                <w:lang w:val="pt-PT"/>
              </w:rPr>
              <w:t>Country</w:t>
            </w:r>
          </w:p>
        </w:tc>
        <w:tc>
          <w:tcPr>
            <w:tcW w:w="1510" w:type="dxa"/>
            <w:tcBorders>
              <w:top w:val="single" w:sz="4" w:space="0" w:color="auto"/>
              <w:bottom w:val="single" w:sz="4" w:space="0" w:color="auto"/>
            </w:tcBorders>
            <w:vAlign w:val="bottom"/>
          </w:tcPr>
          <w:p w14:paraId="35FADA24" w14:textId="77777777" w:rsidR="002C3BB1" w:rsidRPr="00DE4CD2" w:rsidRDefault="002C3BB1" w:rsidP="00D41D63">
            <w:pPr>
              <w:jc w:val="right"/>
              <w:rPr>
                <w:rFonts w:asciiTheme="majorHAnsi" w:hAnsiTheme="majorHAnsi" w:cstheme="majorHAnsi"/>
                <w:sz w:val="24"/>
                <w:szCs w:val="24"/>
                <w:lang w:val="pt-PT"/>
              </w:rPr>
            </w:pPr>
            <w:r w:rsidRPr="00DE4CD2">
              <w:rPr>
                <w:rFonts w:asciiTheme="majorHAnsi" w:hAnsiTheme="majorHAnsi" w:cstheme="majorHAnsi"/>
                <w:sz w:val="24"/>
                <w:szCs w:val="24"/>
                <w:lang w:val="pt-PT"/>
              </w:rPr>
              <w:t>RFOs</w:t>
            </w:r>
          </w:p>
        </w:tc>
        <w:tc>
          <w:tcPr>
            <w:tcW w:w="1674" w:type="dxa"/>
            <w:tcBorders>
              <w:top w:val="single" w:sz="4" w:space="0" w:color="auto"/>
              <w:bottom w:val="single" w:sz="4" w:space="0" w:color="auto"/>
            </w:tcBorders>
            <w:vAlign w:val="bottom"/>
          </w:tcPr>
          <w:p w14:paraId="738F6FA4" w14:textId="77777777" w:rsidR="002C3BB1" w:rsidRPr="00DE4CD2" w:rsidRDefault="002C3BB1" w:rsidP="00D41D63">
            <w:pPr>
              <w:jc w:val="right"/>
              <w:rPr>
                <w:rFonts w:asciiTheme="majorHAnsi" w:hAnsiTheme="majorHAnsi" w:cstheme="majorHAnsi"/>
                <w:sz w:val="24"/>
                <w:szCs w:val="24"/>
                <w:lang w:val="pt-PT"/>
              </w:rPr>
            </w:pPr>
            <w:r w:rsidRPr="00DE4CD2">
              <w:rPr>
                <w:rFonts w:asciiTheme="majorHAnsi" w:hAnsiTheme="majorHAnsi" w:cstheme="majorHAnsi"/>
                <w:sz w:val="24"/>
                <w:szCs w:val="24"/>
                <w:lang w:val="pt-PT"/>
              </w:rPr>
              <w:t>Instruments</w:t>
            </w:r>
          </w:p>
        </w:tc>
      </w:tr>
      <w:tr w:rsidR="00FC3526" w:rsidRPr="00DE4CD2" w14:paraId="4F4FF15B" w14:textId="77777777" w:rsidTr="00D41D63">
        <w:trPr>
          <w:jc w:val="center"/>
        </w:trPr>
        <w:tc>
          <w:tcPr>
            <w:tcW w:w="1838" w:type="dxa"/>
            <w:tcBorders>
              <w:top w:val="single" w:sz="4" w:space="0" w:color="auto"/>
            </w:tcBorders>
            <w:vAlign w:val="bottom"/>
          </w:tcPr>
          <w:p w14:paraId="7B79AC51" w14:textId="77777777" w:rsidR="002C3BB1" w:rsidRPr="00DE4CD2" w:rsidRDefault="002C3BB1" w:rsidP="00D41D63">
            <w:pPr>
              <w:rPr>
                <w:rFonts w:asciiTheme="majorHAnsi" w:hAnsiTheme="majorHAnsi" w:cstheme="majorHAnsi"/>
                <w:sz w:val="24"/>
                <w:szCs w:val="24"/>
                <w:lang w:val="pt-PT"/>
              </w:rPr>
            </w:pPr>
            <w:r w:rsidRPr="00DE4CD2">
              <w:rPr>
                <w:rFonts w:asciiTheme="majorHAnsi" w:hAnsiTheme="majorHAnsi" w:cstheme="majorHAnsi"/>
                <w:sz w:val="24"/>
                <w:szCs w:val="24"/>
                <w:lang w:val="pt-PT"/>
              </w:rPr>
              <w:t>Austria</w:t>
            </w:r>
          </w:p>
        </w:tc>
        <w:tc>
          <w:tcPr>
            <w:tcW w:w="1510" w:type="dxa"/>
            <w:tcBorders>
              <w:top w:val="single" w:sz="4" w:space="0" w:color="auto"/>
            </w:tcBorders>
            <w:vAlign w:val="bottom"/>
          </w:tcPr>
          <w:p w14:paraId="05D4949E" w14:textId="77777777" w:rsidR="002C3BB1" w:rsidRPr="00DE4CD2" w:rsidRDefault="002C3BB1" w:rsidP="00D41D63">
            <w:pPr>
              <w:jc w:val="right"/>
              <w:rPr>
                <w:rFonts w:asciiTheme="majorHAnsi" w:hAnsiTheme="majorHAnsi" w:cstheme="majorHAnsi"/>
                <w:sz w:val="24"/>
                <w:szCs w:val="24"/>
                <w:lang w:val="pt-PT"/>
              </w:rPr>
            </w:pPr>
            <w:r w:rsidRPr="00DE4CD2">
              <w:rPr>
                <w:rFonts w:asciiTheme="majorHAnsi" w:hAnsiTheme="majorHAnsi" w:cstheme="majorHAnsi"/>
                <w:sz w:val="24"/>
                <w:szCs w:val="24"/>
                <w:lang w:val="pt-PT"/>
              </w:rPr>
              <w:t>4</w:t>
            </w:r>
          </w:p>
        </w:tc>
        <w:tc>
          <w:tcPr>
            <w:tcW w:w="1674" w:type="dxa"/>
            <w:tcBorders>
              <w:top w:val="single" w:sz="4" w:space="0" w:color="auto"/>
            </w:tcBorders>
            <w:vAlign w:val="bottom"/>
          </w:tcPr>
          <w:p w14:paraId="4756282C" w14:textId="77777777" w:rsidR="002C3BB1" w:rsidRPr="00DE4CD2" w:rsidRDefault="002C3BB1" w:rsidP="00D41D63">
            <w:pPr>
              <w:jc w:val="right"/>
              <w:rPr>
                <w:rFonts w:asciiTheme="majorHAnsi" w:hAnsiTheme="majorHAnsi" w:cstheme="majorHAnsi"/>
                <w:sz w:val="24"/>
                <w:szCs w:val="24"/>
                <w:lang w:val="pt-PT"/>
              </w:rPr>
            </w:pPr>
            <w:r w:rsidRPr="00DE4CD2">
              <w:rPr>
                <w:rFonts w:asciiTheme="majorHAnsi" w:hAnsiTheme="majorHAnsi" w:cstheme="majorHAnsi"/>
                <w:sz w:val="24"/>
                <w:szCs w:val="24"/>
                <w:lang w:val="pt-PT"/>
              </w:rPr>
              <w:t>100</w:t>
            </w:r>
          </w:p>
        </w:tc>
      </w:tr>
      <w:tr w:rsidR="00FC3526" w:rsidRPr="00DE4CD2" w14:paraId="0D041857" w14:textId="77777777" w:rsidTr="00D41D63">
        <w:trPr>
          <w:jc w:val="center"/>
        </w:trPr>
        <w:tc>
          <w:tcPr>
            <w:tcW w:w="1838" w:type="dxa"/>
            <w:vAlign w:val="bottom"/>
          </w:tcPr>
          <w:p w14:paraId="48EB13F0" w14:textId="77777777" w:rsidR="002C3BB1" w:rsidRPr="00DE4CD2" w:rsidRDefault="002C3BB1" w:rsidP="00D41D63">
            <w:pPr>
              <w:rPr>
                <w:rFonts w:asciiTheme="majorHAnsi" w:hAnsiTheme="majorHAnsi" w:cstheme="majorHAnsi"/>
                <w:sz w:val="24"/>
                <w:szCs w:val="24"/>
                <w:lang w:val="pt-PT"/>
              </w:rPr>
            </w:pPr>
            <w:r w:rsidRPr="00DE4CD2">
              <w:rPr>
                <w:rFonts w:asciiTheme="majorHAnsi" w:hAnsiTheme="majorHAnsi" w:cstheme="majorHAnsi"/>
                <w:sz w:val="24"/>
                <w:szCs w:val="24"/>
                <w:lang w:val="pt-PT"/>
              </w:rPr>
              <w:t>Czech Republic</w:t>
            </w:r>
          </w:p>
        </w:tc>
        <w:tc>
          <w:tcPr>
            <w:tcW w:w="1510" w:type="dxa"/>
            <w:vAlign w:val="bottom"/>
          </w:tcPr>
          <w:p w14:paraId="7D68BCE5" w14:textId="77777777" w:rsidR="002C3BB1" w:rsidRPr="00DE4CD2" w:rsidRDefault="002C3BB1" w:rsidP="00D41D63">
            <w:pPr>
              <w:jc w:val="right"/>
              <w:rPr>
                <w:rFonts w:asciiTheme="majorHAnsi" w:hAnsiTheme="majorHAnsi" w:cstheme="majorHAnsi"/>
                <w:sz w:val="24"/>
                <w:szCs w:val="24"/>
                <w:lang w:val="pt-PT"/>
              </w:rPr>
            </w:pPr>
            <w:r w:rsidRPr="00DE4CD2">
              <w:rPr>
                <w:rFonts w:asciiTheme="majorHAnsi" w:hAnsiTheme="majorHAnsi" w:cstheme="majorHAnsi"/>
                <w:sz w:val="24"/>
                <w:szCs w:val="24"/>
                <w:lang w:val="pt-PT"/>
              </w:rPr>
              <w:t>9</w:t>
            </w:r>
          </w:p>
        </w:tc>
        <w:tc>
          <w:tcPr>
            <w:tcW w:w="1674" w:type="dxa"/>
            <w:vAlign w:val="bottom"/>
          </w:tcPr>
          <w:p w14:paraId="36238DCF" w14:textId="77777777" w:rsidR="002C3BB1" w:rsidRPr="00DE4CD2" w:rsidRDefault="002C3BB1" w:rsidP="00D41D63">
            <w:pPr>
              <w:jc w:val="right"/>
              <w:rPr>
                <w:rFonts w:asciiTheme="majorHAnsi" w:hAnsiTheme="majorHAnsi" w:cstheme="majorHAnsi"/>
                <w:sz w:val="24"/>
                <w:szCs w:val="24"/>
                <w:lang w:val="pt-PT"/>
              </w:rPr>
            </w:pPr>
            <w:r w:rsidRPr="00DE4CD2">
              <w:rPr>
                <w:rFonts w:asciiTheme="majorHAnsi" w:hAnsiTheme="majorHAnsi" w:cstheme="majorHAnsi"/>
                <w:sz w:val="24"/>
                <w:szCs w:val="24"/>
                <w:lang w:val="pt-PT"/>
              </w:rPr>
              <w:t>45</w:t>
            </w:r>
          </w:p>
        </w:tc>
      </w:tr>
      <w:tr w:rsidR="00FC3526" w:rsidRPr="00DE4CD2" w14:paraId="771E3248" w14:textId="77777777" w:rsidTr="00D41D63">
        <w:trPr>
          <w:jc w:val="center"/>
        </w:trPr>
        <w:tc>
          <w:tcPr>
            <w:tcW w:w="1838" w:type="dxa"/>
            <w:vAlign w:val="bottom"/>
          </w:tcPr>
          <w:p w14:paraId="712688C9" w14:textId="77777777" w:rsidR="002C3BB1" w:rsidRPr="00DE4CD2" w:rsidRDefault="002C3BB1" w:rsidP="00D41D63">
            <w:pPr>
              <w:rPr>
                <w:rFonts w:asciiTheme="majorHAnsi" w:hAnsiTheme="majorHAnsi" w:cstheme="majorHAnsi"/>
                <w:sz w:val="24"/>
                <w:szCs w:val="24"/>
                <w:lang w:val="pt-PT"/>
              </w:rPr>
            </w:pPr>
            <w:r w:rsidRPr="00DE4CD2">
              <w:rPr>
                <w:rFonts w:asciiTheme="majorHAnsi" w:hAnsiTheme="majorHAnsi" w:cstheme="majorHAnsi"/>
                <w:sz w:val="24"/>
                <w:szCs w:val="24"/>
                <w:lang w:val="pt-PT"/>
              </w:rPr>
              <w:t>Denmark</w:t>
            </w:r>
          </w:p>
        </w:tc>
        <w:tc>
          <w:tcPr>
            <w:tcW w:w="1510" w:type="dxa"/>
            <w:vAlign w:val="bottom"/>
          </w:tcPr>
          <w:p w14:paraId="6E5A7649" w14:textId="77777777" w:rsidR="002C3BB1" w:rsidRPr="00DE4CD2" w:rsidRDefault="002C3BB1" w:rsidP="00D41D63">
            <w:pPr>
              <w:jc w:val="right"/>
              <w:rPr>
                <w:rFonts w:asciiTheme="majorHAnsi" w:hAnsiTheme="majorHAnsi" w:cstheme="majorHAnsi"/>
                <w:sz w:val="24"/>
                <w:szCs w:val="24"/>
                <w:lang w:val="pt-PT"/>
              </w:rPr>
            </w:pPr>
            <w:r w:rsidRPr="00DE4CD2">
              <w:rPr>
                <w:rFonts w:asciiTheme="majorHAnsi" w:hAnsiTheme="majorHAnsi" w:cstheme="majorHAnsi"/>
                <w:sz w:val="24"/>
                <w:szCs w:val="24"/>
                <w:lang w:val="pt-PT"/>
              </w:rPr>
              <w:t>6</w:t>
            </w:r>
          </w:p>
        </w:tc>
        <w:tc>
          <w:tcPr>
            <w:tcW w:w="1674" w:type="dxa"/>
            <w:vAlign w:val="bottom"/>
          </w:tcPr>
          <w:p w14:paraId="1F78C4AF" w14:textId="77777777" w:rsidR="002C3BB1" w:rsidRPr="00DE4CD2" w:rsidRDefault="002C3BB1" w:rsidP="00D41D63">
            <w:pPr>
              <w:jc w:val="right"/>
              <w:rPr>
                <w:rFonts w:asciiTheme="majorHAnsi" w:hAnsiTheme="majorHAnsi" w:cstheme="majorHAnsi"/>
                <w:sz w:val="24"/>
                <w:szCs w:val="24"/>
                <w:lang w:val="pt-PT"/>
              </w:rPr>
            </w:pPr>
            <w:r w:rsidRPr="00DE4CD2">
              <w:rPr>
                <w:rFonts w:asciiTheme="majorHAnsi" w:hAnsiTheme="majorHAnsi" w:cstheme="majorHAnsi"/>
                <w:sz w:val="24"/>
                <w:szCs w:val="24"/>
                <w:lang w:val="pt-PT"/>
              </w:rPr>
              <w:t>88</w:t>
            </w:r>
          </w:p>
        </w:tc>
      </w:tr>
      <w:tr w:rsidR="00FC3526" w:rsidRPr="00DE4CD2" w14:paraId="53DB042E" w14:textId="77777777" w:rsidTr="00D41D63">
        <w:trPr>
          <w:jc w:val="center"/>
        </w:trPr>
        <w:tc>
          <w:tcPr>
            <w:tcW w:w="1838" w:type="dxa"/>
            <w:vAlign w:val="bottom"/>
          </w:tcPr>
          <w:p w14:paraId="5C7BE3A6" w14:textId="77777777" w:rsidR="002C3BB1" w:rsidRPr="00DE4CD2" w:rsidRDefault="002C3BB1" w:rsidP="00D41D63">
            <w:pPr>
              <w:rPr>
                <w:rFonts w:asciiTheme="majorHAnsi" w:hAnsiTheme="majorHAnsi" w:cstheme="majorHAnsi"/>
                <w:sz w:val="24"/>
                <w:szCs w:val="24"/>
                <w:lang w:val="pt-PT"/>
              </w:rPr>
            </w:pPr>
            <w:r w:rsidRPr="00DE4CD2">
              <w:rPr>
                <w:rFonts w:asciiTheme="majorHAnsi" w:hAnsiTheme="majorHAnsi" w:cstheme="majorHAnsi"/>
                <w:sz w:val="24"/>
                <w:szCs w:val="24"/>
                <w:lang w:val="pt-PT"/>
              </w:rPr>
              <w:t>Estonia</w:t>
            </w:r>
          </w:p>
        </w:tc>
        <w:tc>
          <w:tcPr>
            <w:tcW w:w="1510" w:type="dxa"/>
            <w:vAlign w:val="bottom"/>
          </w:tcPr>
          <w:p w14:paraId="17D93BF0" w14:textId="77777777" w:rsidR="002C3BB1" w:rsidRPr="00DE4CD2" w:rsidRDefault="002C3BB1" w:rsidP="00D41D63">
            <w:pPr>
              <w:jc w:val="right"/>
              <w:rPr>
                <w:rFonts w:asciiTheme="majorHAnsi" w:hAnsiTheme="majorHAnsi" w:cstheme="majorHAnsi"/>
                <w:sz w:val="24"/>
                <w:szCs w:val="24"/>
                <w:lang w:val="pt-PT"/>
              </w:rPr>
            </w:pPr>
            <w:r w:rsidRPr="00DE4CD2">
              <w:rPr>
                <w:rFonts w:asciiTheme="majorHAnsi" w:hAnsiTheme="majorHAnsi" w:cstheme="majorHAnsi"/>
                <w:sz w:val="24"/>
                <w:szCs w:val="24"/>
                <w:lang w:val="pt-PT"/>
              </w:rPr>
              <w:t>4</w:t>
            </w:r>
          </w:p>
        </w:tc>
        <w:tc>
          <w:tcPr>
            <w:tcW w:w="1674" w:type="dxa"/>
            <w:vAlign w:val="bottom"/>
          </w:tcPr>
          <w:p w14:paraId="03DD177F" w14:textId="77777777" w:rsidR="002C3BB1" w:rsidRPr="00DE4CD2" w:rsidRDefault="002C3BB1" w:rsidP="00D41D63">
            <w:pPr>
              <w:jc w:val="right"/>
              <w:rPr>
                <w:rFonts w:asciiTheme="majorHAnsi" w:hAnsiTheme="majorHAnsi" w:cstheme="majorHAnsi"/>
                <w:sz w:val="24"/>
                <w:szCs w:val="24"/>
                <w:lang w:val="pt-PT"/>
              </w:rPr>
            </w:pPr>
            <w:r w:rsidRPr="00DE4CD2">
              <w:rPr>
                <w:rFonts w:asciiTheme="majorHAnsi" w:hAnsiTheme="majorHAnsi" w:cstheme="majorHAnsi"/>
                <w:sz w:val="24"/>
                <w:szCs w:val="24"/>
                <w:lang w:val="pt-PT"/>
              </w:rPr>
              <w:t>21</w:t>
            </w:r>
          </w:p>
        </w:tc>
      </w:tr>
      <w:tr w:rsidR="00FC3526" w:rsidRPr="00DE4CD2" w14:paraId="37DBFB1A" w14:textId="77777777" w:rsidTr="00D41D63">
        <w:trPr>
          <w:jc w:val="center"/>
        </w:trPr>
        <w:tc>
          <w:tcPr>
            <w:tcW w:w="1838" w:type="dxa"/>
            <w:vAlign w:val="bottom"/>
          </w:tcPr>
          <w:p w14:paraId="143C3686" w14:textId="77777777" w:rsidR="002C3BB1" w:rsidRPr="00DE4CD2" w:rsidRDefault="002C3BB1" w:rsidP="00D41D63">
            <w:pPr>
              <w:rPr>
                <w:rFonts w:asciiTheme="majorHAnsi" w:hAnsiTheme="majorHAnsi" w:cstheme="majorHAnsi"/>
                <w:sz w:val="24"/>
                <w:szCs w:val="24"/>
                <w:lang w:val="pt-PT"/>
              </w:rPr>
            </w:pPr>
            <w:r w:rsidRPr="00DE4CD2">
              <w:rPr>
                <w:rFonts w:asciiTheme="majorHAnsi" w:hAnsiTheme="majorHAnsi" w:cstheme="majorHAnsi"/>
                <w:sz w:val="24"/>
                <w:szCs w:val="24"/>
                <w:lang w:val="pt-PT"/>
              </w:rPr>
              <w:t>France</w:t>
            </w:r>
          </w:p>
        </w:tc>
        <w:tc>
          <w:tcPr>
            <w:tcW w:w="1510" w:type="dxa"/>
            <w:vAlign w:val="bottom"/>
          </w:tcPr>
          <w:p w14:paraId="6504760A" w14:textId="77777777" w:rsidR="002C3BB1" w:rsidRPr="00DE4CD2" w:rsidRDefault="002C3BB1" w:rsidP="00D41D63">
            <w:pPr>
              <w:jc w:val="right"/>
              <w:rPr>
                <w:rFonts w:asciiTheme="majorHAnsi" w:hAnsiTheme="majorHAnsi" w:cstheme="majorHAnsi"/>
                <w:sz w:val="24"/>
                <w:szCs w:val="24"/>
                <w:lang w:val="pt-PT"/>
              </w:rPr>
            </w:pPr>
            <w:r w:rsidRPr="00DE4CD2">
              <w:rPr>
                <w:rFonts w:asciiTheme="majorHAnsi" w:hAnsiTheme="majorHAnsi" w:cstheme="majorHAnsi"/>
                <w:sz w:val="24"/>
                <w:szCs w:val="24"/>
                <w:lang w:val="pt-PT"/>
              </w:rPr>
              <w:t>3</w:t>
            </w:r>
          </w:p>
        </w:tc>
        <w:tc>
          <w:tcPr>
            <w:tcW w:w="1674" w:type="dxa"/>
            <w:vAlign w:val="bottom"/>
          </w:tcPr>
          <w:p w14:paraId="773142C8" w14:textId="77777777" w:rsidR="002C3BB1" w:rsidRPr="00DE4CD2" w:rsidRDefault="002C3BB1" w:rsidP="00D41D63">
            <w:pPr>
              <w:jc w:val="right"/>
              <w:rPr>
                <w:rFonts w:asciiTheme="majorHAnsi" w:hAnsiTheme="majorHAnsi" w:cstheme="majorHAnsi"/>
                <w:sz w:val="24"/>
                <w:szCs w:val="24"/>
                <w:lang w:val="pt-PT"/>
              </w:rPr>
            </w:pPr>
            <w:r w:rsidRPr="00DE4CD2">
              <w:rPr>
                <w:rFonts w:asciiTheme="majorHAnsi" w:hAnsiTheme="majorHAnsi" w:cstheme="majorHAnsi"/>
                <w:sz w:val="24"/>
                <w:szCs w:val="24"/>
                <w:lang w:val="pt-PT"/>
              </w:rPr>
              <w:t>57</w:t>
            </w:r>
          </w:p>
        </w:tc>
      </w:tr>
      <w:tr w:rsidR="00FC3526" w:rsidRPr="00DE4CD2" w14:paraId="7F84F32C" w14:textId="77777777" w:rsidTr="00D41D63">
        <w:trPr>
          <w:jc w:val="center"/>
        </w:trPr>
        <w:tc>
          <w:tcPr>
            <w:tcW w:w="1838" w:type="dxa"/>
            <w:vAlign w:val="bottom"/>
          </w:tcPr>
          <w:p w14:paraId="0D3CE572" w14:textId="77777777" w:rsidR="002C3BB1" w:rsidRPr="00DE4CD2" w:rsidRDefault="002C3BB1" w:rsidP="00D41D63">
            <w:pPr>
              <w:rPr>
                <w:rFonts w:asciiTheme="majorHAnsi" w:hAnsiTheme="majorHAnsi" w:cstheme="majorHAnsi"/>
                <w:sz w:val="24"/>
                <w:szCs w:val="24"/>
                <w:lang w:val="pt-PT"/>
              </w:rPr>
            </w:pPr>
            <w:r w:rsidRPr="00DE4CD2">
              <w:rPr>
                <w:rFonts w:asciiTheme="majorHAnsi" w:hAnsiTheme="majorHAnsi" w:cstheme="majorHAnsi"/>
                <w:sz w:val="24"/>
                <w:szCs w:val="24"/>
                <w:lang w:val="pt-PT"/>
              </w:rPr>
              <w:t>Germany</w:t>
            </w:r>
          </w:p>
        </w:tc>
        <w:tc>
          <w:tcPr>
            <w:tcW w:w="1510" w:type="dxa"/>
            <w:vAlign w:val="bottom"/>
          </w:tcPr>
          <w:p w14:paraId="743B0773" w14:textId="77777777" w:rsidR="002C3BB1" w:rsidRPr="00DE4CD2" w:rsidRDefault="002C3BB1" w:rsidP="00D41D63">
            <w:pPr>
              <w:jc w:val="right"/>
              <w:rPr>
                <w:rFonts w:asciiTheme="majorHAnsi" w:hAnsiTheme="majorHAnsi" w:cstheme="majorHAnsi"/>
                <w:sz w:val="24"/>
                <w:szCs w:val="24"/>
                <w:lang w:val="pt-PT"/>
              </w:rPr>
            </w:pPr>
            <w:r w:rsidRPr="00DE4CD2">
              <w:rPr>
                <w:rFonts w:asciiTheme="majorHAnsi" w:hAnsiTheme="majorHAnsi" w:cstheme="majorHAnsi"/>
                <w:sz w:val="24"/>
                <w:szCs w:val="24"/>
                <w:lang w:val="pt-PT"/>
              </w:rPr>
              <w:t>6</w:t>
            </w:r>
          </w:p>
        </w:tc>
        <w:tc>
          <w:tcPr>
            <w:tcW w:w="1674" w:type="dxa"/>
            <w:vAlign w:val="bottom"/>
          </w:tcPr>
          <w:p w14:paraId="1799BA18" w14:textId="77777777" w:rsidR="002C3BB1" w:rsidRPr="00DE4CD2" w:rsidRDefault="002C3BB1" w:rsidP="00D41D63">
            <w:pPr>
              <w:jc w:val="right"/>
              <w:rPr>
                <w:rFonts w:asciiTheme="majorHAnsi" w:hAnsiTheme="majorHAnsi" w:cstheme="majorHAnsi"/>
                <w:sz w:val="24"/>
                <w:szCs w:val="24"/>
                <w:lang w:val="pt-PT"/>
              </w:rPr>
            </w:pPr>
            <w:r w:rsidRPr="00DE4CD2">
              <w:rPr>
                <w:rFonts w:asciiTheme="majorHAnsi" w:hAnsiTheme="majorHAnsi" w:cstheme="majorHAnsi"/>
                <w:sz w:val="24"/>
                <w:szCs w:val="24"/>
                <w:lang w:val="pt-PT"/>
              </w:rPr>
              <w:t>78</w:t>
            </w:r>
          </w:p>
        </w:tc>
      </w:tr>
      <w:tr w:rsidR="00FC3526" w:rsidRPr="00DE4CD2" w14:paraId="5CEC36C4" w14:textId="77777777" w:rsidTr="00D41D63">
        <w:trPr>
          <w:jc w:val="center"/>
        </w:trPr>
        <w:tc>
          <w:tcPr>
            <w:tcW w:w="1838" w:type="dxa"/>
            <w:vAlign w:val="bottom"/>
          </w:tcPr>
          <w:p w14:paraId="2A71D1A0" w14:textId="77777777" w:rsidR="002C3BB1" w:rsidRPr="00DE4CD2" w:rsidRDefault="002C3BB1" w:rsidP="00D41D63">
            <w:pPr>
              <w:rPr>
                <w:rFonts w:asciiTheme="majorHAnsi" w:hAnsiTheme="majorHAnsi" w:cstheme="majorHAnsi"/>
                <w:sz w:val="24"/>
                <w:szCs w:val="24"/>
                <w:lang w:val="pt-PT"/>
              </w:rPr>
            </w:pPr>
            <w:r w:rsidRPr="00DE4CD2">
              <w:rPr>
                <w:rFonts w:asciiTheme="majorHAnsi" w:hAnsiTheme="majorHAnsi" w:cstheme="majorHAnsi"/>
                <w:sz w:val="24"/>
                <w:szCs w:val="24"/>
                <w:lang w:val="pt-PT"/>
              </w:rPr>
              <w:t>Italy</w:t>
            </w:r>
          </w:p>
        </w:tc>
        <w:tc>
          <w:tcPr>
            <w:tcW w:w="1510" w:type="dxa"/>
            <w:vAlign w:val="bottom"/>
          </w:tcPr>
          <w:p w14:paraId="6B83BDAA" w14:textId="77777777" w:rsidR="002C3BB1" w:rsidRPr="00DE4CD2" w:rsidRDefault="002C3BB1" w:rsidP="00D41D63">
            <w:pPr>
              <w:jc w:val="right"/>
              <w:rPr>
                <w:rFonts w:asciiTheme="majorHAnsi" w:hAnsiTheme="majorHAnsi" w:cstheme="majorHAnsi"/>
                <w:sz w:val="24"/>
                <w:szCs w:val="24"/>
                <w:lang w:val="pt-PT"/>
              </w:rPr>
            </w:pPr>
            <w:r w:rsidRPr="00DE4CD2">
              <w:rPr>
                <w:rFonts w:asciiTheme="majorHAnsi" w:hAnsiTheme="majorHAnsi" w:cstheme="majorHAnsi"/>
                <w:sz w:val="24"/>
                <w:szCs w:val="24"/>
                <w:lang w:val="pt-PT"/>
              </w:rPr>
              <w:t>3</w:t>
            </w:r>
          </w:p>
        </w:tc>
        <w:tc>
          <w:tcPr>
            <w:tcW w:w="1674" w:type="dxa"/>
            <w:vAlign w:val="bottom"/>
          </w:tcPr>
          <w:p w14:paraId="38101B18" w14:textId="77777777" w:rsidR="002C3BB1" w:rsidRPr="00DE4CD2" w:rsidRDefault="002C3BB1" w:rsidP="00D41D63">
            <w:pPr>
              <w:jc w:val="right"/>
              <w:rPr>
                <w:rFonts w:asciiTheme="majorHAnsi" w:hAnsiTheme="majorHAnsi" w:cstheme="majorHAnsi"/>
                <w:sz w:val="24"/>
                <w:szCs w:val="24"/>
                <w:lang w:val="pt-PT"/>
              </w:rPr>
            </w:pPr>
            <w:r w:rsidRPr="00DE4CD2">
              <w:rPr>
                <w:rFonts w:asciiTheme="majorHAnsi" w:hAnsiTheme="majorHAnsi" w:cstheme="majorHAnsi"/>
                <w:sz w:val="24"/>
                <w:szCs w:val="24"/>
                <w:lang w:val="pt-PT"/>
              </w:rPr>
              <w:t>29</w:t>
            </w:r>
          </w:p>
        </w:tc>
      </w:tr>
      <w:tr w:rsidR="00FC3526" w:rsidRPr="00DE4CD2" w14:paraId="3280182E" w14:textId="77777777" w:rsidTr="00D41D63">
        <w:trPr>
          <w:jc w:val="center"/>
        </w:trPr>
        <w:tc>
          <w:tcPr>
            <w:tcW w:w="1838" w:type="dxa"/>
            <w:vAlign w:val="bottom"/>
          </w:tcPr>
          <w:p w14:paraId="6CFDEF3E" w14:textId="77777777" w:rsidR="002C3BB1" w:rsidRPr="00DE4CD2" w:rsidRDefault="002C3BB1" w:rsidP="00D41D63">
            <w:pPr>
              <w:rPr>
                <w:rFonts w:asciiTheme="majorHAnsi" w:hAnsiTheme="majorHAnsi" w:cstheme="majorHAnsi"/>
                <w:sz w:val="24"/>
                <w:szCs w:val="24"/>
                <w:lang w:val="pt-PT"/>
              </w:rPr>
            </w:pPr>
            <w:r w:rsidRPr="00DE4CD2">
              <w:rPr>
                <w:rFonts w:asciiTheme="majorHAnsi" w:hAnsiTheme="majorHAnsi" w:cstheme="majorHAnsi"/>
                <w:sz w:val="24"/>
                <w:szCs w:val="24"/>
                <w:lang w:val="pt-PT"/>
              </w:rPr>
              <w:t>Norway</w:t>
            </w:r>
          </w:p>
        </w:tc>
        <w:tc>
          <w:tcPr>
            <w:tcW w:w="1510" w:type="dxa"/>
            <w:vAlign w:val="bottom"/>
          </w:tcPr>
          <w:p w14:paraId="64D008E5" w14:textId="77777777" w:rsidR="002C3BB1" w:rsidRPr="00DE4CD2" w:rsidRDefault="002C3BB1" w:rsidP="00D41D63">
            <w:pPr>
              <w:jc w:val="right"/>
              <w:rPr>
                <w:rFonts w:asciiTheme="majorHAnsi" w:hAnsiTheme="majorHAnsi" w:cstheme="majorHAnsi"/>
                <w:sz w:val="24"/>
                <w:szCs w:val="24"/>
                <w:lang w:val="pt-PT"/>
              </w:rPr>
            </w:pPr>
            <w:r w:rsidRPr="00DE4CD2">
              <w:rPr>
                <w:rFonts w:asciiTheme="majorHAnsi" w:hAnsiTheme="majorHAnsi" w:cstheme="majorHAnsi"/>
                <w:sz w:val="24"/>
                <w:szCs w:val="24"/>
                <w:lang w:val="pt-PT"/>
              </w:rPr>
              <w:t>2</w:t>
            </w:r>
          </w:p>
        </w:tc>
        <w:tc>
          <w:tcPr>
            <w:tcW w:w="1674" w:type="dxa"/>
            <w:vAlign w:val="bottom"/>
          </w:tcPr>
          <w:p w14:paraId="1BF21E46" w14:textId="77777777" w:rsidR="002C3BB1" w:rsidRPr="00DE4CD2" w:rsidRDefault="002C3BB1" w:rsidP="00D41D63">
            <w:pPr>
              <w:jc w:val="right"/>
              <w:rPr>
                <w:rFonts w:asciiTheme="majorHAnsi" w:hAnsiTheme="majorHAnsi" w:cstheme="majorHAnsi"/>
                <w:sz w:val="24"/>
                <w:szCs w:val="24"/>
                <w:lang w:val="pt-PT"/>
              </w:rPr>
            </w:pPr>
            <w:r w:rsidRPr="00DE4CD2">
              <w:rPr>
                <w:rFonts w:asciiTheme="majorHAnsi" w:hAnsiTheme="majorHAnsi" w:cstheme="majorHAnsi"/>
                <w:sz w:val="24"/>
                <w:szCs w:val="24"/>
                <w:lang w:val="pt-PT"/>
              </w:rPr>
              <w:t>99</w:t>
            </w:r>
          </w:p>
        </w:tc>
      </w:tr>
      <w:tr w:rsidR="00FC3526" w:rsidRPr="00DE4CD2" w14:paraId="65D26731" w14:textId="77777777" w:rsidTr="00D41D63">
        <w:trPr>
          <w:jc w:val="center"/>
        </w:trPr>
        <w:tc>
          <w:tcPr>
            <w:tcW w:w="1838" w:type="dxa"/>
            <w:vAlign w:val="bottom"/>
          </w:tcPr>
          <w:p w14:paraId="772C71C0" w14:textId="77777777" w:rsidR="002C3BB1" w:rsidRPr="00DE4CD2" w:rsidRDefault="002C3BB1" w:rsidP="00D41D63">
            <w:pPr>
              <w:rPr>
                <w:rFonts w:asciiTheme="majorHAnsi" w:hAnsiTheme="majorHAnsi" w:cstheme="majorHAnsi"/>
                <w:sz w:val="24"/>
                <w:szCs w:val="24"/>
                <w:lang w:val="pt-PT"/>
              </w:rPr>
            </w:pPr>
            <w:r w:rsidRPr="00DE4CD2">
              <w:rPr>
                <w:rFonts w:asciiTheme="majorHAnsi" w:hAnsiTheme="majorHAnsi" w:cstheme="majorHAnsi"/>
                <w:sz w:val="24"/>
                <w:szCs w:val="24"/>
                <w:lang w:val="pt-PT"/>
              </w:rPr>
              <w:t>Switzerland</w:t>
            </w:r>
          </w:p>
        </w:tc>
        <w:tc>
          <w:tcPr>
            <w:tcW w:w="1510" w:type="dxa"/>
            <w:vAlign w:val="bottom"/>
          </w:tcPr>
          <w:p w14:paraId="7F14D92B" w14:textId="77777777" w:rsidR="002C3BB1" w:rsidRPr="00DE4CD2" w:rsidRDefault="002C3BB1" w:rsidP="00D41D63">
            <w:pPr>
              <w:jc w:val="right"/>
              <w:rPr>
                <w:rFonts w:asciiTheme="majorHAnsi" w:hAnsiTheme="majorHAnsi" w:cstheme="majorHAnsi"/>
                <w:sz w:val="24"/>
                <w:szCs w:val="24"/>
                <w:lang w:val="pt-PT"/>
              </w:rPr>
            </w:pPr>
            <w:r w:rsidRPr="00DE4CD2">
              <w:rPr>
                <w:rFonts w:asciiTheme="majorHAnsi" w:hAnsiTheme="majorHAnsi" w:cstheme="majorHAnsi"/>
                <w:sz w:val="24"/>
                <w:szCs w:val="24"/>
                <w:lang w:val="pt-PT"/>
              </w:rPr>
              <w:t>4</w:t>
            </w:r>
          </w:p>
        </w:tc>
        <w:tc>
          <w:tcPr>
            <w:tcW w:w="1674" w:type="dxa"/>
            <w:vAlign w:val="bottom"/>
          </w:tcPr>
          <w:p w14:paraId="5DDC41BA" w14:textId="77777777" w:rsidR="002C3BB1" w:rsidRPr="00DE4CD2" w:rsidRDefault="002C3BB1" w:rsidP="00D41D63">
            <w:pPr>
              <w:jc w:val="right"/>
              <w:rPr>
                <w:rFonts w:asciiTheme="majorHAnsi" w:hAnsiTheme="majorHAnsi" w:cstheme="majorHAnsi"/>
                <w:sz w:val="24"/>
                <w:szCs w:val="24"/>
                <w:lang w:val="pt-PT"/>
              </w:rPr>
            </w:pPr>
            <w:r w:rsidRPr="00DE4CD2">
              <w:rPr>
                <w:rFonts w:asciiTheme="majorHAnsi" w:hAnsiTheme="majorHAnsi" w:cstheme="majorHAnsi"/>
                <w:sz w:val="24"/>
                <w:szCs w:val="24"/>
                <w:lang w:val="pt-PT"/>
              </w:rPr>
              <w:t>57</w:t>
            </w:r>
          </w:p>
        </w:tc>
      </w:tr>
      <w:tr w:rsidR="00FC3526" w:rsidRPr="00DE4CD2" w14:paraId="082D8C14" w14:textId="77777777" w:rsidTr="00D41D63">
        <w:trPr>
          <w:jc w:val="center"/>
        </w:trPr>
        <w:tc>
          <w:tcPr>
            <w:tcW w:w="1838" w:type="dxa"/>
            <w:tcBorders>
              <w:bottom w:val="single" w:sz="4" w:space="0" w:color="auto"/>
            </w:tcBorders>
            <w:vAlign w:val="bottom"/>
          </w:tcPr>
          <w:p w14:paraId="53CDAED9" w14:textId="77777777" w:rsidR="002C3BB1" w:rsidRPr="00DE4CD2" w:rsidRDefault="002C3BB1" w:rsidP="00D41D63">
            <w:pPr>
              <w:rPr>
                <w:rFonts w:asciiTheme="majorHAnsi" w:hAnsiTheme="majorHAnsi" w:cstheme="majorHAnsi"/>
                <w:sz w:val="24"/>
                <w:szCs w:val="24"/>
                <w:lang w:val="pt-PT"/>
              </w:rPr>
            </w:pPr>
            <w:r w:rsidRPr="00DE4CD2">
              <w:rPr>
                <w:rFonts w:asciiTheme="majorHAnsi" w:hAnsiTheme="majorHAnsi" w:cstheme="majorHAnsi"/>
                <w:sz w:val="24"/>
                <w:szCs w:val="24"/>
                <w:lang w:val="pt-PT"/>
              </w:rPr>
              <w:t>United Kingdom</w:t>
            </w:r>
          </w:p>
        </w:tc>
        <w:tc>
          <w:tcPr>
            <w:tcW w:w="1510" w:type="dxa"/>
            <w:tcBorders>
              <w:bottom w:val="single" w:sz="4" w:space="0" w:color="auto"/>
            </w:tcBorders>
            <w:vAlign w:val="bottom"/>
          </w:tcPr>
          <w:p w14:paraId="14B991D4" w14:textId="77777777" w:rsidR="002C3BB1" w:rsidRPr="00DE4CD2" w:rsidRDefault="002C3BB1" w:rsidP="00D41D63">
            <w:pPr>
              <w:jc w:val="right"/>
              <w:rPr>
                <w:rFonts w:asciiTheme="majorHAnsi" w:hAnsiTheme="majorHAnsi" w:cstheme="majorHAnsi"/>
                <w:sz w:val="24"/>
                <w:szCs w:val="24"/>
                <w:lang w:val="pt-PT"/>
              </w:rPr>
            </w:pPr>
            <w:r w:rsidRPr="00DE4CD2">
              <w:rPr>
                <w:rFonts w:asciiTheme="majorHAnsi" w:hAnsiTheme="majorHAnsi" w:cstheme="majorHAnsi"/>
                <w:sz w:val="24"/>
                <w:szCs w:val="24"/>
                <w:lang w:val="pt-PT"/>
              </w:rPr>
              <w:t>14</w:t>
            </w:r>
          </w:p>
        </w:tc>
        <w:tc>
          <w:tcPr>
            <w:tcW w:w="1674" w:type="dxa"/>
            <w:tcBorders>
              <w:bottom w:val="single" w:sz="4" w:space="0" w:color="auto"/>
            </w:tcBorders>
            <w:vAlign w:val="bottom"/>
          </w:tcPr>
          <w:p w14:paraId="2E1C2112" w14:textId="77777777" w:rsidR="002C3BB1" w:rsidRPr="00DE4CD2" w:rsidRDefault="002C3BB1" w:rsidP="00D41D63">
            <w:pPr>
              <w:jc w:val="right"/>
              <w:rPr>
                <w:rFonts w:asciiTheme="majorHAnsi" w:hAnsiTheme="majorHAnsi" w:cstheme="majorHAnsi"/>
                <w:sz w:val="24"/>
                <w:szCs w:val="24"/>
                <w:lang w:val="pt-PT"/>
              </w:rPr>
            </w:pPr>
            <w:r w:rsidRPr="00DE4CD2">
              <w:rPr>
                <w:rFonts w:asciiTheme="majorHAnsi" w:hAnsiTheme="majorHAnsi" w:cstheme="majorHAnsi"/>
                <w:sz w:val="24"/>
                <w:szCs w:val="24"/>
                <w:lang w:val="pt-PT"/>
              </w:rPr>
              <w:t>127</w:t>
            </w:r>
          </w:p>
        </w:tc>
      </w:tr>
      <w:tr w:rsidR="002C3BB1" w:rsidRPr="00DE4CD2" w14:paraId="0305C72D" w14:textId="77777777" w:rsidTr="00D41D63">
        <w:trPr>
          <w:jc w:val="center"/>
        </w:trPr>
        <w:tc>
          <w:tcPr>
            <w:tcW w:w="1838" w:type="dxa"/>
            <w:tcBorders>
              <w:top w:val="single" w:sz="4" w:space="0" w:color="auto"/>
              <w:bottom w:val="single" w:sz="4" w:space="0" w:color="auto"/>
            </w:tcBorders>
            <w:vAlign w:val="bottom"/>
          </w:tcPr>
          <w:p w14:paraId="56639B41" w14:textId="77777777" w:rsidR="002C3BB1" w:rsidRPr="00DE4CD2" w:rsidRDefault="002C3BB1" w:rsidP="00D41D63">
            <w:pPr>
              <w:rPr>
                <w:rFonts w:asciiTheme="majorHAnsi" w:hAnsiTheme="majorHAnsi" w:cstheme="majorHAnsi"/>
                <w:sz w:val="24"/>
                <w:szCs w:val="24"/>
                <w:lang w:val="pt-PT"/>
              </w:rPr>
            </w:pPr>
            <w:r w:rsidRPr="00DE4CD2">
              <w:rPr>
                <w:rFonts w:asciiTheme="majorHAnsi" w:hAnsiTheme="majorHAnsi" w:cstheme="majorHAnsi"/>
                <w:sz w:val="24"/>
                <w:szCs w:val="24"/>
                <w:lang w:val="pt-PT"/>
              </w:rPr>
              <w:t>Total</w:t>
            </w:r>
          </w:p>
        </w:tc>
        <w:tc>
          <w:tcPr>
            <w:tcW w:w="1510" w:type="dxa"/>
            <w:tcBorders>
              <w:top w:val="single" w:sz="4" w:space="0" w:color="auto"/>
              <w:bottom w:val="single" w:sz="4" w:space="0" w:color="auto"/>
            </w:tcBorders>
            <w:vAlign w:val="bottom"/>
          </w:tcPr>
          <w:p w14:paraId="4647EB19" w14:textId="77777777" w:rsidR="002C3BB1" w:rsidRPr="00DE4CD2" w:rsidRDefault="002C3BB1" w:rsidP="00D41D63">
            <w:pPr>
              <w:jc w:val="right"/>
              <w:rPr>
                <w:rFonts w:asciiTheme="majorHAnsi" w:hAnsiTheme="majorHAnsi" w:cstheme="majorHAnsi"/>
                <w:sz w:val="24"/>
                <w:szCs w:val="24"/>
                <w:lang w:val="pt-PT"/>
              </w:rPr>
            </w:pPr>
            <w:r w:rsidRPr="00DE4CD2">
              <w:rPr>
                <w:rFonts w:asciiTheme="majorHAnsi" w:hAnsiTheme="majorHAnsi" w:cstheme="majorHAnsi"/>
                <w:sz w:val="24"/>
                <w:szCs w:val="24"/>
                <w:lang w:val="pt-PT"/>
              </w:rPr>
              <w:t>55</w:t>
            </w:r>
          </w:p>
        </w:tc>
        <w:tc>
          <w:tcPr>
            <w:tcW w:w="1674" w:type="dxa"/>
            <w:tcBorders>
              <w:top w:val="single" w:sz="4" w:space="0" w:color="auto"/>
              <w:bottom w:val="single" w:sz="4" w:space="0" w:color="auto"/>
            </w:tcBorders>
            <w:vAlign w:val="bottom"/>
          </w:tcPr>
          <w:p w14:paraId="5012F9CB" w14:textId="77777777" w:rsidR="002C3BB1" w:rsidRPr="00DE4CD2" w:rsidRDefault="002C3BB1" w:rsidP="00D41D63">
            <w:pPr>
              <w:jc w:val="right"/>
              <w:rPr>
                <w:rFonts w:asciiTheme="majorHAnsi" w:hAnsiTheme="majorHAnsi" w:cstheme="majorHAnsi"/>
                <w:sz w:val="24"/>
                <w:szCs w:val="24"/>
                <w:lang w:val="pt-PT"/>
              </w:rPr>
            </w:pPr>
            <w:r w:rsidRPr="00DE4CD2">
              <w:rPr>
                <w:rFonts w:asciiTheme="majorHAnsi" w:hAnsiTheme="majorHAnsi" w:cstheme="majorHAnsi"/>
                <w:sz w:val="24"/>
                <w:szCs w:val="24"/>
                <w:lang w:val="pt-PT"/>
              </w:rPr>
              <w:t>701</w:t>
            </w:r>
          </w:p>
        </w:tc>
      </w:tr>
    </w:tbl>
    <w:p w14:paraId="0FB6C871" w14:textId="77777777" w:rsidR="002C3BB1" w:rsidRPr="00DE4CD2" w:rsidRDefault="002C3BB1" w:rsidP="002C3BB1">
      <w:pPr>
        <w:pBdr>
          <w:top w:val="none" w:sz="0" w:space="0" w:color="auto"/>
          <w:left w:val="none" w:sz="0" w:space="0" w:color="auto"/>
          <w:bottom w:val="none" w:sz="0" w:space="0" w:color="auto"/>
          <w:right w:val="none" w:sz="0" w:space="0" w:color="auto"/>
          <w:between w:val="none" w:sz="0" w:space="0" w:color="auto"/>
        </w:pBdr>
        <w:jc w:val="both"/>
        <w:rPr>
          <w:rFonts w:asciiTheme="majorHAnsi" w:hAnsiTheme="majorHAnsi" w:cstheme="majorHAnsi"/>
          <w:lang w:val="en-US"/>
        </w:rPr>
      </w:pPr>
    </w:p>
    <w:p w14:paraId="68DDCFB9" w14:textId="77777777" w:rsidR="00D32776" w:rsidRPr="00DE4CD2" w:rsidRDefault="00D32776" w:rsidP="002C3BB1">
      <w:pPr>
        <w:pBdr>
          <w:top w:val="none" w:sz="0" w:space="0" w:color="auto"/>
          <w:left w:val="none" w:sz="0" w:space="0" w:color="auto"/>
          <w:bottom w:val="none" w:sz="0" w:space="0" w:color="auto"/>
          <w:right w:val="none" w:sz="0" w:space="0" w:color="auto"/>
          <w:between w:val="none" w:sz="0" w:space="0" w:color="auto"/>
        </w:pBdr>
        <w:jc w:val="both"/>
        <w:rPr>
          <w:rFonts w:asciiTheme="majorHAnsi" w:hAnsiTheme="majorHAnsi" w:cstheme="majorHAnsi"/>
          <w:lang w:val="en-US"/>
        </w:rPr>
      </w:pPr>
    </w:p>
    <w:p w14:paraId="5C73EDB2" w14:textId="04A92ADB" w:rsidR="00D32776" w:rsidRPr="00DE4CD2" w:rsidRDefault="002C3BB1" w:rsidP="002C3BB1">
      <w:pPr>
        <w:pBdr>
          <w:top w:val="none" w:sz="0" w:space="0" w:color="auto"/>
          <w:left w:val="none" w:sz="0" w:space="0" w:color="auto"/>
          <w:bottom w:val="none" w:sz="0" w:space="0" w:color="auto"/>
          <w:right w:val="none" w:sz="0" w:space="0" w:color="auto"/>
          <w:between w:val="none" w:sz="0" w:space="0" w:color="auto"/>
        </w:pBdr>
        <w:jc w:val="both"/>
        <w:rPr>
          <w:rFonts w:asciiTheme="majorHAnsi" w:hAnsiTheme="majorHAnsi" w:cstheme="majorHAnsi"/>
          <w:lang w:val="en-US"/>
        </w:rPr>
      </w:pPr>
      <w:r w:rsidRPr="00DE4CD2">
        <w:rPr>
          <w:rFonts w:asciiTheme="majorHAnsi" w:hAnsiTheme="majorHAnsi" w:cstheme="majorHAnsi"/>
          <w:lang w:val="en-US"/>
        </w:rPr>
        <w:t>The facility includes a comprehensive archive of official documents – instrument calls, guidelines for participants, descriptions on official webpages, etc. – hosted on a cloud and linked to individual funding instruments within the database. These documents can be actively utilized, potentially through textual analysis and semantic analysis. The repository of official documents is a valuable resource for users who want to deepen their understanding of project funding instruments (e.g. on mission and evaluation procedures) and their relevance to specific research or policy targets applying key words, and vocabularies.</w:t>
      </w:r>
    </w:p>
    <w:p w14:paraId="56E7E354" w14:textId="77777777" w:rsidR="00D32776" w:rsidRPr="00DE4CD2" w:rsidRDefault="00D32776" w:rsidP="002C3BB1">
      <w:pPr>
        <w:pBdr>
          <w:top w:val="none" w:sz="0" w:space="0" w:color="auto"/>
          <w:left w:val="none" w:sz="0" w:space="0" w:color="auto"/>
          <w:bottom w:val="none" w:sz="0" w:space="0" w:color="auto"/>
          <w:right w:val="none" w:sz="0" w:space="0" w:color="auto"/>
          <w:between w:val="none" w:sz="0" w:space="0" w:color="auto"/>
        </w:pBdr>
        <w:jc w:val="both"/>
        <w:rPr>
          <w:rFonts w:asciiTheme="majorHAnsi" w:hAnsiTheme="majorHAnsi" w:cstheme="majorHAnsi"/>
          <w:lang w:val="en-US"/>
        </w:rPr>
      </w:pPr>
    </w:p>
    <w:p w14:paraId="72344847" w14:textId="1908E0EA" w:rsidR="002C3BB1" w:rsidRPr="00DE4CD2" w:rsidRDefault="002C3BB1" w:rsidP="002C3BB1">
      <w:pPr>
        <w:pBdr>
          <w:top w:val="none" w:sz="0" w:space="0" w:color="auto"/>
          <w:left w:val="none" w:sz="0" w:space="0" w:color="auto"/>
          <w:bottom w:val="none" w:sz="0" w:space="0" w:color="auto"/>
          <w:right w:val="none" w:sz="0" w:space="0" w:color="auto"/>
          <w:between w:val="none" w:sz="0" w:space="0" w:color="auto"/>
        </w:pBdr>
        <w:jc w:val="both"/>
        <w:rPr>
          <w:rFonts w:asciiTheme="majorHAnsi" w:hAnsiTheme="majorHAnsi" w:cstheme="majorHAnsi"/>
          <w:lang w:val="en-US"/>
        </w:rPr>
      </w:pPr>
      <w:r w:rsidRPr="00DE4CD2">
        <w:rPr>
          <w:rFonts w:asciiTheme="majorHAnsi" w:hAnsiTheme="majorHAnsi" w:cstheme="majorHAnsi"/>
          <w:lang w:val="en-US"/>
        </w:rPr>
        <w:t>EFIL currently incorporates the results of the textual analysis derived from official documentation, evaluating the alignment of project funding instruments with Key Enabling Technologies (KETs), Societal Grand Challenges (SGCs), and Sustainable Development Goals (SDGs). Specifically, the indicators are generated using ontologies developed in the KNOWMAK project (Maynard et al., 2020). The unique capability provided by this feature, combined with the possibility to retrieve year-by-year budgetary details, potentially positions EFIL as a complementary resource to other Science, Technology, and Innovation databases, like STIP-Compass managed at the OECD level.</w:t>
      </w:r>
    </w:p>
    <w:p w14:paraId="5600040A" w14:textId="59A7CFB8" w:rsidR="00D32776" w:rsidRPr="00DE4CD2" w:rsidRDefault="00D32776" w:rsidP="002C3BB1">
      <w:pPr>
        <w:pBdr>
          <w:top w:val="none" w:sz="0" w:space="0" w:color="auto"/>
          <w:left w:val="none" w:sz="0" w:space="0" w:color="auto"/>
          <w:bottom w:val="none" w:sz="0" w:space="0" w:color="auto"/>
          <w:right w:val="none" w:sz="0" w:space="0" w:color="auto"/>
          <w:between w:val="none" w:sz="0" w:space="0" w:color="auto"/>
        </w:pBdr>
        <w:jc w:val="both"/>
        <w:rPr>
          <w:rFonts w:asciiTheme="majorHAnsi" w:hAnsiTheme="majorHAnsi" w:cstheme="majorHAnsi"/>
          <w:lang w:val="en-US"/>
        </w:rPr>
      </w:pPr>
    </w:p>
    <w:p w14:paraId="33CE9E99" w14:textId="77777777" w:rsidR="00D32776" w:rsidRPr="00DE4CD2" w:rsidRDefault="00D32776" w:rsidP="00D32776">
      <w:pPr>
        <w:pBdr>
          <w:top w:val="none" w:sz="0" w:space="0" w:color="auto"/>
          <w:left w:val="none" w:sz="0" w:space="0" w:color="auto"/>
          <w:bottom w:val="none" w:sz="0" w:space="0" w:color="auto"/>
          <w:right w:val="none" w:sz="0" w:space="0" w:color="auto"/>
          <w:between w:val="none" w:sz="0" w:space="0" w:color="auto"/>
        </w:pBdr>
        <w:jc w:val="both"/>
        <w:rPr>
          <w:rFonts w:asciiTheme="majorHAnsi" w:hAnsiTheme="majorHAnsi" w:cstheme="majorHAnsi"/>
          <w:lang w:val="en-US"/>
        </w:rPr>
      </w:pPr>
      <w:r w:rsidRPr="00DE4CD2">
        <w:rPr>
          <w:rFonts w:asciiTheme="majorHAnsi" w:hAnsiTheme="majorHAnsi" w:cstheme="majorHAnsi"/>
          <w:lang w:val="en-US"/>
        </w:rPr>
        <w:t xml:space="preserve">EFIL is integrated in the RISIS infrastructure with the </w:t>
      </w:r>
      <w:proofErr w:type="spellStart"/>
      <w:r w:rsidRPr="00DE4CD2">
        <w:rPr>
          <w:rFonts w:asciiTheme="majorHAnsi" w:hAnsiTheme="majorHAnsi" w:cstheme="majorHAnsi"/>
          <w:lang w:val="en-US"/>
        </w:rPr>
        <w:t>OrgReg</w:t>
      </w:r>
      <w:proofErr w:type="spellEnd"/>
      <w:r w:rsidRPr="00DE4CD2">
        <w:rPr>
          <w:rFonts w:asciiTheme="majorHAnsi" w:hAnsiTheme="majorHAnsi" w:cstheme="majorHAnsi"/>
          <w:lang w:val="en-US"/>
        </w:rPr>
        <w:t xml:space="preserve"> register, using the ID of the RFOs managing the funding schemes, and with NATPRO module of EUPRO and SIPER through the ID of the funding instruments. Notably, the integration of EFIL and NATPRO expands the potential for relevant research policy studies. The use of the two datasets together allows for new possibilities for addressing research and policy questions (Heller-Schuh et al., 2022).</w:t>
      </w:r>
    </w:p>
    <w:p w14:paraId="5AC5C999" w14:textId="2076E6F1" w:rsidR="002C3BB1" w:rsidRPr="00DE4CD2" w:rsidRDefault="002C3BB1" w:rsidP="002C3BB1">
      <w:pPr>
        <w:pBdr>
          <w:top w:val="none" w:sz="0" w:space="0" w:color="auto"/>
          <w:left w:val="none" w:sz="0" w:space="0" w:color="auto"/>
          <w:bottom w:val="none" w:sz="0" w:space="0" w:color="auto"/>
          <w:right w:val="none" w:sz="0" w:space="0" w:color="auto"/>
          <w:between w:val="none" w:sz="0" w:space="0" w:color="auto"/>
        </w:pBdr>
        <w:jc w:val="both"/>
        <w:rPr>
          <w:rFonts w:asciiTheme="majorHAnsi" w:hAnsiTheme="majorHAnsi" w:cstheme="majorHAnsi"/>
          <w:lang w:val="en-US"/>
        </w:rPr>
      </w:pPr>
    </w:p>
    <w:p w14:paraId="0C867343" w14:textId="1D007E4D" w:rsidR="00D32776" w:rsidRPr="00DE4CD2" w:rsidRDefault="00D32776" w:rsidP="002C3BB1">
      <w:pPr>
        <w:pBdr>
          <w:top w:val="none" w:sz="0" w:space="0" w:color="auto"/>
          <w:left w:val="none" w:sz="0" w:space="0" w:color="auto"/>
          <w:bottom w:val="none" w:sz="0" w:space="0" w:color="auto"/>
          <w:right w:val="none" w:sz="0" w:space="0" w:color="auto"/>
          <w:between w:val="none" w:sz="0" w:space="0" w:color="auto"/>
        </w:pBdr>
        <w:jc w:val="both"/>
        <w:rPr>
          <w:rFonts w:asciiTheme="majorHAnsi" w:hAnsiTheme="majorHAnsi" w:cstheme="majorHAnsi"/>
          <w:lang w:val="en-US"/>
        </w:rPr>
      </w:pPr>
    </w:p>
    <w:p w14:paraId="36FA02DA" w14:textId="304C257C" w:rsidR="00D32776" w:rsidRPr="00DE4CD2" w:rsidRDefault="00D32776" w:rsidP="002C3BB1">
      <w:pPr>
        <w:pBdr>
          <w:top w:val="none" w:sz="0" w:space="0" w:color="auto"/>
          <w:left w:val="none" w:sz="0" w:space="0" w:color="auto"/>
          <w:bottom w:val="none" w:sz="0" w:space="0" w:color="auto"/>
          <w:right w:val="none" w:sz="0" w:space="0" w:color="auto"/>
          <w:between w:val="none" w:sz="0" w:space="0" w:color="auto"/>
        </w:pBdr>
        <w:jc w:val="both"/>
        <w:rPr>
          <w:rFonts w:asciiTheme="majorHAnsi" w:hAnsiTheme="majorHAnsi" w:cstheme="majorHAnsi"/>
          <w:lang w:val="en-US"/>
        </w:rPr>
      </w:pPr>
    </w:p>
    <w:p w14:paraId="7446DA0A" w14:textId="5D27A339" w:rsidR="00D32776" w:rsidRPr="00DE4CD2" w:rsidRDefault="00D32776" w:rsidP="002C3BB1">
      <w:pPr>
        <w:pBdr>
          <w:top w:val="none" w:sz="0" w:space="0" w:color="auto"/>
          <w:left w:val="none" w:sz="0" w:space="0" w:color="auto"/>
          <w:bottom w:val="none" w:sz="0" w:space="0" w:color="auto"/>
          <w:right w:val="none" w:sz="0" w:space="0" w:color="auto"/>
          <w:between w:val="none" w:sz="0" w:space="0" w:color="auto"/>
        </w:pBdr>
        <w:jc w:val="both"/>
        <w:rPr>
          <w:rFonts w:asciiTheme="majorHAnsi" w:hAnsiTheme="majorHAnsi" w:cstheme="majorHAnsi"/>
          <w:lang w:val="en-US"/>
        </w:rPr>
      </w:pPr>
    </w:p>
    <w:p w14:paraId="54ADA9A2" w14:textId="77777777" w:rsidR="00D32776" w:rsidRPr="00DE4CD2" w:rsidRDefault="00D32776" w:rsidP="002C3BB1">
      <w:pPr>
        <w:pBdr>
          <w:top w:val="none" w:sz="0" w:space="0" w:color="auto"/>
          <w:left w:val="none" w:sz="0" w:space="0" w:color="auto"/>
          <w:bottom w:val="none" w:sz="0" w:space="0" w:color="auto"/>
          <w:right w:val="none" w:sz="0" w:space="0" w:color="auto"/>
          <w:between w:val="none" w:sz="0" w:space="0" w:color="auto"/>
        </w:pBdr>
        <w:jc w:val="both"/>
        <w:rPr>
          <w:rFonts w:asciiTheme="majorHAnsi" w:hAnsiTheme="majorHAnsi" w:cstheme="majorHAnsi"/>
          <w:lang w:val="en-US"/>
        </w:rPr>
      </w:pPr>
    </w:p>
    <w:p w14:paraId="70D3CB85" w14:textId="28480D93" w:rsidR="002C3BB1" w:rsidRPr="00DE4CD2" w:rsidRDefault="002C3BB1" w:rsidP="002C3BB1">
      <w:pPr>
        <w:pStyle w:val="Listenabsatz"/>
        <w:spacing w:after="240"/>
        <w:ind w:left="0"/>
        <w:jc w:val="both"/>
        <w:rPr>
          <w:rFonts w:asciiTheme="majorHAnsi" w:eastAsiaTheme="minorHAnsi" w:hAnsiTheme="majorHAnsi" w:cstheme="majorHAnsi"/>
          <w:i/>
          <w:iCs/>
          <w:lang w:val="en-US" w:eastAsia="en-US"/>
        </w:rPr>
      </w:pPr>
      <w:r w:rsidRPr="00DE4CD2">
        <w:rPr>
          <w:rFonts w:asciiTheme="majorHAnsi" w:eastAsiaTheme="minorHAnsi" w:hAnsiTheme="majorHAnsi" w:cstheme="majorHAnsi"/>
          <w:i/>
          <w:iCs/>
          <w:lang w:val="en-US" w:eastAsia="en-US"/>
        </w:rPr>
        <w:t xml:space="preserve">Figure </w:t>
      </w:r>
      <w:r w:rsidR="00FE6AC1" w:rsidRPr="00DE4CD2">
        <w:rPr>
          <w:rFonts w:asciiTheme="majorHAnsi" w:eastAsiaTheme="minorHAnsi" w:hAnsiTheme="majorHAnsi" w:cstheme="majorHAnsi"/>
          <w:i/>
          <w:iCs/>
          <w:lang w:val="en-US" w:eastAsia="en-US"/>
        </w:rPr>
        <w:t>37</w:t>
      </w:r>
      <w:r w:rsidRPr="00DE4CD2">
        <w:rPr>
          <w:rFonts w:asciiTheme="majorHAnsi" w:eastAsiaTheme="minorHAnsi" w:hAnsiTheme="majorHAnsi" w:cstheme="majorHAnsi"/>
          <w:i/>
          <w:iCs/>
          <w:lang w:val="en-US" w:eastAsia="en-US"/>
        </w:rPr>
        <w:t>. EFIL database relational structure, the connection with the official document repository and the integration in the RISIS infrastructure.</w:t>
      </w:r>
    </w:p>
    <w:p w14:paraId="08339E76" w14:textId="77777777" w:rsidR="002C3BB1" w:rsidRPr="00DE4CD2" w:rsidRDefault="002C3BB1" w:rsidP="002C3BB1">
      <w:pPr>
        <w:pBdr>
          <w:top w:val="none" w:sz="0" w:space="0" w:color="auto"/>
          <w:left w:val="none" w:sz="0" w:space="0" w:color="auto"/>
          <w:bottom w:val="none" w:sz="0" w:space="0" w:color="auto"/>
          <w:right w:val="none" w:sz="0" w:space="0" w:color="auto"/>
          <w:between w:val="none" w:sz="0" w:space="0" w:color="auto"/>
        </w:pBdr>
        <w:jc w:val="center"/>
        <w:rPr>
          <w:rFonts w:asciiTheme="majorHAnsi" w:hAnsiTheme="majorHAnsi" w:cstheme="majorHAnsi"/>
          <w:lang w:val="en-US"/>
        </w:rPr>
      </w:pPr>
      <w:r w:rsidRPr="00DE4CD2">
        <w:rPr>
          <w:rFonts w:asciiTheme="majorHAnsi" w:hAnsiTheme="majorHAnsi" w:cstheme="majorHAnsi"/>
          <w:noProof/>
          <w:lang w:val="en-US"/>
        </w:rPr>
        <w:drawing>
          <wp:inline distT="0" distB="0" distL="0" distR="0" wp14:anchorId="07D7437F" wp14:editId="3705EEA4">
            <wp:extent cx="6078368" cy="3792772"/>
            <wp:effectExtent l="0" t="0" r="0" b="0"/>
            <wp:docPr id="1221099127" name="Immagine 1" descr="Immagine che contiene testo, schermata, Rettango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099127" name="Immagine 1" descr="Immagine che contiene testo, schermata, Rettangolo&#10;&#10;Descrizione generata automaticamente"/>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42170" cy="3832583"/>
                    </a:xfrm>
                    <a:prstGeom prst="rect">
                      <a:avLst/>
                    </a:prstGeom>
                    <a:noFill/>
                  </pic:spPr>
                </pic:pic>
              </a:graphicData>
            </a:graphic>
          </wp:inline>
        </w:drawing>
      </w:r>
    </w:p>
    <w:p w14:paraId="3F52D322" w14:textId="77777777" w:rsidR="002C3BB1" w:rsidRPr="00DE4CD2" w:rsidRDefault="002C3BB1" w:rsidP="002C3BB1">
      <w:pPr>
        <w:pBdr>
          <w:top w:val="none" w:sz="0" w:space="0" w:color="auto"/>
          <w:left w:val="none" w:sz="0" w:space="0" w:color="auto"/>
          <w:bottom w:val="none" w:sz="0" w:space="0" w:color="auto"/>
          <w:right w:val="none" w:sz="0" w:space="0" w:color="auto"/>
          <w:between w:val="none" w:sz="0" w:space="0" w:color="auto"/>
        </w:pBdr>
        <w:jc w:val="both"/>
        <w:rPr>
          <w:rFonts w:asciiTheme="majorHAnsi" w:hAnsiTheme="majorHAnsi" w:cstheme="majorHAnsi"/>
          <w:lang w:val="en-US"/>
        </w:rPr>
      </w:pPr>
    </w:p>
    <w:p w14:paraId="65006239" w14:textId="77777777" w:rsidR="002C3BB1" w:rsidRPr="00DE4CD2" w:rsidRDefault="002C3BB1" w:rsidP="002C3BB1">
      <w:pPr>
        <w:pBdr>
          <w:top w:val="none" w:sz="0" w:space="0" w:color="auto"/>
          <w:left w:val="none" w:sz="0" w:space="0" w:color="auto"/>
          <w:bottom w:val="none" w:sz="0" w:space="0" w:color="auto"/>
          <w:right w:val="none" w:sz="0" w:space="0" w:color="auto"/>
          <w:between w:val="none" w:sz="0" w:space="0" w:color="auto"/>
        </w:pBdr>
        <w:jc w:val="both"/>
        <w:rPr>
          <w:rFonts w:asciiTheme="majorHAnsi" w:hAnsiTheme="majorHAnsi" w:cstheme="majorHAnsi"/>
          <w:highlight w:val="yellow"/>
          <w:lang w:val="en-US"/>
        </w:rPr>
      </w:pPr>
    </w:p>
    <w:p w14:paraId="52FE6BAD" w14:textId="77777777" w:rsidR="002C3BB1" w:rsidRPr="00DE4CD2" w:rsidRDefault="002C3BB1" w:rsidP="002C3BB1">
      <w:pPr>
        <w:rPr>
          <w:rFonts w:asciiTheme="majorHAnsi" w:hAnsiTheme="majorHAnsi" w:cstheme="majorHAnsi"/>
          <w:b/>
          <w:bCs/>
          <w:i/>
          <w:iCs/>
        </w:rPr>
      </w:pPr>
      <w:r w:rsidRPr="00DE4CD2">
        <w:rPr>
          <w:rFonts w:asciiTheme="majorHAnsi" w:hAnsiTheme="majorHAnsi" w:cstheme="majorHAnsi"/>
          <w:b/>
          <w:bCs/>
          <w:i/>
          <w:iCs/>
        </w:rPr>
        <w:t>Main achievements</w:t>
      </w:r>
    </w:p>
    <w:p w14:paraId="0F142F16" w14:textId="77777777" w:rsidR="002C3BB1" w:rsidRPr="00DE4CD2" w:rsidRDefault="002C3BB1" w:rsidP="002C3BB1">
      <w:pPr>
        <w:pBdr>
          <w:top w:val="none" w:sz="0" w:space="0" w:color="auto"/>
          <w:left w:val="none" w:sz="0" w:space="0" w:color="auto"/>
          <w:bottom w:val="none" w:sz="0" w:space="0" w:color="auto"/>
          <w:right w:val="none" w:sz="0" w:space="0" w:color="auto"/>
          <w:between w:val="none" w:sz="0" w:space="0" w:color="auto"/>
        </w:pBdr>
        <w:spacing w:after="120"/>
        <w:jc w:val="both"/>
        <w:rPr>
          <w:rFonts w:asciiTheme="majorHAnsi" w:hAnsiTheme="majorHAnsi" w:cstheme="majorHAnsi"/>
          <w:lang w:val="en-US"/>
        </w:rPr>
      </w:pPr>
      <w:r w:rsidRPr="00DE4CD2">
        <w:rPr>
          <w:rFonts w:asciiTheme="majorHAnsi" w:hAnsiTheme="majorHAnsi" w:cstheme="majorHAnsi"/>
          <w:lang w:val="en-US"/>
        </w:rPr>
        <w:t xml:space="preserve">Following the RISIS2 strategy, EFIL was created upon previous experiments in specific EC projects. An exemplary instance has been the PREF project funded by the European Commission (EC Contract No. 154321), which aimed at gathering data on both competitive and non-competitive allocation of public resources for R&amp;D. This project, whose leader was the CNR, yielded valuable methodological and analytical outcomes (Lepori, 2017; Reale, 2017; Lepori et al., 2018; Reale et al., 2018). Indeed, the methodology conceived for the EFIL data collection extensively relies on the PREF study, reintroducing the approach of decomposing public research funding into funding instruments managed by RFOs and intended for the research performers. This detailed breakdown demonstrated to enable a more nuanced analysis of public R&amp;D funding, facilitating the profiling of instrument portfolios across multiple countries, and identifying evolving patterns in funding modes (see </w:t>
      </w:r>
      <w:proofErr w:type="spellStart"/>
      <w:r w:rsidRPr="00DE4CD2">
        <w:rPr>
          <w:rFonts w:asciiTheme="majorHAnsi" w:hAnsiTheme="majorHAnsi" w:cstheme="majorHAnsi"/>
          <w:lang w:val="en-US"/>
        </w:rPr>
        <w:t>Zacharewicz</w:t>
      </w:r>
      <w:proofErr w:type="spellEnd"/>
      <w:r w:rsidRPr="00DE4CD2">
        <w:rPr>
          <w:rFonts w:asciiTheme="majorHAnsi" w:hAnsiTheme="majorHAnsi" w:cstheme="majorHAnsi"/>
          <w:lang w:val="en-US"/>
        </w:rPr>
        <w:t xml:space="preserve"> et al., 2018; Lepori, Reale, Cocos, 2022).</w:t>
      </w:r>
    </w:p>
    <w:p w14:paraId="145F098E" w14:textId="4F9433AD" w:rsidR="002C3BB1" w:rsidRPr="00DE4CD2" w:rsidRDefault="002C3BB1" w:rsidP="002C3BB1">
      <w:pPr>
        <w:pBdr>
          <w:top w:val="none" w:sz="0" w:space="0" w:color="auto"/>
          <w:left w:val="none" w:sz="0" w:space="0" w:color="auto"/>
          <w:bottom w:val="none" w:sz="0" w:space="0" w:color="auto"/>
          <w:right w:val="none" w:sz="0" w:space="0" w:color="auto"/>
          <w:between w:val="none" w:sz="0" w:space="0" w:color="auto"/>
        </w:pBdr>
        <w:spacing w:after="120"/>
        <w:jc w:val="both"/>
        <w:rPr>
          <w:rFonts w:asciiTheme="majorHAnsi" w:hAnsiTheme="majorHAnsi" w:cstheme="majorHAnsi"/>
          <w:lang w:val="en-US"/>
        </w:rPr>
      </w:pPr>
      <w:r w:rsidRPr="00DE4CD2">
        <w:rPr>
          <w:rFonts w:asciiTheme="majorHAnsi" w:hAnsiTheme="majorHAnsi" w:cstheme="majorHAnsi"/>
          <w:lang w:val="en-US"/>
        </w:rPr>
        <w:t xml:space="preserve">The key stages in the development of the EFIL dataset over RISIS2 can be summarized through the steps presented in Table </w:t>
      </w:r>
      <w:r w:rsidR="009837B8" w:rsidRPr="00DE4CD2">
        <w:rPr>
          <w:rFonts w:asciiTheme="majorHAnsi" w:hAnsiTheme="majorHAnsi" w:cstheme="majorHAnsi"/>
          <w:lang w:val="en-US"/>
        </w:rPr>
        <w:t>15</w:t>
      </w:r>
      <w:r w:rsidRPr="00DE4CD2">
        <w:rPr>
          <w:rFonts w:asciiTheme="majorHAnsi" w:hAnsiTheme="majorHAnsi" w:cstheme="majorHAnsi"/>
          <w:lang w:val="en-US"/>
        </w:rPr>
        <w:t>, aligning with some of the milestones and deliverables of the project.</w:t>
      </w:r>
    </w:p>
    <w:p w14:paraId="1CFE46A8" w14:textId="77777777" w:rsidR="002C3BB1" w:rsidRPr="00DE4CD2" w:rsidRDefault="002C3BB1" w:rsidP="002C3BB1">
      <w:pPr>
        <w:pBdr>
          <w:top w:val="none" w:sz="0" w:space="0" w:color="auto"/>
          <w:left w:val="none" w:sz="0" w:space="0" w:color="auto"/>
          <w:bottom w:val="none" w:sz="0" w:space="0" w:color="auto"/>
          <w:right w:val="none" w:sz="0" w:space="0" w:color="auto"/>
          <w:between w:val="none" w:sz="0" w:space="0" w:color="auto"/>
        </w:pBdr>
        <w:spacing w:after="120"/>
        <w:jc w:val="both"/>
        <w:rPr>
          <w:rFonts w:asciiTheme="majorHAnsi" w:hAnsiTheme="majorHAnsi" w:cstheme="majorHAnsi"/>
          <w:lang w:val="en-US"/>
        </w:rPr>
      </w:pPr>
    </w:p>
    <w:p w14:paraId="548D634C" w14:textId="77777777" w:rsidR="00D32776" w:rsidRPr="00DE4CD2" w:rsidRDefault="00D32776" w:rsidP="002C3BB1">
      <w:pPr>
        <w:pStyle w:val="Listenabsatz"/>
        <w:spacing w:after="240"/>
        <w:ind w:left="142"/>
        <w:jc w:val="both"/>
        <w:rPr>
          <w:rFonts w:asciiTheme="majorHAnsi" w:eastAsiaTheme="minorHAnsi" w:hAnsiTheme="majorHAnsi" w:cstheme="majorHAnsi"/>
          <w:i/>
          <w:iCs/>
          <w:lang w:val="en-US" w:eastAsia="en-US"/>
        </w:rPr>
      </w:pPr>
    </w:p>
    <w:p w14:paraId="2F6CE1EE" w14:textId="77777777" w:rsidR="00D32776" w:rsidRPr="00DE4CD2" w:rsidRDefault="00D32776" w:rsidP="002C3BB1">
      <w:pPr>
        <w:pStyle w:val="Listenabsatz"/>
        <w:spacing w:after="240"/>
        <w:ind w:left="142"/>
        <w:jc w:val="both"/>
        <w:rPr>
          <w:rFonts w:asciiTheme="majorHAnsi" w:eastAsiaTheme="minorHAnsi" w:hAnsiTheme="majorHAnsi" w:cstheme="majorHAnsi"/>
          <w:i/>
          <w:iCs/>
          <w:lang w:val="en-US" w:eastAsia="en-US"/>
        </w:rPr>
      </w:pPr>
    </w:p>
    <w:p w14:paraId="2D79B22E" w14:textId="77777777" w:rsidR="00D32776" w:rsidRPr="00DE4CD2" w:rsidRDefault="00D32776" w:rsidP="002C3BB1">
      <w:pPr>
        <w:pStyle w:val="Listenabsatz"/>
        <w:spacing w:after="240"/>
        <w:ind w:left="142"/>
        <w:jc w:val="both"/>
        <w:rPr>
          <w:rFonts w:asciiTheme="majorHAnsi" w:eastAsiaTheme="minorHAnsi" w:hAnsiTheme="majorHAnsi" w:cstheme="majorHAnsi"/>
          <w:i/>
          <w:iCs/>
          <w:lang w:val="en-US" w:eastAsia="en-US"/>
        </w:rPr>
      </w:pPr>
    </w:p>
    <w:p w14:paraId="3845543E" w14:textId="77777777" w:rsidR="00D32776" w:rsidRPr="00DE4CD2" w:rsidRDefault="00D32776" w:rsidP="002C3BB1">
      <w:pPr>
        <w:pStyle w:val="Listenabsatz"/>
        <w:spacing w:after="240"/>
        <w:ind w:left="142"/>
        <w:jc w:val="both"/>
        <w:rPr>
          <w:rFonts w:asciiTheme="majorHAnsi" w:eastAsiaTheme="minorHAnsi" w:hAnsiTheme="majorHAnsi" w:cstheme="majorHAnsi"/>
          <w:i/>
          <w:iCs/>
          <w:lang w:val="en-US" w:eastAsia="en-US"/>
        </w:rPr>
      </w:pPr>
    </w:p>
    <w:p w14:paraId="61E96C1A" w14:textId="30B559DE" w:rsidR="002C3BB1" w:rsidRPr="00DE4CD2" w:rsidRDefault="002C3BB1" w:rsidP="002C3BB1">
      <w:pPr>
        <w:pStyle w:val="Listenabsatz"/>
        <w:spacing w:after="240"/>
        <w:ind w:left="142"/>
        <w:jc w:val="both"/>
        <w:rPr>
          <w:rFonts w:asciiTheme="majorHAnsi" w:eastAsiaTheme="minorHAnsi" w:hAnsiTheme="majorHAnsi" w:cstheme="majorHAnsi"/>
          <w:i/>
          <w:iCs/>
          <w:lang w:val="en-US" w:eastAsia="en-US"/>
        </w:rPr>
      </w:pPr>
      <w:r w:rsidRPr="00DE4CD2">
        <w:rPr>
          <w:rFonts w:asciiTheme="majorHAnsi" w:eastAsiaTheme="minorHAnsi" w:hAnsiTheme="majorHAnsi" w:cstheme="majorHAnsi"/>
          <w:i/>
          <w:iCs/>
          <w:lang w:val="en-US" w:eastAsia="en-US"/>
        </w:rPr>
        <w:lastRenderedPageBreak/>
        <w:t xml:space="preserve">Table </w:t>
      </w:r>
      <w:r w:rsidR="009837B8" w:rsidRPr="00DE4CD2">
        <w:rPr>
          <w:rFonts w:asciiTheme="majorHAnsi" w:eastAsiaTheme="minorHAnsi" w:hAnsiTheme="majorHAnsi" w:cstheme="majorHAnsi"/>
          <w:i/>
          <w:iCs/>
          <w:lang w:val="en-US" w:eastAsia="en-US"/>
        </w:rPr>
        <w:t>15</w:t>
      </w:r>
      <w:r w:rsidRPr="00DE4CD2">
        <w:rPr>
          <w:rFonts w:asciiTheme="majorHAnsi" w:eastAsiaTheme="minorHAnsi" w:hAnsiTheme="majorHAnsi" w:cstheme="majorHAnsi"/>
          <w:i/>
          <w:iCs/>
          <w:lang w:val="en-US" w:eastAsia="en-US"/>
        </w:rPr>
        <w:t>. Steps of development of EFIL</w:t>
      </w:r>
    </w:p>
    <w:p w14:paraId="52E50FD0" w14:textId="77777777" w:rsidR="002C3BB1" w:rsidRPr="00DE4CD2" w:rsidRDefault="002C3BB1" w:rsidP="002C3BB1">
      <w:pPr>
        <w:pStyle w:val="Listenabsatz"/>
        <w:spacing w:after="240"/>
        <w:ind w:left="142"/>
        <w:jc w:val="both"/>
        <w:rPr>
          <w:rFonts w:asciiTheme="majorHAnsi" w:eastAsiaTheme="minorHAnsi" w:hAnsiTheme="majorHAnsi" w:cstheme="majorHAnsi"/>
          <w:i/>
          <w:iCs/>
          <w:lang w:val="en-US" w:eastAsia="en-US"/>
        </w:rPr>
      </w:pPr>
    </w:p>
    <w:tbl>
      <w:tblPr>
        <w:tblStyle w:val="Tabellenraster"/>
        <w:tblW w:w="9548" w:type="dxa"/>
        <w:tblInd w:w="142" w:type="dxa"/>
        <w:tblCellMar>
          <w:top w:w="57" w:type="dxa"/>
          <w:bottom w:w="57" w:type="dxa"/>
        </w:tblCellMar>
        <w:tblLook w:val="04A0" w:firstRow="1" w:lastRow="0" w:firstColumn="1" w:lastColumn="0" w:noHBand="0" w:noVBand="1"/>
      </w:tblPr>
      <w:tblGrid>
        <w:gridCol w:w="2688"/>
        <w:gridCol w:w="6860"/>
      </w:tblGrid>
      <w:tr w:rsidR="00D32776" w:rsidRPr="00DE4CD2" w14:paraId="15F3CFF4" w14:textId="77777777" w:rsidTr="00D32776">
        <w:trPr>
          <w:trHeight w:val="534"/>
        </w:trPr>
        <w:tc>
          <w:tcPr>
            <w:tcW w:w="2688" w:type="dxa"/>
            <w:vAlign w:val="center"/>
          </w:tcPr>
          <w:p w14:paraId="389C8DC2" w14:textId="77777777" w:rsidR="00D32776" w:rsidRPr="00DE4CD2" w:rsidRDefault="00D32776" w:rsidP="00D32776">
            <w:pPr>
              <w:pStyle w:val="Listenabsatz"/>
              <w:pBdr>
                <w:top w:val="none" w:sz="0" w:space="0" w:color="auto"/>
                <w:left w:val="none" w:sz="0" w:space="0" w:color="auto"/>
                <w:bottom w:val="none" w:sz="0" w:space="0" w:color="auto"/>
                <w:right w:val="none" w:sz="0" w:space="0" w:color="auto"/>
                <w:between w:val="none" w:sz="0" w:space="0" w:color="auto"/>
              </w:pBdr>
              <w:ind w:left="0"/>
              <w:jc w:val="center"/>
              <w:rPr>
                <w:rFonts w:asciiTheme="majorHAnsi" w:eastAsiaTheme="minorHAnsi" w:hAnsiTheme="majorHAnsi" w:cstheme="majorHAnsi"/>
                <w:sz w:val="21"/>
                <w:szCs w:val="21"/>
                <w:lang w:val="en-US"/>
              </w:rPr>
            </w:pPr>
            <w:r w:rsidRPr="00DE4CD2">
              <w:rPr>
                <w:rFonts w:asciiTheme="majorHAnsi" w:hAnsiTheme="majorHAnsi" w:cstheme="majorHAnsi"/>
                <w:b/>
                <w:bCs/>
                <w:sz w:val="21"/>
                <w:szCs w:val="21"/>
                <w:lang w:val="en-US" w:eastAsia="fr-FR"/>
              </w:rPr>
              <w:t>Achievement</w:t>
            </w:r>
          </w:p>
        </w:tc>
        <w:tc>
          <w:tcPr>
            <w:tcW w:w="6860" w:type="dxa"/>
            <w:vAlign w:val="center"/>
          </w:tcPr>
          <w:p w14:paraId="68F7143B" w14:textId="77777777" w:rsidR="00D32776" w:rsidRPr="00DE4CD2" w:rsidRDefault="00D32776" w:rsidP="00D32776">
            <w:pPr>
              <w:pStyle w:val="Listenabsatz"/>
              <w:pBdr>
                <w:top w:val="none" w:sz="0" w:space="0" w:color="auto"/>
                <w:left w:val="none" w:sz="0" w:space="0" w:color="auto"/>
                <w:bottom w:val="none" w:sz="0" w:space="0" w:color="auto"/>
                <w:right w:val="none" w:sz="0" w:space="0" w:color="auto"/>
                <w:between w:val="none" w:sz="0" w:space="0" w:color="auto"/>
              </w:pBdr>
              <w:ind w:left="0"/>
              <w:jc w:val="center"/>
              <w:rPr>
                <w:rFonts w:asciiTheme="majorHAnsi" w:hAnsiTheme="majorHAnsi" w:cstheme="majorHAnsi"/>
                <w:b/>
                <w:bCs/>
                <w:sz w:val="21"/>
                <w:szCs w:val="21"/>
                <w:lang w:val="en-US" w:eastAsia="fr-FR"/>
              </w:rPr>
            </w:pPr>
            <w:r w:rsidRPr="00DE4CD2">
              <w:rPr>
                <w:rFonts w:asciiTheme="majorHAnsi" w:hAnsiTheme="majorHAnsi" w:cstheme="majorHAnsi"/>
                <w:b/>
                <w:bCs/>
                <w:sz w:val="21"/>
                <w:szCs w:val="21"/>
                <w:lang w:val="en-US" w:eastAsia="fr-FR"/>
              </w:rPr>
              <w:t>Description</w:t>
            </w:r>
          </w:p>
        </w:tc>
      </w:tr>
      <w:tr w:rsidR="00D32776" w:rsidRPr="00DE4CD2" w14:paraId="2B169DDE" w14:textId="77777777" w:rsidTr="00D32776">
        <w:trPr>
          <w:trHeight w:val="1353"/>
        </w:trPr>
        <w:tc>
          <w:tcPr>
            <w:tcW w:w="2688" w:type="dxa"/>
            <w:vAlign w:val="center"/>
          </w:tcPr>
          <w:p w14:paraId="0AE159F1" w14:textId="40E79399" w:rsidR="00D32776" w:rsidRPr="00DE4CD2" w:rsidRDefault="00D32776" w:rsidP="00D32776">
            <w:pPr>
              <w:keepNext/>
              <w:keepLines/>
              <w:rPr>
                <w:rFonts w:asciiTheme="majorHAnsi" w:hAnsiTheme="majorHAnsi" w:cstheme="majorHAnsi"/>
                <w:sz w:val="20"/>
                <w:szCs w:val="20"/>
                <w:lang w:val="en-US" w:eastAsia="fr-FR"/>
              </w:rPr>
            </w:pPr>
            <w:r w:rsidRPr="00DE4CD2">
              <w:rPr>
                <w:rFonts w:asciiTheme="majorHAnsi" w:hAnsiTheme="majorHAnsi" w:cstheme="majorHAnsi"/>
                <w:sz w:val="20"/>
                <w:szCs w:val="20"/>
                <w:lang w:val="en-US" w:eastAsia="fr-FR"/>
              </w:rPr>
              <w:t>Development of the conceptual framework and methodology of data collection; decision on the perimeter of the data collection</w:t>
            </w:r>
          </w:p>
        </w:tc>
        <w:tc>
          <w:tcPr>
            <w:tcW w:w="6860" w:type="dxa"/>
            <w:vAlign w:val="center"/>
          </w:tcPr>
          <w:p w14:paraId="0E64CA56" w14:textId="3A18F24C" w:rsidR="00D32776" w:rsidRPr="00DE4CD2" w:rsidRDefault="00D32776" w:rsidP="00D32776">
            <w:pPr>
              <w:pStyle w:val="Listenabsatz"/>
              <w:pBdr>
                <w:top w:val="none" w:sz="0" w:space="0" w:color="auto"/>
                <w:left w:val="none" w:sz="0" w:space="0" w:color="auto"/>
                <w:bottom w:val="none" w:sz="0" w:space="0" w:color="auto"/>
                <w:right w:val="none" w:sz="0" w:space="0" w:color="auto"/>
                <w:between w:val="none" w:sz="0" w:space="0" w:color="auto"/>
              </w:pBdr>
              <w:ind w:left="0"/>
              <w:rPr>
                <w:rFonts w:asciiTheme="majorHAnsi" w:eastAsiaTheme="minorHAnsi" w:hAnsiTheme="majorHAnsi" w:cstheme="majorHAnsi"/>
                <w:sz w:val="20"/>
                <w:szCs w:val="20"/>
                <w:lang w:val="en-US"/>
              </w:rPr>
            </w:pPr>
            <w:r w:rsidRPr="00DE4CD2">
              <w:rPr>
                <w:rFonts w:asciiTheme="majorHAnsi" w:hAnsiTheme="majorHAnsi" w:cstheme="majorHAnsi"/>
                <w:i/>
                <w:iCs/>
                <w:sz w:val="20"/>
                <w:szCs w:val="20"/>
                <w:lang w:val="en-US" w:eastAsia="fr-FR"/>
              </w:rPr>
              <w:t xml:space="preserve">Completed by M12: </w:t>
            </w:r>
            <w:r w:rsidRPr="00DE4CD2">
              <w:rPr>
                <w:rFonts w:asciiTheme="majorHAnsi" w:hAnsiTheme="majorHAnsi" w:cstheme="majorHAnsi"/>
                <w:sz w:val="20"/>
                <w:szCs w:val="20"/>
                <w:lang w:val="en-US" w:eastAsia="fr-FR"/>
              </w:rPr>
              <w:t>Draft of a preliminary handbook, circulated to RISIS partners, with rationale of the dataset, aim, definitions, inclusion criteria, indications for instrument collection granularity, time span, descriptors, classifications, dataset design, and data acquisition guidelines.</w:t>
            </w:r>
          </w:p>
        </w:tc>
      </w:tr>
      <w:tr w:rsidR="00D32776" w:rsidRPr="00DE4CD2" w14:paraId="2E26C1E1" w14:textId="77777777" w:rsidTr="00D32776">
        <w:trPr>
          <w:trHeight w:val="227"/>
        </w:trPr>
        <w:tc>
          <w:tcPr>
            <w:tcW w:w="2688" w:type="dxa"/>
            <w:vAlign w:val="center"/>
          </w:tcPr>
          <w:p w14:paraId="1DB30E64" w14:textId="77777777" w:rsidR="00D32776" w:rsidRPr="00DE4CD2" w:rsidRDefault="00D32776" w:rsidP="00D32776">
            <w:pPr>
              <w:pStyle w:val="Listenabsatz"/>
              <w:pBdr>
                <w:top w:val="none" w:sz="0" w:space="0" w:color="auto"/>
                <w:left w:val="none" w:sz="0" w:space="0" w:color="auto"/>
                <w:bottom w:val="none" w:sz="0" w:space="0" w:color="auto"/>
                <w:right w:val="none" w:sz="0" w:space="0" w:color="auto"/>
                <w:between w:val="none" w:sz="0" w:space="0" w:color="auto"/>
              </w:pBdr>
              <w:ind w:left="0"/>
              <w:rPr>
                <w:rFonts w:asciiTheme="majorHAnsi" w:eastAsiaTheme="minorHAnsi" w:hAnsiTheme="majorHAnsi" w:cstheme="majorHAnsi"/>
                <w:sz w:val="20"/>
                <w:szCs w:val="20"/>
                <w:lang w:val="en-US"/>
              </w:rPr>
            </w:pPr>
            <w:r w:rsidRPr="00DE4CD2">
              <w:rPr>
                <w:rFonts w:asciiTheme="majorHAnsi" w:hAnsiTheme="majorHAnsi" w:cstheme="majorHAnsi"/>
                <w:sz w:val="20"/>
                <w:szCs w:val="20"/>
                <w:lang w:val="en-US" w:eastAsia="fr-FR"/>
              </w:rPr>
              <w:t>Pilot data collection</w:t>
            </w:r>
          </w:p>
        </w:tc>
        <w:tc>
          <w:tcPr>
            <w:tcW w:w="6860" w:type="dxa"/>
            <w:vAlign w:val="center"/>
          </w:tcPr>
          <w:p w14:paraId="04C445A6" w14:textId="06B99D89" w:rsidR="00D32776" w:rsidRPr="00DE4CD2" w:rsidRDefault="00D32776" w:rsidP="00D32776">
            <w:pPr>
              <w:pStyle w:val="Listenabsatz"/>
              <w:pBdr>
                <w:top w:val="none" w:sz="0" w:space="0" w:color="auto"/>
                <w:left w:val="none" w:sz="0" w:space="0" w:color="auto"/>
                <w:bottom w:val="none" w:sz="0" w:space="0" w:color="auto"/>
                <w:right w:val="none" w:sz="0" w:space="0" w:color="auto"/>
                <w:between w:val="none" w:sz="0" w:space="0" w:color="auto"/>
              </w:pBdr>
              <w:ind w:left="0"/>
              <w:rPr>
                <w:rFonts w:asciiTheme="majorHAnsi" w:eastAsiaTheme="minorHAnsi" w:hAnsiTheme="majorHAnsi" w:cstheme="majorHAnsi"/>
                <w:sz w:val="20"/>
                <w:szCs w:val="20"/>
                <w:lang w:val="en-US"/>
              </w:rPr>
            </w:pPr>
            <w:r w:rsidRPr="00DE4CD2">
              <w:rPr>
                <w:rFonts w:asciiTheme="majorHAnsi" w:hAnsiTheme="majorHAnsi" w:cstheme="majorHAnsi"/>
                <w:i/>
                <w:iCs/>
                <w:sz w:val="20"/>
                <w:szCs w:val="20"/>
                <w:lang w:val="en-US" w:eastAsia="fr-FR"/>
              </w:rPr>
              <w:t xml:space="preserve">Completed by M12-M14: </w:t>
            </w:r>
            <w:r w:rsidRPr="00DE4CD2">
              <w:rPr>
                <w:rFonts w:asciiTheme="majorHAnsi" w:hAnsiTheme="majorHAnsi" w:cstheme="majorHAnsi"/>
                <w:sz w:val="20"/>
                <w:szCs w:val="20"/>
                <w:lang w:val="en-US" w:eastAsia="fr-FR"/>
              </w:rPr>
              <w:t>Implementation of a pilot data collection on instruments of RFOs from AT, DE, IT, and CH.</w:t>
            </w:r>
          </w:p>
        </w:tc>
      </w:tr>
      <w:tr w:rsidR="00D32776" w:rsidRPr="00DE4CD2" w14:paraId="49F4707F" w14:textId="77777777" w:rsidTr="00D32776">
        <w:tc>
          <w:tcPr>
            <w:tcW w:w="2688" w:type="dxa"/>
            <w:vAlign w:val="center"/>
          </w:tcPr>
          <w:p w14:paraId="1FE89601" w14:textId="77777777" w:rsidR="00D32776" w:rsidRPr="00DE4CD2" w:rsidRDefault="00D32776" w:rsidP="00D32776">
            <w:pPr>
              <w:pStyle w:val="Listenabsatz"/>
              <w:pBdr>
                <w:top w:val="none" w:sz="0" w:space="0" w:color="auto"/>
                <w:left w:val="none" w:sz="0" w:space="0" w:color="auto"/>
                <w:bottom w:val="none" w:sz="0" w:space="0" w:color="auto"/>
                <w:right w:val="none" w:sz="0" w:space="0" w:color="auto"/>
                <w:between w:val="none" w:sz="0" w:space="0" w:color="auto"/>
              </w:pBdr>
              <w:ind w:left="0"/>
              <w:rPr>
                <w:rFonts w:asciiTheme="majorHAnsi" w:eastAsiaTheme="minorHAnsi" w:hAnsiTheme="majorHAnsi" w:cstheme="majorHAnsi"/>
                <w:sz w:val="20"/>
                <w:szCs w:val="20"/>
                <w:lang w:val="en-US"/>
              </w:rPr>
            </w:pPr>
            <w:r w:rsidRPr="00DE4CD2">
              <w:rPr>
                <w:rFonts w:asciiTheme="majorHAnsi" w:hAnsiTheme="majorHAnsi" w:cstheme="majorHAnsi"/>
                <w:sz w:val="20"/>
                <w:szCs w:val="20"/>
                <w:lang w:val="en-US" w:eastAsia="fr-FR"/>
              </w:rPr>
              <w:t>Second phase of data collection</w:t>
            </w:r>
          </w:p>
        </w:tc>
        <w:tc>
          <w:tcPr>
            <w:tcW w:w="6860" w:type="dxa"/>
            <w:vAlign w:val="center"/>
          </w:tcPr>
          <w:p w14:paraId="069D36F1" w14:textId="423F3D8D" w:rsidR="00D32776" w:rsidRPr="00DE4CD2" w:rsidRDefault="00D32776" w:rsidP="00D32776">
            <w:pPr>
              <w:pStyle w:val="Listenabsatz"/>
              <w:pBdr>
                <w:top w:val="none" w:sz="0" w:space="0" w:color="auto"/>
                <w:left w:val="none" w:sz="0" w:space="0" w:color="auto"/>
                <w:bottom w:val="none" w:sz="0" w:space="0" w:color="auto"/>
                <w:right w:val="none" w:sz="0" w:space="0" w:color="auto"/>
                <w:between w:val="none" w:sz="0" w:space="0" w:color="auto"/>
              </w:pBdr>
              <w:ind w:left="0"/>
              <w:rPr>
                <w:rFonts w:asciiTheme="majorHAnsi" w:eastAsiaTheme="minorHAnsi" w:hAnsiTheme="majorHAnsi" w:cstheme="majorHAnsi"/>
                <w:sz w:val="20"/>
                <w:szCs w:val="20"/>
                <w:lang w:val="en-US"/>
              </w:rPr>
            </w:pPr>
            <w:r w:rsidRPr="00DE4CD2">
              <w:rPr>
                <w:rFonts w:asciiTheme="majorHAnsi" w:hAnsiTheme="majorHAnsi" w:cstheme="majorHAnsi"/>
                <w:i/>
                <w:iCs/>
                <w:sz w:val="20"/>
                <w:szCs w:val="20"/>
                <w:lang w:val="en-US" w:eastAsia="fr-FR"/>
              </w:rPr>
              <w:t xml:space="preserve">Completed by M24: </w:t>
            </w:r>
            <w:r w:rsidRPr="00DE4CD2">
              <w:rPr>
                <w:rFonts w:asciiTheme="majorHAnsi" w:hAnsiTheme="majorHAnsi" w:cstheme="majorHAnsi"/>
                <w:sz w:val="20"/>
                <w:szCs w:val="20"/>
                <w:lang w:val="en-US" w:eastAsia="fr-FR"/>
              </w:rPr>
              <w:t>Data collection on instruments managed by RFOs in CZ, DK, EE, NO.</w:t>
            </w:r>
          </w:p>
        </w:tc>
      </w:tr>
      <w:tr w:rsidR="00D32776" w:rsidRPr="00DE4CD2" w14:paraId="5C217701" w14:textId="77777777" w:rsidTr="00D32776">
        <w:tc>
          <w:tcPr>
            <w:tcW w:w="2688" w:type="dxa"/>
            <w:vAlign w:val="center"/>
          </w:tcPr>
          <w:p w14:paraId="418C8AB5" w14:textId="77777777" w:rsidR="00D32776" w:rsidRPr="00DE4CD2" w:rsidRDefault="00D32776" w:rsidP="00D32776">
            <w:pPr>
              <w:pStyle w:val="Listenabsatz"/>
              <w:pBdr>
                <w:top w:val="none" w:sz="0" w:space="0" w:color="auto"/>
                <w:left w:val="none" w:sz="0" w:space="0" w:color="auto"/>
                <w:bottom w:val="none" w:sz="0" w:space="0" w:color="auto"/>
                <w:right w:val="none" w:sz="0" w:space="0" w:color="auto"/>
                <w:between w:val="none" w:sz="0" w:space="0" w:color="auto"/>
              </w:pBdr>
              <w:ind w:left="0"/>
              <w:rPr>
                <w:rFonts w:asciiTheme="majorHAnsi" w:eastAsiaTheme="minorHAnsi" w:hAnsiTheme="majorHAnsi" w:cstheme="majorHAnsi"/>
                <w:sz w:val="20"/>
                <w:szCs w:val="20"/>
                <w:lang w:val="en-US"/>
              </w:rPr>
            </w:pPr>
            <w:r w:rsidRPr="00DE4CD2">
              <w:rPr>
                <w:rFonts w:asciiTheme="majorHAnsi" w:hAnsiTheme="majorHAnsi" w:cstheme="majorHAnsi"/>
                <w:sz w:val="20"/>
                <w:szCs w:val="20"/>
                <w:lang w:val="en-US" w:eastAsia="fr-FR"/>
              </w:rPr>
              <w:t>Preparation of the repository of official documents</w:t>
            </w:r>
          </w:p>
        </w:tc>
        <w:tc>
          <w:tcPr>
            <w:tcW w:w="6860" w:type="dxa"/>
            <w:vAlign w:val="center"/>
          </w:tcPr>
          <w:p w14:paraId="17D09CC5" w14:textId="7BC5EA39" w:rsidR="00D32776" w:rsidRPr="00DE4CD2" w:rsidRDefault="00D32776" w:rsidP="00D32776">
            <w:pPr>
              <w:pStyle w:val="Listenabsatz"/>
              <w:pBdr>
                <w:top w:val="none" w:sz="0" w:space="0" w:color="auto"/>
                <w:left w:val="none" w:sz="0" w:space="0" w:color="auto"/>
                <w:bottom w:val="none" w:sz="0" w:space="0" w:color="auto"/>
                <w:right w:val="none" w:sz="0" w:space="0" w:color="auto"/>
                <w:between w:val="none" w:sz="0" w:space="0" w:color="auto"/>
              </w:pBdr>
              <w:ind w:left="0"/>
              <w:rPr>
                <w:rFonts w:asciiTheme="majorHAnsi" w:eastAsiaTheme="minorHAnsi" w:hAnsiTheme="majorHAnsi" w:cstheme="majorHAnsi"/>
                <w:sz w:val="20"/>
                <w:szCs w:val="20"/>
                <w:lang w:val="en-US"/>
              </w:rPr>
            </w:pPr>
            <w:r w:rsidRPr="00DE4CD2">
              <w:rPr>
                <w:rFonts w:asciiTheme="majorHAnsi" w:hAnsiTheme="majorHAnsi" w:cstheme="majorHAnsi"/>
                <w:i/>
                <w:iCs/>
                <w:sz w:val="20"/>
                <w:szCs w:val="20"/>
                <w:lang w:val="en-US" w:eastAsia="fr-FR"/>
              </w:rPr>
              <w:t xml:space="preserve">Completed by M24: </w:t>
            </w:r>
            <w:r w:rsidRPr="00DE4CD2">
              <w:rPr>
                <w:rFonts w:asciiTheme="majorHAnsi" w:hAnsiTheme="majorHAnsi" w:cstheme="majorHAnsi"/>
                <w:sz w:val="20"/>
                <w:szCs w:val="20"/>
                <w:lang w:val="en-US" w:eastAsia="fr-FR"/>
              </w:rPr>
              <w:t xml:space="preserve">Parallel collection of official textual documents performed. A repository of official textual documents was foreseen to allow deeper insights into policy implementation features. </w:t>
            </w:r>
          </w:p>
        </w:tc>
      </w:tr>
      <w:tr w:rsidR="00D32776" w:rsidRPr="00DE4CD2" w14:paraId="7B6391A1" w14:textId="77777777" w:rsidTr="00D32776">
        <w:tc>
          <w:tcPr>
            <w:tcW w:w="2688" w:type="dxa"/>
            <w:vAlign w:val="center"/>
          </w:tcPr>
          <w:p w14:paraId="0ADF5787" w14:textId="77777777" w:rsidR="00D32776" w:rsidRPr="00DE4CD2" w:rsidRDefault="00D32776" w:rsidP="00D32776">
            <w:pPr>
              <w:pStyle w:val="Listenabsatz"/>
              <w:pBdr>
                <w:top w:val="none" w:sz="0" w:space="0" w:color="auto"/>
                <w:left w:val="none" w:sz="0" w:space="0" w:color="auto"/>
                <w:bottom w:val="none" w:sz="0" w:space="0" w:color="auto"/>
                <w:right w:val="none" w:sz="0" w:space="0" w:color="auto"/>
                <w:between w:val="none" w:sz="0" w:space="0" w:color="auto"/>
              </w:pBdr>
              <w:ind w:left="0"/>
              <w:rPr>
                <w:rFonts w:asciiTheme="majorHAnsi" w:hAnsiTheme="majorHAnsi" w:cstheme="majorHAnsi"/>
                <w:sz w:val="20"/>
                <w:szCs w:val="20"/>
                <w:lang w:val="en-US"/>
              </w:rPr>
            </w:pPr>
            <w:r w:rsidRPr="00DE4CD2">
              <w:rPr>
                <w:rFonts w:asciiTheme="majorHAnsi" w:hAnsiTheme="majorHAnsi" w:cstheme="majorHAnsi"/>
                <w:sz w:val="20"/>
                <w:szCs w:val="20"/>
                <w:lang w:val="en-US"/>
              </w:rPr>
              <w:t>First version of the EFIL  handbook</w:t>
            </w:r>
          </w:p>
        </w:tc>
        <w:tc>
          <w:tcPr>
            <w:tcW w:w="6860" w:type="dxa"/>
            <w:vAlign w:val="center"/>
          </w:tcPr>
          <w:p w14:paraId="3193C760" w14:textId="7F617C34" w:rsidR="00D32776" w:rsidRPr="00DE4CD2" w:rsidRDefault="00D32776" w:rsidP="00D32776">
            <w:pPr>
              <w:pStyle w:val="Listenabsatz"/>
              <w:pBdr>
                <w:top w:val="none" w:sz="0" w:space="0" w:color="auto"/>
                <w:left w:val="none" w:sz="0" w:space="0" w:color="auto"/>
                <w:bottom w:val="none" w:sz="0" w:space="0" w:color="auto"/>
                <w:right w:val="none" w:sz="0" w:space="0" w:color="auto"/>
                <w:between w:val="none" w:sz="0" w:space="0" w:color="auto"/>
              </w:pBdr>
              <w:ind w:left="0"/>
              <w:rPr>
                <w:rFonts w:asciiTheme="majorHAnsi" w:hAnsiTheme="majorHAnsi" w:cstheme="majorHAnsi"/>
                <w:sz w:val="20"/>
                <w:szCs w:val="20"/>
                <w:lang w:val="en-US"/>
              </w:rPr>
            </w:pPr>
            <w:r w:rsidRPr="00DE4CD2">
              <w:rPr>
                <w:rFonts w:asciiTheme="majorHAnsi" w:hAnsiTheme="majorHAnsi" w:cstheme="majorHAnsi"/>
                <w:i/>
                <w:iCs/>
                <w:sz w:val="20"/>
                <w:szCs w:val="20"/>
                <w:lang w:val="en-US" w:eastAsia="fr-FR"/>
              </w:rPr>
              <w:t xml:space="preserve">Completed by M24: </w:t>
            </w:r>
            <w:r w:rsidRPr="00DE4CD2">
              <w:rPr>
                <w:rFonts w:asciiTheme="majorHAnsi" w:hAnsiTheme="majorHAnsi" w:cstheme="majorHAnsi"/>
                <w:sz w:val="20"/>
                <w:szCs w:val="20"/>
                <w:lang w:val="en-US"/>
              </w:rPr>
              <w:t>A first version of the dataset manual was produced, including the characteristics of the facility and the state of play.</w:t>
            </w:r>
          </w:p>
        </w:tc>
      </w:tr>
      <w:tr w:rsidR="00D32776" w:rsidRPr="00DE4CD2" w14:paraId="0562B371" w14:textId="77777777" w:rsidTr="00D32776">
        <w:tc>
          <w:tcPr>
            <w:tcW w:w="2688" w:type="dxa"/>
            <w:vAlign w:val="center"/>
          </w:tcPr>
          <w:p w14:paraId="35D6BEC8" w14:textId="77777777" w:rsidR="00D32776" w:rsidRPr="00DE4CD2" w:rsidRDefault="00D32776" w:rsidP="00D32776">
            <w:pPr>
              <w:pStyle w:val="Listenabsatz"/>
              <w:ind w:left="0"/>
              <w:rPr>
                <w:rFonts w:asciiTheme="majorHAnsi" w:hAnsiTheme="majorHAnsi" w:cstheme="majorHAnsi"/>
                <w:sz w:val="20"/>
                <w:szCs w:val="20"/>
                <w:lang w:val="en-US"/>
              </w:rPr>
            </w:pPr>
            <w:r w:rsidRPr="00DE4CD2">
              <w:rPr>
                <w:rFonts w:asciiTheme="majorHAnsi" w:hAnsiTheme="majorHAnsi" w:cstheme="majorHAnsi"/>
                <w:sz w:val="20"/>
                <w:szCs w:val="20"/>
                <w:lang w:val="en-US"/>
              </w:rPr>
              <w:t>Second phase of data collection (last round)</w:t>
            </w:r>
          </w:p>
        </w:tc>
        <w:tc>
          <w:tcPr>
            <w:tcW w:w="6860" w:type="dxa"/>
            <w:vAlign w:val="center"/>
          </w:tcPr>
          <w:p w14:paraId="64AA699A" w14:textId="5FBF721A" w:rsidR="00D32776" w:rsidRPr="00DE4CD2" w:rsidRDefault="00D32776" w:rsidP="00D32776">
            <w:pPr>
              <w:pStyle w:val="Listenabsatz"/>
              <w:pBdr>
                <w:top w:val="none" w:sz="0" w:space="0" w:color="auto"/>
                <w:left w:val="none" w:sz="0" w:space="0" w:color="auto"/>
                <w:bottom w:val="none" w:sz="0" w:space="0" w:color="auto"/>
                <w:right w:val="none" w:sz="0" w:space="0" w:color="auto"/>
                <w:between w:val="none" w:sz="0" w:space="0" w:color="auto"/>
              </w:pBdr>
              <w:ind w:left="0"/>
              <w:rPr>
                <w:rFonts w:asciiTheme="majorHAnsi" w:hAnsiTheme="majorHAnsi" w:cstheme="majorHAnsi"/>
                <w:sz w:val="20"/>
                <w:szCs w:val="20"/>
                <w:lang w:val="en-US"/>
              </w:rPr>
            </w:pPr>
            <w:r w:rsidRPr="00DE4CD2">
              <w:rPr>
                <w:rFonts w:asciiTheme="majorHAnsi" w:hAnsiTheme="majorHAnsi" w:cstheme="majorHAnsi"/>
                <w:i/>
                <w:iCs/>
                <w:sz w:val="20"/>
                <w:szCs w:val="20"/>
                <w:lang w:val="en-US" w:eastAsia="fr-FR"/>
              </w:rPr>
              <w:t xml:space="preserve">Completed by M33: </w:t>
            </w:r>
            <w:r w:rsidRPr="00DE4CD2">
              <w:rPr>
                <w:rFonts w:asciiTheme="majorHAnsi" w:hAnsiTheme="majorHAnsi" w:cstheme="majorHAnsi"/>
                <w:sz w:val="20"/>
                <w:szCs w:val="20"/>
                <w:lang w:val="en-US"/>
              </w:rPr>
              <w:t>Data collection on instruments managed by RFOs in UK. Related official documentation was collected.</w:t>
            </w:r>
          </w:p>
        </w:tc>
      </w:tr>
      <w:tr w:rsidR="00D32776" w:rsidRPr="00DE4CD2" w14:paraId="522A4D9B" w14:textId="77777777" w:rsidTr="00D32776">
        <w:tc>
          <w:tcPr>
            <w:tcW w:w="2688" w:type="dxa"/>
            <w:vAlign w:val="center"/>
          </w:tcPr>
          <w:p w14:paraId="368AADE0" w14:textId="77777777" w:rsidR="00D32776" w:rsidRPr="00DE4CD2" w:rsidRDefault="00D32776" w:rsidP="00D32776">
            <w:pPr>
              <w:keepNext/>
              <w:keepLines/>
              <w:rPr>
                <w:rFonts w:asciiTheme="majorHAnsi" w:hAnsiTheme="majorHAnsi" w:cstheme="majorHAnsi"/>
                <w:sz w:val="20"/>
                <w:szCs w:val="20"/>
                <w:lang w:val="en-US"/>
              </w:rPr>
            </w:pPr>
            <w:r w:rsidRPr="00DE4CD2">
              <w:rPr>
                <w:rFonts w:asciiTheme="majorHAnsi" w:hAnsiTheme="majorHAnsi" w:cstheme="majorHAnsi"/>
                <w:sz w:val="20"/>
                <w:szCs w:val="20"/>
                <w:lang w:val="en-US"/>
              </w:rPr>
              <w:t>Database design revision</w:t>
            </w:r>
          </w:p>
          <w:p w14:paraId="013D2A38" w14:textId="77777777" w:rsidR="00D32776" w:rsidRPr="00DE4CD2" w:rsidRDefault="00D32776" w:rsidP="00D32776">
            <w:pPr>
              <w:keepNext/>
              <w:keepLines/>
              <w:rPr>
                <w:rFonts w:asciiTheme="majorHAnsi" w:hAnsiTheme="majorHAnsi" w:cstheme="majorHAnsi"/>
                <w:sz w:val="20"/>
                <w:szCs w:val="20"/>
                <w:lang w:val="en-US"/>
              </w:rPr>
            </w:pPr>
            <w:r w:rsidRPr="00DE4CD2">
              <w:rPr>
                <w:rFonts w:asciiTheme="majorHAnsi" w:hAnsiTheme="majorHAnsi" w:cstheme="majorHAnsi"/>
                <w:sz w:val="20"/>
                <w:szCs w:val="20"/>
                <w:lang w:val="en-US"/>
              </w:rPr>
              <w:t xml:space="preserve">Harmonization with </w:t>
            </w:r>
            <w:proofErr w:type="spellStart"/>
            <w:r w:rsidRPr="00DE4CD2">
              <w:rPr>
                <w:rFonts w:asciiTheme="majorHAnsi" w:hAnsiTheme="majorHAnsi" w:cstheme="majorHAnsi"/>
                <w:sz w:val="20"/>
                <w:szCs w:val="20"/>
                <w:lang w:val="en-US"/>
              </w:rPr>
              <w:t>OrgReg</w:t>
            </w:r>
            <w:proofErr w:type="spellEnd"/>
          </w:p>
          <w:p w14:paraId="22895088" w14:textId="77777777" w:rsidR="00D32776" w:rsidRPr="00DE4CD2" w:rsidRDefault="00D32776" w:rsidP="00D32776">
            <w:pPr>
              <w:keepNext/>
              <w:keepLines/>
              <w:rPr>
                <w:rFonts w:asciiTheme="majorHAnsi" w:hAnsiTheme="majorHAnsi" w:cstheme="majorHAnsi"/>
                <w:sz w:val="20"/>
                <w:szCs w:val="20"/>
                <w:lang w:val="en-US"/>
              </w:rPr>
            </w:pPr>
          </w:p>
        </w:tc>
        <w:tc>
          <w:tcPr>
            <w:tcW w:w="6860" w:type="dxa"/>
            <w:vAlign w:val="center"/>
          </w:tcPr>
          <w:p w14:paraId="0E8EDDD2" w14:textId="30ECBCFF" w:rsidR="00D32776" w:rsidRPr="00DE4CD2" w:rsidRDefault="00D32776" w:rsidP="00D32776">
            <w:pPr>
              <w:pStyle w:val="Listenabsatz"/>
              <w:pBdr>
                <w:top w:val="none" w:sz="0" w:space="0" w:color="auto"/>
                <w:left w:val="none" w:sz="0" w:space="0" w:color="auto"/>
                <w:bottom w:val="none" w:sz="0" w:space="0" w:color="auto"/>
                <w:right w:val="none" w:sz="0" w:space="0" w:color="auto"/>
                <w:between w:val="none" w:sz="0" w:space="0" w:color="auto"/>
              </w:pBdr>
              <w:ind w:left="0"/>
              <w:rPr>
                <w:rFonts w:asciiTheme="majorHAnsi" w:hAnsiTheme="majorHAnsi" w:cstheme="majorHAnsi"/>
                <w:sz w:val="20"/>
                <w:szCs w:val="20"/>
                <w:lang w:val="en-US"/>
              </w:rPr>
            </w:pPr>
            <w:r w:rsidRPr="00DE4CD2">
              <w:rPr>
                <w:rFonts w:asciiTheme="majorHAnsi" w:hAnsiTheme="majorHAnsi" w:cstheme="majorHAnsi"/>
                <w:i/>
                <w:iCs/>
                <w:sz w:val="20"/>
                <w:szCs w:val="20"/>
                <w:lang w:val="en-US"/>
              </w:rPr>
              <w:t xml:space="preserve">Completed by M36: </w:t>
            </w:r>
            <w:r w:rsidRPr="00DE4CD2">
              <w:rPr>
                <w:rFonts w:asciiTheme="majorHAnsi" w:hAnsiTheme="majorHAnsi" w:cstheme="majorHAnsi"/>
                <w:sz w:val="20"/>
                <w:szCs w:val="20"/>
                <w:lang w:val="en-US"/>
              </w:rPr>
              <w:t xml:space="preserve">New EFIL design created with a dual representation of project funding programs as "funding routes" and "funding instruments". Qualitative characteristics (including KET, SGC and SDG classifications) are presented through static tables, while a ‘time variant’ table is dedicated to budgetary data. Harmonization between EFIL and </w:t>
            </w:r>
            <w:proofErr w:type="spellStart"/>
            <w:r w:rsidRPr="00DE4CD2">
              <w:rPr>
                <w:rFonts w:asciiTheme="majorHAnsi" w:hAnsiTheme="majorHAnsi" w:cstheme="majorHAnsi"/>
                <w:sz w:val="20"/>
                <w:szCs w:val="20"/>
                <w:lang w:val="en-US"/>
              </w:rPr>
              <w:t>OrgReg</w:t>
            </w:r>
            <w:proofErr w:type="spellEnd"/>
            <w:r w:rsidRPr="00DE4CD2">
              <w:rPr>
                <w:rFonts w:asciiTheme="majorHAnsi" w:hAnsiTheme="majorHAnsi" w:cstheme="majorHAnsi"/>
                <w:sz w:val="20"/>
                <w:szCs w:val="20"/>
                <w:lang w:val="en-US"/>
              </w:rPr>
              <w:t xml:space="preserve"> finalized.</w:t>
            </w:r>
          </w:p>
        </w:tc>
      </w:tr>
      <w:tr w:rsidR="00D32776" w:rsidRPr="00DE4CD2" w14:paraId="78E231EF" w14:textId="77777777" w:rsidTr="00D32776">
        <w:tc>
          <w:tcPr>
            <w:tcW w:w="2688" w:type="dxa"/>
            <w:vAlign w:val="center"/>
          </w:tcPr>
          <w:p w14:paraId="3BF00325" w14:textId="77777777" w:rsidR="00D32776" w:rsidRPr="00DE4CD2" w:rsidRDefault="00D32776" w:rsidP="00D32776">
            <w:pPr>
              <w:pStyle w:val="Listenabsatz"/>
              <w:keepNext/>
              <w:keepLines/>
              <w:ind w:left="306"/>
              <w:rPr>
                <w:rFonts w:asciiTheme="majorHAnsi" w:hAnsiTheme="majorHAnsi" w:cstheme="majorHAnsi"/>
                <w:sz w:val="20"/>
                <w:szCs w:val="20"/>
                <w:lang w:val="en-US" w:eastAsia="fr-FR"/>
              </w:rPr>
            </w:pPr>
          </w:p>
          <w:p w14:paraId="01B57DB5" w14:textId="77777777" w:rsidR="00D32776" w:rsidRPr="00DE4CD2" w:rsidRDefault="00D32776" w:rsidP="00D32776">
            <w:pPr>
              <w:keepNext/>
              <w:keepLines/>
              <w:rPr>
                <w:rFonts w:asciiTheme="majorHAnsi" w:hAnsiTheme="majorHAnsi" w:cstheme="majorHAnsi"/>
                <w:sz w:val="20"/>
                <w:szCs w:val="20"/>
                <w:lang w:val="en-US" w:eastAsia="fr-FR"/>
              </w:rPr>
            </w:pPr>
            <w:r w:rsidRPr="00DE4CD2">
              <w:rPr>
                <w:rFonts w:asciiTheme="majorHAnsi" w:hAnsiTheme="majorHAnsi" w:cstheme="majorHAnsi"/>
                <w:sz w:val="20"/>
                <w:szCs w:val="20"/>
                <w:lang w:val="en-US" w:eastAsia="fr-FR"/>
              </w:rPr>
              <w:t>Final data quality check and release of the handbook</w:t>
            </w:r>
          </w:p>
        </w:tc>
        <w:tc>
          <w:tcPr>
            <w:tcW w:w="6860" w:type="dxa"/>
            <w:vAlign w:val="center"/>
          </w:tcPr>
          <w:p w14:paraId="7B062554" w14:textId="6C2EDD30" w:rsidR="00D32776" w:rsidRPr="00DE4CD2" w:rsidRDefault="00D32776" w:rsidP="00D32776">
            <w:pPr>
              <w:pStyle w:val="Listenabsatz"/>
              <w:pBdr>
                <w:top w:val="none" w:sz="0" w:space="0" w:color="auto"/>
                <w:left w:val="none" w:sz="0" w:space="0" w:color="auto"/>
                <w:bottom w:val="none" w:sz="0" w:space="0" w:color="auto"/>
                <w:right w:val="none" w:sz="0" w:space="0" w:color="auto"/>
                <w:between w:val="none" w:sz="0" w:space="0" w:color="auto"/>
              </w:pBdr>
              <w:ind w:left="0"/>
              <w:rPr>
                <w:rFonts w:asciiTheme="majorHAnsi" w:hAnsiTheme="majorHAnsi" w:cstheme="majorHAnsi"/>
                <w:sz w:val="20"/>
                <w:szCs w:val="20"/>
                <w:lang w:val="en-US" w:eastAsia="fr-FR"/>
              </w:rPr>
            </w:pPr>
            <w:r w:rsidRPr="00DE4CD2">
              <w:rPr>
                <w:rFonts w:asciiTheme="majorHAnsi" w:hAnsiTheme="majorHAnsi" w:cstheme="majorHAnsi"/>
                <w:i/>
                <w:iCs/>
                <w:sz w:val="20"/>
                <w:szCs w:val="20"/>
                <w:lang w:val="en-US" w:eastAsia="fr-FR"/>
              </w:rPr>
              <w:t xml:space="preserve">Completed by M39: </w:t>
            </w:r>
            <w:r w:rsidRPr="00DE4CD2">
              <w:rPr>
                <w:rFonts w:asciiTheme="majorHAnsi" w:hAnsiTheme="majorHAnsi" w:cstheme="majorHAnsi"/>
                <w:sz w:val="20"/>
                <w:szCs w:val="20"/>
                <w:lang w:val="en-US" w:eastAsia="fr-FR"/>
              </w:rPr>
              <w:t xml:space="preserve">Data checking and cleaning processes finalized. Repository of official textual documents finalized. Release of the handbook </w:t>
            </w:r>
            <w:r w:rsidRPr="00DE4CD2">
              <w:rPr>
                <w:rFonts w:asciiTheme="majorHAnsi" w:hAnsiTheme="majorHAnsi" w:cstheme="majorHAnsi"/>
                <w:i/>
                <w:iCs/>
                <w:sz w:val="20"/>
                <w:szCs w:val="20"/>
                <w:lang w:val="en-US" w:eastAsia="fr-FR"/>
              </w:rPr>
              <w:t>Documentation of RISIS datasets: EFIL. Version 1.0</w:t>
            </w:r>
            <w:r w:rsidRPr="00DE4CD2">
              <w:rPr>
                <w:rFonts w:asciiTheme="majorHAnsi" w:hAnsiTheme="majorHAnsi" w:cstheme="majorHAnsi"/>
                <w:sz w:val="20"/>
                <w:szCs w:val="20"/>
                <w:lang w:val="en-US" w:eastAsia="fr-FR"/>
              </w:rPr>
              <w:t>.</w:t>
            </w:r>
          </w:p>
        </w:tc>
      </w:tr>
      <w:tr w:rsidR="00D32776" w:rsidRPr="00DE4CD2" w14:paraId="07D2C5EE" w14:textId="77777777" w:rsidTr="00D32776">
        <w:tc>
          <w:tcPr>
            <w:tcW w:w="2688" w:type="dxa"/>
            <w:vAlign w:val="center"/>
          </w:tcPr>
          <w:p w14:paraId="18A29710" w14:textId="77777777" w:rsidR="00D32776" w:rsidRPr="00DE4CD2" w:rsidRDefault="00D32776" w:rsidP="00D32776">
            <w:pPr>
              <w:pStyle w:val="Listenabsatz"/>
              <w:pBdr>
                <w:top w:val="none" w:sz="0" w:space="0" w:color="auto"/>
                <w:left w:val="none" w:sz="0" w:space="0" w:color="auto"/>
                <w:bottom w:val="none" w:sz="0" w:space="0" w:color="auto"/>
                <w:right w:val="none" w:sz="0" w:space="0" w:color="auto"/>
                <w:between w:val="none" w:sz="0" w:space="0" w:color="auto"/>
              </w:pBdr>
              <w:ind w:left="0"/>
              <w:rPr>
                <w:rFonts w:asciiTheme="majorHAnsi" w:hAnsiTheme="majorHAnsi" w:cstheme="majorHAnsi"/>
                <w:sz w:val="20"/>
                <w:szCs w:val="20"/>
                <w:lang w:val="en-US"/>
              </w:rPr>
            </w:pPr>
            <w:r w:rsidRPr="00DE4CD2">
              <w:rPr>
                <w:rFonts w:asciiTheme="majorHAnsi" w:hAnsiTheme="majorHAnsi" w:cstheme="majorHAnsi"/>
                <w:sz w:val="20"/>
                <w:szCs w:val="20"/>
                <w:lang w:val="en-US"/>
              </w:rPr>
              <w:t>EFIL first release (EFIL 1.0)</w:t>
            </w:r>
          </w:p>
        </w:tc>
        <w:tc>
          <w:tcPr>
            <w:tcW w:w="6860" w:type="dxa"/>
            <w:vAlign w:val="center"/>
          </w:tcPr>
          <w:p w14:paraId="36D81348" w14:textId="494CE839" w:rsidR="00D32776" w:rsidRPr="00DE4CD2" w:rsidRDefault="00D32776" w:rsidP="00D32776">
            <w:pPr>
              <w:pStyle w:val="Listenabsatz"/>
              <w:pBdr>
                <w:top w:val="none" w:sz="0" w:space="0" w:color="auto"/>
                <w:left w:val="none" w:sz="0" w:space="0" w:color="auto"/>
                <w:bottom w:val="none" w:sz="0" w:space="0" w:color="auto"/>
                <w:right w:val="none" w:sz="0" w:space="0" w:color="auto"/>
                <w:between w:val="none" w:sz="0" w:space="0" w:color="auto"/>
              </w:pBdr>
              <w:ind w:left="0"/>
              <w:rPr>
                <w:rFonts w:asciiTheme="majorHAnsi" w:eastAsiaTheme="minorHAnsi" w:hAnsiTheme="majorHAnsi" w:cstheme="majorHAnsi"/>
                <w:sz w:val="20"/>
                <w:szCs w:val="20"/>
                <w:lang w:val="en-US"/>
              </w:rPr>
            </w:pPr>
            <w:r w:rsidRPr="00DE4CD2">
              <w:rPr>
                <w:rFonts w:asciiTheme="majorHAnsi" w:hAnsiTheme="majorHAnsi" w:cstheme="majorHAnsi"/>
                <w:i/>
                <w:iCs/>
                <w:sz w:val="20"/>
                <w:szCs w:val="20"/>
                <w:lang w:val="en-US"/>
              </w:rPr>
              <w:t xml:space="preserve">Completed by M39: </w:t>
            </w:r>
            <w:r w:rsidRPr="00DE4CD2">
              <w:rPr>
                <w:rFonts w:asciiTheme="majorHAnsi" w:hAnsiTheme="majorHAnsi" w:cstheme="majorHAnsi"/>
                <w:sz w:val="20"/>
                <w:szCs w:val="20"/>
                <w:lang w:val="en-US"/>
              </w:rPr>
              <w:t>EFIL dataset first release in March 2022. Coverage of +500 project funding instruments across 52 RFOs in 9 countries, with 2017-2018 as reference years. Budget data from 2018 back to 2010.</w:t>
            </w:r>
          </w:p>
        </w:tc>
      </w:tr>
      <w:tr w:rsidR="00D32776" w:rsidRPr="00DE4CD2" w14:paraId="328F0417" w14:textId="77777777" w:rsidTr="00D32776">
        <w:tc>
          <w:tcPr>
            <w:tcW w:w="2688" w:type="dxa"/>
            <w:vAlign w:val="center"/>
          </w:tcPr>
          <w:p w14:paraId="3BFFDE61" w14:textId="77777777" w:rsidR="00D32776" w:rsidRPr="00DE4CD2" w:rsidRDefault="00D32776" w:rsidP="00D32776">
            <w:pPr>
              <w:pStyle w:val="Listenabsatz"/>
              <w:pBdr>
                <w:top w:val="none" w:sz="0" w:space="0" w:color="auto"/>
                <w:left w:val="none" w:sz="0" w:space="0" w:color="auto"/>
                <w:bottom w:val="none" w:sz="0" w:space="0" w:color="auto"/>
                <w:right w:val="none" w:sz="0" w:space="0" w:color="auto"/>
                <w:between w:val="none" w:sz="0" w:space="0" w:color="auto"/>
              </w:pBdr>
              <w:ind w:left="0"/>
              <w:rPr>
                <w:rFonts w:asciiTheme="majorHAnsi" w:eastAsiaTheme="minorHAnsi" w:hAnsiTheme="majorHAnsi" w:cstheme="majorHAnsi"/>
                <w:sz w:val="20"/>
                <w:szCs w:val="20"/>
                <w:lang w:val="en-US"/>
              </w:rPr>
            </w:pPr>
            <w:r w:rsidRPr="00DE4CD2">
              <w:rPr>
                <w:rFonts w:asciiTheme="majorHAnsi" w:hAnsiTheme="majorHAnsi" w:cstheme="majorHAnsi"/>
                <w:sz w:val="20"/>
                <w:szCs w:val="20"/>
                <w:lang w:val="en-US"/>
              </w:rPr>
              <w:t>Production of a policy brief</w:t>
            </w:r>
          </w:p>
        </w:tc>
        <w:tc>
          <w:tcPr>
            <w:tcW w:w="6860" w:type="dxa"/>
            <w:vAlign w:val="center"/>
          </w:tcPr>
          <w:p w14:paraId="2774ED7A" w14:textId="6F86C415" w:rsidR="00D32776" w:rsidRPr="00DE4CD2" w:rsidRDefault="00D32776" w:rsidP="00D32776">
            <w:pPr>
              <w:pStyle w:val="Listenabsatz"/>
              <w:pBdr>
                <w:top w:val="none" w:sz="0" w:space="0" w:color="auto"/>
                <w:left w:val="none" w:sz="0" w:space="0" w:color="auto"/>
                <w:bottom w:val="none" w:sz="0" w:space="0" w:color="auto"/>
                <w:right w:val="none" w:sz="0" w:space="0" w:color="auto"/>
                <w:between w:val="none" w:sz="0" w:space="0" w:color="auto"/>
              </w:pBdr>
              <w:ind w:left="0"/>
              <w:rPr>
                <w:rFonts w:asciiTheme="majorHAnsi" w:eastAsiaTheme="minorHAnsi" w:hAnsiTheme="majorHAnsi" w:cstheme="majorHAnsi"/>
                <w:sz w:val="20"/>
                <w:szCs w:val="20"/>
                <w:lang w:val="en-US"/>
              </w:rPr>
            </w:pPr>
            <w:r w:rsidRPr="00DE4CD2">
              <w:rPr>
                <w:rFonts w:asciiTheme="majorHAnsi" w:hAnsiTheme="majorHAnsi" w:cstheme="majorHAnsi"/>
                <w:i/>
                <w:iCs/>
                <w:sz w:val="20"/>
                <w:szCs w:val="20"/>
                <w:lang w:val="en-US"/>
              </w:rPr>
              <w:t xml:space="preserve">Completed by M41: </w:t>
            </w:r>
            <w:r w:rsidRPr="00DE4CD2">
              <w:rPr>
                <w:rFonts w:asciiTheme="majorHAnsi" w:hAnsiTheme="majorHAnsi" w:cstheme="majorHAnsi"/>
                <w:sz w:val="20"/>
                <w:szCs w:val="20"/>
                <w:lang w:val="en-US"/>
              </w:rPr>
              <w:t xml:space="preserve">Heller-Schuh, B., Reale, E., et al. </w:t>
            </w:r>
            <w:r w:rsidRPr="00DE4CD2">
              <w:rPr>
                <w:rFonts w:asciiTheme="majorHAnsi" w:hAnsiTheme="majorHAnsi" w:cstheme="majorHAnsi"/>
                <w:i/>
                <w:iCs/>
                <w:sz w:val="20"/>
                <w:szCs w:val="20"/>
                <w:lang w:val="en-US"/>
              </w:rPr>
              <w:t>New insights into project-based R&amp;D funding from RISIS datasets: Some evidence from EFIL and NATPRO</w:t>
            </w:r>
            <w:r w:rsidRPr="00DE4CD2">
              <w:rPr>
                <w:rFonts w:asciiTheme="majorHAnsi" w:hAnsiTheme="majorHAnsi" w:cstheme="majorHAnsi"/>
                <w:sz w:val="20"/>
                <w:szCs w:val="20"/>
                <w:lang w:val="en-US"/>
              </w:rPr>
              <w:t xml:space="preserve">, presented on May 25, 2022, during the ‘RISIS2 Project 10th RISIS Policymakers session titled </w:t>
            </w:r>
            <w:r w:rsidRPr="00DE4CD2">
              <w:rPr>
                <w:rFonts w:asciiTheme="majorHAnsi" w:hAnsiTheme="majorHAnsi" w:cstheme="majorHAnsi"/>
                <w:i/>
                <w:iCs/>
                <w:sz w:val="20"/>
                <w:szCs w:val="20"/>
                <w:lang w:val="en-US"/>
              </w:rPr>
              <w:t>EFIL &amp; NATPRO, inside R&amp;D funding programs and instruments</w:t>
            </w:r>
            <w:r w:rsidRPr="00DE4CD2">
              <w:rPr>
                <w:rFonts w:asciiTheme="majorHAnsi" w:hAnsiTheme="majorHAnsi" w:cstheme="majorHAnsi"/>
                <w:sz w:val="20"/>
                <w:szCs w:val="20"/>
                <w:lang w:val="en-US"/>
              </w:rPr>
              <w:t>.</w:t>
            </w:r>
          </w:p>
        </w:tc>
      </w:tr>
      <w:tr w:rsidR="00D32776" w:rsidRPr="00DE4CD2" w14:paraId="42DEB8EC" w14:textId="77777777" w:rsidTr="00D32776">
        <w:tc>
          <w:tcPr>
            <w:tcW w:w="2688" w:type="dxa"/>
            <w:vAlign w:val="center"/>
          </w:tcPr>
          <w:p w14:paraId="339CA6DF" w14:textId="77777777" w:rsidR="00D32776" w:rsidRPr="00DE4CD2" w:rsidRDefault="00D32776" w:rsidP="00D32776">
            <w:pPr>
              <w:keepNext/>
              <w:keepLines/>
              <w:pBdr>
                <w:top w:val="none" w:sz="0" w:space="0" w:color="auto"/>
                <w:left w:val="none" w:sz="0" w:space="0" w:color="auto"/>
                <w:bottom w:val="none" w:sz="0" w:space="0" w:color="auto"/>
                <w:right w:val="none" w:sz="0" w:space="0" w:color="auto"/>
                <w:between w:val="none" w:sz="0" w:space="0" w:color="auto"/>
              </w:pBdr>
              <w:rPr>
                <w:rFonts w:asciiTheme="majorHAnsi" w:hAnsiTheme="majorHAnsi" w:cstheme="majorHAnsi"/>
                <w:sz w:val="20"/>
                <w:szCs w:val="20"/>
                <w:lang w:val="en-US" w:eastAsia="fr-FR"/>
              </w:rPr>
            </w:pPr>
            <w:r w:rsidRPr="00DE4CD2">
              <w:rPr>
                <w:rFonts w:asciiTheme="majorHAnsi" w:hAnsiTheme="majorHAnsi" w:cstheme="majorHAnsi"/>
                <w:sz w:val="20"/>
                <w:szCs w:val="20"/>
                <w:lang w:val="en-US" w:eastAsia="fr-FR"/>
              </w:rPr>
              <w:t>New wave of data collection for EFIL 2.0</w:t>
            </w:r>
          </w:p>
          <w:p w14:paraId="1BBA7B8D" w14:textId="77777777" w:rsidR="00D32776" w:rsidRPr="00DE4CD2" w:rsidRDefault="00D32776" w:rsidP="00D32776">
            <w:pPr>
              <w:pStyle w:val="Listenabsatz"/>
              <w:keepNext/>
              <w:keepLines/>
              <w:pBdr>
                <w:top w:val="none" w:sz="0" w:space="0" w:color="auto"/>
                <w:left w:val="none" w:sz="0" w:space="0" w:color="auto"/>
                <w:bottom w:val="none" w:sz="0" w:space="0" w:color="auto"/>
                <w:right w:val="none" w:sz="0" w:space="0" w:color="auto"/>
                <w:between w:val="none" w:sz="0" w:space="0" w:color="auto"/>
              </w:pBdr>
              <w:ind w:left="306"/>
              <w:rPr>
                <w:rFonts w:asciiTheme="majorHAnsi" w:hAnsiTheme="majorHAnsi" w:cstheme="majorHAnsi"/>
                <w:sz w:val="20"/>
                <w:szCs w:val="20"/>
                <w:lang w:val="en-US" w:eastAsia="fr-FR"/>
              </w:rPr>
            </w:pPr>
          </w:p>
          <w:p w14:paraId="5C228F16" w14:textId="77777777" w:rsidR="00D32776" w:rsidRPr="00DE4CD2" w:rsidRDefault="00D32776" w:rsidP="00D32776">
            <w:pPr>
              <w:keepNext/>
              <w:keepLines/>
              <w:pBdr>
                <w:top w:val="none" w:sz="0" w:space="0" w:color="auto"/>
                <w:left w:val="none" w:sz="0" w:space="0" w:color="auto"/>
                <w:bottom w:val="none" w:sz="0" w:space="0" w:color="auto"/>
                <w:right w:val="none" w:sz="0" w:space="0" w:color="auto"/>
                <w:between w:val="none" w:sz="0" w:space="0" w:color="auto"/>
              </w:pBdr>
              <w:rPr>
                <w:rFonts w:asciiTheme="majorHAnsi" w:hAnsiTheme="majorHAnsi" w:cstheme="majorHAnsi"/>
                <w:sz w:val="20"/>
                <w:szCs w:val="20"/>
                <w:lang w:val="en-US"/>
              </w:rPr>
            </w:pPr>
            <w:r w:rsidRPr="00DE4CD2">
              <w:rPr>
                <w:rFonts w:asciiTheme="majorHAnsi" w:hAnsiTheme="majorHAnsi" w:cstheme="majorHAnsi"/>
                <w:sz w:val="20"/>
                <w:szCs w:val="20"/>
                <w:lang w:val="en-US"/>
              </w:rPr>
              <w:t>Harmonization</w:t>
            </w:r>
            <w:r w:rsidRPr="00DE4CD2">
              <w:rPr>
                <w:rFonts w:asciiTheme="majorHAnsi" w:hAnsiTheme="majorHAnsi" w:cstheme="majorHAnsi"/>
                <w:sz w:val="20"/>
                <w:szCs w:val="20"/>
                <w:lang w:val="en-US" w:eastAsia="fr-FR"/>
              </w:rPr>
              <w:t xml:space="preserve"> with NATPRO and SIPER</w:t>
            </w:r>
          </w:p>
        </w:tc>
        <w:tc>
          <w:tcPr>
            <w:tcW w:w="6860" w:type="dxa"/>
            <w:vAlign w:val="center"/>
          </w:tcPr>
          <w:p w14:paraId="6384FACC" w14:textId="1D2A25E8" w:rsidR="00D32776" w:rsidRPr="00DE4CD2" w:rsidRDefault="00D32776" w:rsidP="00D32776">
            <w:pPr>
              <w:pStyle w:val="Listenabsatz"/>
              <w:pBdr>
                <w:top w:val="none" w:sz="0" w:space="0" w:color="auto"/>
                <w:left w:val="none" w:sz="0" w:space="0" w:color="auto"/>
                <w:bottom w:val="none" w:sz="0" w:space="0" w:color="auto"/>
                <w:right w:val="none" w:sz="0" w:space="0" w:color="auto"/>
                <w:between w:val="none" w:sz="0" w:space="0" w:color="auto"/>
              </w:pBdr>
              <w:ind w:left="0"/>
              <w:rPr>
                <w:rFonts w:asciiTheme="majorHAnsi" w:hAnsiTheme="majorHAnsi" w:cstheme="majorHAnsi"/>
                <w:sz w:val="20"/>
                <w:szCs w:val="20"/>
                <w:lang w:val="en-US"/>
              </w:rPr>
            </w:pPr>
            <w:r w:rsidRPr="00DE4CD2">
              <w:rPr>
                <w:rFonts w:asciiTheme="majorHAnsi" w:hAnsiTheme="majorHAnsi" w:cstheme="majorHAnsi"/>
                <w:i/>
                <w:iCs/>
                <w:sz w:val="20"/>
                <w:szCs w:val="20"/>
                <w:lang w:val="en-US"/>
              </w:rPr>
              <w:t xml:space="preserve">Completed by M53: </w:t>
            </w:r>
            <w:r w:rsidRPr="00DE4CD2">
              <w:rPr>
                <w:rFonts w:asciiTheme="majorHAnsi" w:hAnsiTheme="majorHAnsi" w:cstheme="majorHAnsi"/>
                <w:sz w:val="20"/>
                <w:szCs w:val="20"/>
                <w:lang w:val="en-US"/>
              </w:rPr>
              <w:t>A new wave of data collection included instruments from the major RFOs in France (particularly the ANR) and updated the previous collection to encompass the years 2020/2021. Finalization of the interlinking between EFIL and NATPRO module of EUPRO and SIPER. Updating of the documentation in the repository.</w:t>
            </w:r>
          </w:p>
        </w:tc>
      </w:tr>
      <w:tr w:rsidR="00D32776" w:rsidRPr="00DE4CD2" w14:paraId="20CAFE7E" w14:textId="77777777" w:rsidTr="00D32776">
        <w:tc>
          <w:tcPr>
            <w:tcW w:w="2688" w:type="dxa"/>
            <w:vAlign w:val="center"/>
          </w:tcPr>
          <w:p w14:paraId="75690F92" w14:textId="77777777" w:rsidR="00D32776" w:rsidRPr="00DE4CD2" w:rsidRDefault="00D32776" w:rsidP="00D32776">
            <w:pPr>
              <w:pStyle w:val="Listenabsatz"/>
              <w:pBdr>
                <w:top w:val="none" w:sz="0" w:space="0" w:color="auto"/>
                <w:left w:val="none" w:sz="0" w:space="0" w:color="auto"/>
                <w:bottom w:val="none" w:sz="0" w:space="0" w:color="auto"/>
                <w:right w:val="none" w:sz="0" w:space="0" w:color="auto"/>
                <w:between w:val="none" w:sz="0" w:space="0" w:color="auto"/>
              </w:pBdr>
              <w:ind w:left="0"/>
              <w:rPr>
                <w:rFonts w:asciiTheme="majorHAnsi" w:eastAsiaTheme="minorHAnsi" w:hAnsiTheme="majorHAnsi" w:cstheme="majorHAnsi"/>
                <w:sz w:val="20"/>
                <w:szCs w:val="20"/>
                <w:lang w:val="en-US"/>
              </w:rPr>
            </w:pPr>
            <w:r w:rsidRPr="00DE4CD2">
              <w:rPr>
                <w:rFonts w:asciiTheme="majorHAnsi" w:hAnsiTheme="majorHAnsi" w:cstheme="majorHAnsi"/>
                <w:sz w:val="20"/>
                <w:szCs w:val="20"/>
                <w:lang w:val="en-US"/>
              </w:rPr>
              <w:t>EFIL second release (EFIL 2.0)</w:t>
            </w:r>
          </w:p>
        </w:tc>
        <w:tc>
          <w:tcPr>
            <w:tcW w:w="6860" w:type="dxa"/>
            <w:vAlign w:val="center"/>
          </w:tcPr>
          <w:p w14:paraId="137E4E72" w14:textId="38F1DF0F" w:rsidR="00D32776" w:rsidRPr="00DE4CD2" w:rsidRDefault="00D32776" w:rsidP="00D32776">
            <w:pPr>
              <w:pStyle w:val="Listenabsatz"/>
              <w:pBdr>
                <w:top w:val="none" w:sz="0" w:space="0" w:color="auto"/>
                <w:left w:val="none" w:sz="0" w:space="0" w:color="auto"/>
                <w:bottom w:val="none" w:sz="0" w:space="0" w:color="auto"/>
                <w:right w:val="none" w:sz="0" w:space="0" w:color="auto"/>
                <w:between w:val="none" w:sz="0" w:space="0" w:color="auto"/>
              </w:pBdr>
              <w:ind w:left="0"/>
              <w:rPr>
                <w:rFonts w:asciiTheme="majorHAnsi" w:eastAsiaTheme="minorHAnsi" w:hAnsiTheme="majorHAnsi" w:cstheme="majorHAnsi"/>
                <w:sz w:val="20"/>
                <w:szCs w:val="20"/>
                <w:lang w:val="en-US"/>
              </w:rPr>
            </w:pPr>
            <w:r w:rsidRPr="00DE4CD2">
              <w:rPr>
                <w:rFonts w:asciiTheme="majorHAnsi" w:hAnsiTheme="majorHAnsi" w:cstheme="majorHAnsi"/>
                <w:i/>
                <w:iCs/>
                <w:sz w:val="20"/>
                <w:szCs w:val="20"/>
                <w:lang w:val="en-US"/>
              </w:rPr>
              <w:t xml:space="preserve">Completed by M53: </w:t>
            </w:r>
            <w:r w:rsidRPr="00DE4CD2">
              <w:rPr>
                <w:rFonts w:asciiTheme="majorHAnsi" w:hAnsiTheme="majorHAnsi" w:cstheme="majorHAnsi"/>
                <w:sz w:val="20"/>
                <w:szCs w:val="20"/>
                <w:lang w:val="en-US"/>
              </w:rPr>
              <w:t xml:space="preserve">EFIL 2.0 release in May 2023, covering 700 instruments from 55 RFOs across 10 countries, with 2020/2021 as reference years. Budget data from 2021 back to 2010. A second version of the handbook, titled </w:t>
            </w:r>
            <w:r w:rsidRPr="00DE4CD2">
              <w:rPr>
                <w:rFonts w:asciiTheme="majorHAnsi" w:hAnsiTheme="majorHAnsi" w:cstheme="majorHAnsi"/>
                <w:i/>
                <w:iCs/>
                <w:sz w:val="20"/>
                <w:szCs w:val="20"/>
                <w:lang w:val="en-US"/>
              </w:rPr>
              <w:t>Documentation of RISIS datasets: EFIL. Version 2.0</w:t>
            </w:r>
            <w:r w:rsidRPr="00DE4CD2">
              <w:rPr>
                <w:rFonts w:asciiTheme="majorHAnsi" w:hAnsiTheme="majorHAnsi" w:cstheme="majorHAnsi"/>
                <w:sz w:val="20"/>
                <w:szCs w:val="20"/>
                <w:lang w:val="en-US"/>
              </w:rPr>
              <w:t xml:space="preserve"> was released.</w:t>
            </w:r>
          </w:p>
        </w:tc>
      </w:tr>
    </w:tbl>
    <w:p w14:paraId="2691F494" w14:textId="77777777" w:rsidR="002C3BB1" w:rsidRPr="00DE4CD2" w:rsidRDefault="002C3BB1" w:rsidP="002C3BB1">
      <w:pPr>
        <w:pBdr>
          <w:top w:val="none" w:sz="0" w:space="0" w:color="auto"/>
          <w:left w:val="none" w:sz="0" w:space="0" w:color="auto"/>
          <w:bottom w:val="none" w:sz="0" w:space="0" w:color="auto"/>
          <w:right w:val="none" w:sz="0" w:space="0" w:color="auto"/>
          <w:between w:val="none" w:sz="0" w:space="0" w:color="auto"/>
        </w:pBdr>
        <w:jc w:val="both"/>
        <w:rPr>
          <w:rFonts w:asciiTheme="majorHAnsi" w:hAnsiTheme="majorHAnsi" w:cstheme="majorHAnsi"/>
          <w:b/>
          <w:bCs/>
          <w:i/>
          <w:iCs/>
          <w:lang w:val="en-US"/>
        </w:rPr>
      </w:pPr>
    </w:p>
    <w:p w14:paraId="48608C36" w14:textId="56BDAA03" w:rsidR="002C3BB1" w:rsidRPr="00DE4CD2" w:rsidRDefault="002C3BB1" w:rsidP="002C3BB1">
      <w:pPr>
        <w:pBdr>
          <w:top w:val="none" w:sz="0" w:space="0" w:color="auto"/>
          <w:left w:val="none" w:sz="0" w:space="0" w:color="auto"/>
          <w:bottom w:val="none" w:sz="0" w:space="0" w:color="auto"/>
          <w:right w:val="none" w:sz="0" w:space="0" w:color="auto"/>
          <w:between w:val="none" w:sz="0" w:space="0" w:color="auto"/>
        </w:pBdr>
        <w:jc w:val="both"/>
        <w:rPr>
          <w:rFonts w:asciiTheme="majorHAnsi" w:hAnsiTheme="majorHAnsi" w:cstheme="majorHAnsi"/>
          <w:b/>
          <w:bCs/>
          <w:i/>
          <w:iCs/>
          <w:lang w:val="en-US"/>
        </w:rPr>
      </w:pPr>
    </w:p>
    <w:p w14:paraId="4530069D" w14:textId="77777777" w:rsidR="00D32776" w:rsidRPr="00DE4CD2" w:rsidRDefault="00D32776" w:rsidP="002C3BB1">
      <w:pPr>
        <w:pBdr>
          <w:top w:val="none" w:sz="0" w:space="0" w:color="auto"/>
          <w:left w:val="none" w:sz="0" w:space="0" w:color="auto"/>
          <w:bottom w:val="none" w:sz="0" w:space="0" w:color="auto"/>
          <w:right w:val="none" w:sz="0" w:space="0" w:color="auto"/>
          <w:between w:val="none" w:sz="0" w:space="0" w:color="auto"/>
        </w:pBdr>
        <w:jc w:val="both"/>
        <w:rPr>
          <w:rFonts w:asciiTheme="majorHAnsi" w:hAnsiTheme="majorHAnsi" w:cstheme="majorHAnsi"/>
          <w:b/>
          <w:bCs/>
          <w:i/>
          <w:iCs/>
          <w:lang w:val="en-US"/>
        </w:rPr>
      </w:pPr>
    </w:p>
    <w:p w14:paraId="3AEFC12B" w14:textId="77777777" w:rsidR="002C3BB1" w:rsidRPr="00DE4CD2" w:rsidRDefault="002C3BB1" w:rsidP="002C3BB1">
      <w:pPr>
        <w:jc w:val="both"/>
        <w:rPr>
          <w:rFonts w:asciiTheme="majorHAnsi" w:hAnsiTheme="majorHAnsi" w:cstheme="majorHAnsi"/>
          <w:b/>
          <w:bCs/>
          <w:i/>
          <w:iCs/>
        </w:rPr>
      </w:pPr>
      <w:r w:rsidRPr="00DE4CD2">
        <w:rPr>
          <w:rFonts w:asciiTheme="majorHAnsi" w:hAnsiTheme="majorHAnsi" w:cstheme="majorHAnsi"/>
          <w:b/>
          <w:bCs/>
          <w:i/>
          <w:iCs/>
        </w:rPr>
        <w:lastRenderedPageBreak/>
        <w:t>Description of use</w:t>
      </w:r>
    </w:p>
    <w:p w14:paraId="1AD26863" w14:textId="77777777" w:rsidR="002C3BB1" w:rsidRPr="00DE4CD2" w:rsidRDefault="002C3BB1" w:rsidP="002C3BB1">
      <w:pPr>
        <w:jc w:val="both"/>
        <w:rPr>
          <w:rFonts w:asciiTheme="majorHAnsi" w:hAnsiTheme="majorHAnsi" w:cstheme="majorHAnsi"/>
          <w:lang w:val="en-US"/>
        </w:rPr>
      </w:pPr>
    </w:p>
    <w:p w14:paraId="14FB68AC" w14:textId="77777777" w:rsidR="002C3BB1" w:rsidRPr="00DE4CD2" w:rsidRDefault="002C3BB1" w:rsidP="002C3BB1">
      <w:pPr>
        <w:jc w:val="both"/>
        <w:rPr>
          <w:rFonts w:asciiTheme="majorHAnsi" w:hAnsiTheme="majorHAnsi" w:cstheme="majorHAnsi"/>
          <w:lang w:val="en-US"/>
        </w:rPr>
      </w:pPr>
      <w:r w:rsidRPr="00DE4CD2">
        <w:rPr>
          <w:rFonts w:asciiTheme="majorHAnsi" w:hAnsiTheme="majorHAnsi" w:cstheme="majorHAnsi"/>
          <w:lang w:val="en-US"/>
        </w:rPr>
        <w:t>The use of the dataset is still limited as it opened only in 2022. The studies are very recent, and three will be mentioned in the following lines.</w:t>
      </w:r>
    </w:p>
    <w:p w14:paraId="0BEB45A3" w14:textId="77777777" w:rsidR="002C3BB1" w:rsidRPr="00DE4CD2" w:rsidRDefault="002C3BB1" w:rsidP="002C3BB1">
      <w:pPr>
        <w:jc w:val="both"/>
        <w:rPr>
          <w:rFonts w:asciiTheme="majorHAnsi" w:hAnsiTheme="majorHAnsi" w:cstheme="majorHAnsi"/>
          <w:lang w:val="en-US"/>
        </w:rPr>
      </w:pPr>
    </w:p>
    <w:p w14:paraId="5BDB25B3" w14:textId="77777777" w:rsidR="002C3BB1" w:rsidRPr="00DE4CD2" w:rsidRDefault="002C3BB1" w:rsidP="002C3BB1">
      <w:pPr>
        <w:jc w:val="both"/>
        <w:rPr>
          <w:rFonts w:asciiTheme="majorHAnsi" w:hAnsiTheme="majorHAnsi" w:cstheme="majorHAnsi"/>
          <w:lang w:val="en-US"/>
        </w:rPr>
      </w:pPr>
      <w:r w:rsidRPr="00DE4CD2">
        <w:rPr>
          <w:rFonts w:asciiTheme="majorHAnsi" w:hAnsiTheme="majorHAnsi" w:cstheme="majorHAnsi"/>
          <w:lang w:val="en-US"/>
        </w:rPr>
        <w:t>A paper using EFIL data was presented by Reale et al. at the Eu-SPRI conference 2022 in Utrecht. It deals with the structure of government funding instruments designed and managed by research councils, thus the organizations specifically devoted to allocating government funding to universities and public research organizations, on the base of a delegation that constitute them as intermediaries between the government itself and the research performers. The study deepens what is the importance of research councils in the respective national research systems and how different are they according to their missions, tasks and characteristics of the funding instruments managed; furthermore it explores how far the funding instruments are oriented toward addressing societal relevant themes. The relevance of research councils in national contexts differs, and it is determined by national strategies such as establishing new RFOs for new specific missions and tasks, or adopting hybridization strategies, which assume new tasks while modifying the original structure of organizations solely oriented toward curiosity-driven academic research. A focus of the study is on the orientation toward SGCs and SDGs, which is circumscribed to few instruments. In line with part of the results of the presented study, Science Europe has requested access to EFIL to extract data on research funding instruments of some relevant RFOs in Europe. This request aimed to identify at what extent the funding instruments managed by those RFOs address Sustainable Development Goals targets, particularly focusing on the green and digital transition. Nicola F. Dotti, senior policy officer at Science Europe, presented an analysis at the RISIS International Conference 2023, demonstrating the capability to automatically collect policy-relevant information from EFIL.</w:t>
      </w:r>
    </w:p>
    <w:p w14:paraId="014239AB" w14:textId="77777777" w:rsidR="002C3BB1" w:rsidRPr="00DE4CD2" w:rsidRDefault="002C3BB1" w:rsidP="002C3BB1">
      <w:pPr>
        <w:jc w:val="both"/>
        <w:rPr>
          <w:rFonts w:asciiTheme="majorHAnsi" w:hAnsiTheme="majorHAnsi" w:cstheme="majorHAnsi"/>
        </w:rPr>
      </w:pPr>
    </w:p>
    <w:p w14:paraId="64AB0F57" w14:textId="3F4CC994" w:rsidR="002C3BB1" w:rsidRPr="00DE4CD2" w:rsidRDefault="002C3BB1" w:rsidP="002C3BB1">
      <w:pPr>
        <w:jc w:val="both"/>
        <w:rPr>
          <w:rFonts w:asciiTheme="majorHAnsi" w:eastAsiaTheme="minorHAnsi" w:hAnsiTheme="majorHAnsi" w:cstheme="majorHAnsi"/>
          <w:i/>
          <w:iCs/>
          <w:lang w:val="en-US" w:eastAsia="en-US"/>
        </w:rPr>
      </w:pPr>
      <w:r w:rsidRPr="00DE4CD2">
        <w:rPr>
          <w:rFonts w:asciiTheme="majorHAnsi" w:eastAsiaTheme="minorHAnsi" w:hAnsiTheme="majorHAnsi" w:cstheme="majorHAnsi"/>
          <w:i/>
          <w:iCs/>
          <w:lang w:val="en-US" w:eastAsia="en-US"/>
        </w:rPr>
        <w:t xml:space="preserve">Figure </w:t>
      </w:r>
      <w:r w:rsidR="00FE6AC1" w:rsidRPr="00DE4CD2">
        <w:rPr>
          <w:rFonts w:asciiTheme="majorHAnsi" w:eastAsiaTheme="minorHAnsi" w:hAnsiTheme="majorHAnsi" w:cstheme="majorHAnsi"/>
          <w:i/>
          <w:iCs/>
          <w:lang w:val="en-US" w:eastAsia="en-US"/>
        </w:rPr>
        <w:t>38</w:t>
      </w:r>
      <w:r w:rsidRPr="00DE4CD2">
        <w:rPr>
          <w:rFonts w:asciiTheme="majorHAnsi" w:eastAsiaTheme="minorHAnsi" w:hAnsiTheme="majorHAnsi" w:cstheme="majorHAnsi"/>
          <w:i/>
          <w:iCs/>
          <w:lang w:val="en-US" w:eastAsia="en-US"/>
        </w:rPr>
        <w:t>. Examples of association between funding instruments and SGCs (from Reale et al., 2022).</w:t>
      </w:r>
    </w:p>
    <w:p w14:paraId="11785B9E" w14:textId="77777777" w:rsidR="002C3BB1" w:rsidRPr="00DE4CD2" w:rsidRDefault="002C3BB1" w:rsidP="002C3BB1">
      <w:pPr>
        <w:autoSpaceDE w:val="0"/>
        <w:autoSpaceDN w:val="0"/>
        <w:adjustRightInd w:val="0"/>
        <w:ind w:left="360"/>
        <w:jc w:val="center"/>
        <w:rPr>
          <w:rFonts w:asciiTheme="majorHAnsi" w:hAnsiTheme="majorHAnsi" w:cstheme="majorHAnsi"/>
          <w:lang w:val="en-US"/>
        </w:rPr>
      </w:pPr>
      <w:r w:rsidRPr="00DE4CD2">
        <w:rPr>
          <w:rFonts w:asciiTheme="majorHAnsi" w:hAnsiTheme="majorHAnsi" w:cstheme="majorHAnsi"/>
          <w:noProof/>
          <w:lang w:val="en-US"/>
        </w:rPr>
        <w:drawing>
          <wp:inline distT="0" distB="0" distL="0" distR="0" wp14:anchorId="3C86271B" wp14:editId="019702DD">
            <wp:extent cx="2510287" cy="3014321"/>
            <wp:effectExtent l="0" t="0" r="4445" b="0"/>
            <wp:docPr id="1076687276" name="Immagine 3" descr="Immagine che contiene testo, schermata, documento, menu&#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687276" name="Immagine 3" descr="Immagine che contiene testo, schermata, documento, menu&#10;&#10;Descrizione generata automaticamente"/>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511877" cy="3016230"/>
                    </a:xfrm>
                    <a:prstGeom prst="rect">
                      <a:avLst/>
                    </a:prstGeom>
                    <a:noFill/>
                    <a:ln>
                      <a:noFill/>
                    </a:ln>
                  </pic:spPr>
                </pic:pic>
              </a:graphicData>
            </a:graphic>
          </wp:inline>
        </w:drawing>
      </w:r>
    </w:p>
    <w:p w14:paraId="515F87A0" w14:textId="77777777" w:rsidR="002C3BB1" w:rsidRPr="00DE4CD2" w:rsidRDefault="002C3BB1" w:rsidP="002C3BB1">
      <w:pPr>
        <w:ind w:left="360"/>
        <w:jc w:val="both"/>
        <w:rPr>
          <w:rFonts w:asciiTheme="majorHAnsi" w:hAnsiTheme="majorHAnsi" w:cstheme="majorHAnsi"/>
        </w:rPr>
      </w:pPr>
    </w:p>
    <w:p w14:paraId="58E2ED0D" w14:textId="77777777" w:rsidR="002C3BB1" w:rsidRPr="00DE4CD2" w:rsidRDefault="002C3BB1" w:rsidP="002C3BB1">
      <w:pPr>
        <w:jc w:val="both"/>
        <w:rPr>
          <w:rFonts w:asciiTheme="majorHAnsi" w:hAnsiTheme="majorHAnsi" w:cstheme="majorHAnsi"/>
          <w:lang w:val="en-US"/>
        </w:rPr>
      </w:pPr>
      <w:r w:rsidRPr="00DE4CD2">
        <w:rPr>
          <w:rFonts w:asciiTheme="majorHAnsi" w:hAnsiTheme="majorHAnsi" w:cstheme="majorHAnsi"/>
          <w:lang w:val="en-US"/>
        </w:rPr>
        <w:t xml:space="preserve">The second illustrative example is a research work by Zinilli et al. (2022) that was published in the STI 2022 Conference proceedings. The authors use a method developed in Economic Complexity to study the complexity of R&amp;D funding instruments. They have tried to reduce their “dimensionality </w:t>
      </w:r>
      <w:r w:rsidRPr="00DE4CD2">
        <w:rPr>
          <w:rFonts w:asciiTheme="majorHAnsi" w:hAnsiTheme="majorHAnsi" w:cstheme="majorHAnsi"/>
          <w:lang w:val="en-US"/>
        </w:rPr>
        <w:lastRenderedPageBreak/>
        <w:t>of information”, using metrics that would allow to deepen the configuration of funding portfolios and policy mixes of programs by focusing on instruments characteristics, actors involved, and topics addressed. The paper shows a picture of the diversification/specialization of funding instruments managed by national RFOs of nine countries for the year 2018, particularly regarding KETs and SGCs. The study follows the approach used for qualifying the knowledge composition of economic systems developed by Hidalgo and Hausmann (2009) to investigate the policy orientation of RFOs in terms of diversity, ubiquity, and complexity. The new approach to the complexity of research funding instruments provides new information for scholars and policymakers, enhancing the understanding of the technological and societal target orientation that drive project funding instruments.</w:t>
      </w:r>
    </w:p>
    <w:p w14:paraId="14ACE318" w14:textId="77777777" w:rsidR="002C3BB1" w:rsidRPr="00DE4CD2" w:rsidRDefault="002C3BB1" w:rsidP="002C3BB1">
      <w:pPr>
        <w:ind w:left="360"/>
        <w:jc w:val="both"/>
        <w:rPr>
          <w:rFonts w:asciiTheme="majorHAnsi" w:hAnsiTheme="majorHAnsi" w:cstheme="majorHAnsi"/>
          <w:lang w:val="en-US"/>
        </w:rPr>
      </w:pPr>
    </w:p>
    <w:p w14:paraId="4790BB41" w14:textId="58DA906E" w:rsidR="002C3BB1" w:rsidRPr="00DE4CD2" w:rsidRDefault="002C3BB1" w:rsidP="002C3BB1">
      <w:pPr>
        <w:jc w:val="both"/>
        <w:rPr>
          <w:rFonts w:asciiTheme="majorHAnsi" w:eastAsiaTheme="minorHAnsi" w:hAnsiTheme="majorHAnsi" w:cstheme="majorHAnsi"/>
          <w:i/>
          <w:iCs/>
          <w:lang w:val="en-US" w:eastAsia="en-US"/>
        </w:rPr>
      </w:pPr>
      <w:r w:rsidRPr="00DE4CD2">
        <w:rPr>
          <w:rFonts w:asciiTheme="majorHAnsi" w:eastAsiaTheme="minorHAnsi" w:hAnsiTheme="majorHAnsi" w:cstheme="majorHAnsi"/>
          <w:i/>
          <w:iCs/>
          <w:lang w:val="en-US" w:eastAsia="en-US"/>
        </w:rPr>
        <w:t xml:space="preserve">Figure </w:t>
      </w:r>
      <w:r w:rsidR="00FE6AC1" w:rsidRPr="00DE4CD2">
        <w:rPr>
          <w:rFonts w:asciiTheme="majorHAnsi" w:eastAsiaTheme="minorHAnsi" w:hAnsiTheme="majorHAnsi" w:cstheme="majorHAnsi"/>
          <w:i/>
          <w:iCs/>
          <w:lang w:val="en-US" w:eastAsia="en-US"/>
        </w:rPr>
        <w:t>39</w:t>
      </w:r>
      <w:r w:rsidRPr="00DE4CD2">
        <w:rPr>
          <w:rFonts w:asciiTheme="majorHAnsi" w:eastAsiaTheme="minorHAnsi" w:hAnsiTheme="majorHAnsi" w:cstheme="majorHAnsi"/>
          <w:i/>
          <w:iCs/>
          <w:lang w:val="en-US" w:eastAsia="en-US"/>
        </w:rPr>
        <w:t>. Representation of the diversification of KETs in funding instruments from Norway and United Kingdom (from Zinilli et al., 2022)</w:t>
      </w:r>
    </w:p>
    <w:p w14:paraId="53E3AF51" w14:textId="77777777" w:rsidR="00D32776" w:rsidRPr="00DE4CD2" w:rsidRDefault="00D32776" w:rsidP="002C3BB1">
      <w:pPr>
        <w:jc w:val="both"/>
        <w:rPr>
          <w:rFonts w:asciiTheme="majorHAnsi" w:eastAsiaTheme="minorHAnsi" w:hAnsiTheme="majorHAnsi" w:cstheme="majorHAnsi"/>
          <w:i/>
          <w:iCs/>
          <w:lang w:val="en-US" w:eastAsia="en-US"/>
        </w:rPr>
      </w:pPr>
    </w:p>
    <w:p w14:paraId="166C748C" w14:textId="77777777" w:rsidR="002C3BB1" w:rsidRPr="00DE4CD2" w:rsidRDefault="002C3BB1" w:rsidP="002C3BB1">
      <w:pPr>
        <w:ind w:left="360"/>
        <w:rPr>
          <w:rFonts w:asciiTheme="majorHAnsi" w:eastAsiaTheme="minorHAnsi" w:hAnsiTheme="majorHAnsi" w:cstheme="majorHAnsi"/>
          <w:i/>
          <w:iCs/>
          <w:lang w:val="en-US" w:eastAsia="en-US"/>
        </w:rPr>
      </w:pPr>
    </w:p>
    <w:p w14:paraId="59BFE0B8" w14:textId="77777777" w:rsidR="002C3BB1" w:rsidRPr="00DE4CD2" w:rsidRDefault="002C3BB1" w:rsidP="00D32776">
      <w:pPr>
        <w:ind w:left="360"/>
        <w:rPr>
          <w:rFonts w:asciiTheme="majorHAnsi" w:hAnsiTheme="majorHAnsi" w:cstheme="majorHAnsi"/>
        </w:rPr>
      </w:pPr>
      <w:r w:rsidRPr="00DE4CD2">
        <w:rPr>
          <w:rFonts w:asciiTheme="majorHAnsi" w:hAnsiTheme="majorHAnsi" w:cstheme="majorHAnsi"/>
          <w:noProof/>
          <w:lang w:eastAsia="en-US"/>
        </w:rPr>
        <w:drawing>
          <wp:inline distT="0" distB="0" distL="0" distR="0" wp14:anchorId="195599C6" wp14:editId="6D802BA1">
            <wp:extent cx="6031224" cy="2504661"/>
            <wp:effectExtent l="0" t="0" r="8255" b="0"/>
            <wp:docPr id="1367925723" name="Immagine 2" descr="Immagine che contiene diagramma,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925723" name="Immagine 2" descr="Immagine che contiene diagramma, mappa&#10;&#10;Descrizione generata automaticamente"/>
                    <pic:cNvPicPr>
                      <a:picLocks noChangeAspect="1" noChangeArrowheads="1"/>
                    </pic:cNvPicPr>
                  </pic:nvPicPr>
                  <pic:blipFill>
                    <a:blip r:embed="rId82" cstate="print">
                      <a:extLst>
                        <a:ext uri="{28A0092B-C50C-407E-A947-70E740481C1C}">
                          <a14:useLocalDpi xmlns:a14="http://schemas.microsoft.com/office/drawing/2010/main" val="0"/>
                        </a:ext>
                      </a:extLst>
                    </a:blip>
                    <a:srcRect l="4881" t="10060" r="1349" b="14487"/>
                    <a:stretch>
                      <a:fillRect/>
                    </a:stretch>
                  </pic:blipFill>
                  <pic:spPr bwMode="auto">
                    <a:xfrm>
                      <a:off x="0" y="0"/>
                      <a:ext cx="6043054" cy="2509574"/>
                    </a:xfrm>
                    <a:prstGeom prst="rect">
                      <a:avLst/>
                    </a:prstGeom>
                    <a:noFill/>
                    <a:ln>
                      <a:noFill/>
                    </a:ln>
                  </pic:spPr>
                </pic:pic>
              </a:graphicData>
            </a:graphic>
          </wp:inline>
        </w:drawing>
      </w:r>
    </w:p>
    <w:p w14:paraId="311CE616" w14:textId="77777777" w:rsidR="002C3BB1" w:rsidRPr="00DE4CD2" w:rsidRDefault="002C3BB1" w:rsidP="002C3BB1">
      <w:pPr>
        <w:ind w:left="360"/>
        <w:jc w:val="both"/>
        <w:rPr>
          <w:rFonts w:asciiTheme="majorHAnsi" w:hAnsiTheme="majorHAnsi" w:cstheme="majorHAnsi"/>
        </w:rPr>
      </w:pPr>
    </w:p>
    <w:p w14:paraId="3CB39B68" w14:textId="77777777" w:rsidR="002C3BB1" w:rsidRPr="00DE4CD2" w:rsidRDefault="002C3BB1" w:rsidP="002C3BB1">
      <w:pPr>
        <w:ind w:left="360"/>
        <w:jc w:val="center"/>
        <w:rPr>
          <w:rFonts w:asciiTheme="majorHAnsi" w:hAnsiTheme="majorHAnsi" w:cstheme="majorHAnsi"/>
        </w:rPr>
      </w:pPr>
    </w:p>
    <w:p w14:paraId="0795B459" w14:textId="77777777" w:rsidR="00D32776" w:rsidRPr="00DE4CD2" w:rsidRDefault="00D32776" w:rsidP="002C3BB1">
      <w:pPr>
        <w:jc w:val="both"/>
        <w:rPr>
          <w:rFonts w:asciiTheme="majorHAnsi" w:hAnsiTheme="majorHAnsi" w:cstheme="majorHAnsi"/>
          <w:lang w:val="en-US"/>
        </w:rPr>
      </w:pPr>
    </w:p>
    <w:p w14:paraId="16E135D3" w14:textId="77777777" w:rsidR="00D32776" w:rsidRPr="00DE4CD2" w:rsidRDefault="00D32776" w:rsidP="002C3BB1">
      <w:pPr>
        <w:jc w:val="both"/>
        <w:rPr>
          <w:rFonts w:asciiTheme="majorHAnsi" w:hAnsiTheme="majorHAnsi" w:cstheme="majorHAnsi"/>
          <w:lang w:val="en-US"/>
        </w:rPr>
      </w:pPr>
    </w:p>
    <w:p w14:paraId="515DAE36" w14:textId="15346A5D" w:rsidR="002C3BB1" w:rsidRPr="00DE4CD2" w:rsidRDefault="002C3BB1" w:rsidP="002C3BB1">
      <w:pPr>
        <w:jc w:val="both"/>
        <w:rPr>
          <w:rFonts w:asciiTheme="majorHAnsi" w:hAnsiTheme="majorHAnsi" w:cstheme="majorHAnsi"/>
          <w:lang w:val="en-US"/>
        </w:rPr>
      </w:pPr>
      <w:r w:rsidRPr="00DE4CD2">
        <w:rPr>
          <w:rFonts w:asciiTheme="majorHAnsi" w:hAnsiTheme="majorHAnsi" w:cstheme="majorHAnsi"/>
          <w:lang w:val="en-US"/>
        </w:rPr>
        <w:t xml:space="preserve">Finally, Spinello et al. (2023) investigated the portfolio of competitive R&amp;D instruments of Italian RFOs in order to underscore the main characteristics of Italian research funding and shed light on how and to what extent it is oriented to address socially relevant topics. The study resulted in a book chapter on the periodical </w:t>
      </w:r>
      <w:r w:rsidRPr="00DE4CD2">
        <w:rPr>
          <w:rFonts w:asciiTheme="majorHAnsi" w:hAnsiTheme="majorHAnsi" w:cstheme="majorHAnsi"/>
          <w:i/>
          <w:iCs/>
          <w:lang w:val="en-US"/>
        </w:rPr>
        <w:t>Report on the State of Research and Innovation in Italy</w:t>
      </w:r>
      <w:r w:rsidRPr="00DE4CD2">
        <w:rPr>
          <w:rFonts w:asciiTheme="majorHAnsi" w:hAnsiTheme="majorHAnsi" w:cstheme="majorHAnsi"/>
          <w:lang w:val="en-US"/>
        </w:rPr>
        <w:t xml:space="preserve"> by the Italian National Research Council. Analyzing EFIL data, the authors revealed the low number of competitive instruments activated in Italy over the period 2012-2021, their predominantly centralized management at the ministerial level, the irregular trend of funding over the years considered, and the reduced focus on objectives related to SGCs and KETs compared to other European countries. The characteristics of project-based competitive public funding in Italy have been compared, in terms of program quantity and diversification of research funding organizations, with those of other European countries, including Austria, Germany, Switzerland and United Kingdom. EFIL data have also enabled the creation of a scenario analysis on the future trends of competitive R&amp;D programs in Italy</w:t>
      </w:r>
      <w:r w:rsidR="00D32776" w:rsidRPr="00DE4CD2">
        <w:rPr>
          <w:rFonts w:asciiTheme="majorHAnsi" w:hAnsiTheme="majorHAnsi" w:cstheme="majorHAnsi"/>
          <w:lang w:val="en-US"/>
        </w:rPr>
        <w:t>.</w:t>
      </w:r>
    </w:p>
    <w:p w14:paraId="731DA201" w14:textId="52DCF63A" w:rsidR="00D32776" w:rsidRPr="00DE4CD2" w:rsidRDefault="00D32776" w:rsidP="002C3BB1">
      <w:pPr>
        <w:jc w:val="both"/>
        <w:rPr>
          <w:rFonts w:asciiTheme="majorHAnsi" w:hAnsiTheme="majorHAnsi" w:cstheme="majorHAnsi"/>
          <w:lang w:val="en-US"/>
        </w:rPr>
      </w:pPr>
    </w:p>
    <w:p w14:paraId="01DEDE46" w14:textId="77777777" w:rsidR="00D32776" w:rsidRPr="00DE4CD2" w:rsidRDefault="00D32776" w:rsidP="002C3BB1">
      <w:pPr>
        <w:jc w:val="both"/>
        <w:rPr>
          <w:rFonts w:asciiTheme="majorHAnsi" w:hAnsiTheme="majorHAnsi" w:cstheme="majorHAnsi"/>
          <w:lang w:val="en-US"/>
        </w:rPr>
      </w:pPr>
    </w:p>
    <w:p w14:paraId="6B8F04A8" w14:textId="54D6762C" w:rsidR="002C3BB1" w:rsidRPr="00DE4CD2" w:rsidRDefault="002C3BB1" w:rsidP="002C3BB1">
      <w:pPr>
        <w:jc w:val="both"/>
        <w:rPr>
          <w:rFonts w:asciiTheme="majorHAnsi" w:eastAsiaTheme="minorHAnsi" w:hAnsiTheme="majorHAnsi" w:cstheme="majorHAnsi"/>
          <w:i/>
          <w:iCs/>
          <w:lang w:val="en-US" w:eastAsia="en-US"/>
        </w:rPr>
      </w:pPr>
      <w:r w:rsidRPr="00DE4CD2">
        <w:rPr>
          <w:rFonts w:asciiTheme="majorHAnsi" w:eastAsiaTheme="minorHAnsi" w:hAnsiTheme="majorHAnsi" w:cstheme="majorHAnsi"/>
          <w:i/>
          <w:iCs/>
          <w:lang w:val="en-US" w:eastAsia="en-US"/>
        </w:rPr>
        <w:lastRenderedPageBreak/>
        <w:t xml:space="preserve">Figure </w:t>
      </w:r>
      <w:r w:rsidR="00FE6AC1" w:rsidRPr="00DE4CD2">
        <w:rPr>
          <w:rFonts w:asciiTheme="majorHAnsi" w:eastAsiaTheme="minorHAnsi" w:hAnsiTheme="majorHAnsi" w:cstheme="majorHAnsi"/>
          <w:i/>
          <w:iCs/>
          <w:lang w:val="en-US" w:eastAsia="en-US"/>
        </w:rPr>
        <w:t>40</w:t>
      </w:r>
      <w:r w:rsidRPr="00DE4CD2">
        <w:rPr>
          <w:rFonts w:asciiTheme="majorHAnsi" w:eastAsiaTheme="minorHAnsi" w:hAnsiTheme="majorHAnsi" w:cstheme="majorHAnsi"/>
          <w:i/>
          <w:iCs/>
          <w:lang w:val="en-US" w:eastAsia="en-US"/>
        </w:rPr>
        <w:t>. Comparison of the number of competitive instruments for R&amp;D between Italy and four European countries in the biennia 2017/2018 and 2020/2021 by type of funding agency (from Spinello et al., 2023).</w:t>
      </w:r>
    </w:p>
    <w:p w14:paraId="68B2904C" w14:textId="77777777" w:rsidR="002C3BB1" w:rsidRPr="00DE4CD2" w:rsidRDefault="002C3BB1" w:rsidP="002C3BB1">
      <w:pPr>
        <w:ind w:left="360"/>
        <w:jc w:val="both"/>
        <w:rPr>
          <w:rFonts w:asciiTheme="majorHAnsi" w:hAnsiTheme="majorHAnsi" w:cstheme="majorHAnsi"/>
          <w:lang w:val="en-US"/>
        </w:rPr>
      </w:pPr>
    </w:p>
    <w:p w14:paraId="2556A9C6" w14:textId="77777777" w:rsidR="002C3BB1" w:rsidRPr="00DE4CD2" w:rsidRDefault="002C3BB1" w:rsidP="002C3BB1">
      <w:pPr>
        <w:ind w:left="360"/>
        <w:jc w:val="center"/>
        <w:rPr>
          <w:rFonts w:asciiTheme="majorHAnsi" w:hAnsiTheme="majorHAnsi" w:cstheme="majorHAnsi"/>
          <w:lang w:val="en-US"/>
        </w:rPr>
      </w:pPr>
      <w:r w:rsidRPr="00DE4CD2">
        <w:rPr>
          <w:rFonts w:asciiTheme="majorHAnsi" w:hAnsiTheme="majorHAnsi" w:cstheme="majorHAnsi"/>
          <w:noProof/>
          <w:szCs w:val="22"/>
        </w:rPr>
        <w:drawing>
          <wp:inline distT="0" distB="0" distL="0" distR="0" wp14:anchorId="051AA50A" wp14:editId="6A3A2079">
            <wp:extent cx="3495675" cy="2433852"/>
            <wp:effectExtent l="0" t="0" r="0" b="5080"/>
            <wp:docPr id="11" name="Immagine 11" descr="Immagine che contiene testo, schermata, Parallelo,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magine 11" descr="Immagine che contiene testo, schermata, Parallelo, diagramma&#10;&#10;Descrizione generata automaticamente"/>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510835" cy="2444407"/>
                    </a:xfrm>
                    <a:prstGeom prst="rect">
                      <a:avLst/>
                    </a:prstGeom>
                    <a:noFill/>
                  </pic:spPr>
                </pic:pic>
              </a:graphicData>
            </a:graphic>
          </wp:inline>
        </w:drawing>
      </w:r>
    </w:p>
    <w:p w14:paraId="08BBD591" w14:textId="77777777" w:rsidR="002C3BB1" w:rsidRPr="00DE4CD2" w:rsidRDefault="002C3BB1" w:rsidP="002C3BB1">
      <w:pPr>
        <w:ind w:left="360"/>
        <w:jc w:val="both"/>
        <w:rPr>
          <w:rFonts w:asciiTheme="majorHAnsi" w:hAnsiTheme="majorHAnsi" w:cstheme="majorHAnsi"/>
          <w:lang w:val="en-US"/>
        </w:rPr>
      </w:pPr>
    </w:p>
    <w:p w14:paraId="28FCDDD7" w14:textId="77777777" w:rsidR="002C3BB1" w:rsidRPr="00DE4CD2" w:rsidRDefault="002C3BB1" w:rsidP="002C3BB1">
      <w:pPr>
        <w:ind w:left="360"/>
        <w:jc w:val="both"/>
        <w:rPr>
          <w:rFonts w:asciiTheme="majorHAnsi" w:hAnsiTheme="majorHAnsi" w:cstheme="majorHAnsi"/>
          <w:lang w:val="en-US"/>
        </w:rPr>
      </w:pPr>
    </w:p>
    <w:p w14:paraId="19D89781" w14:textId="77777777" w:rsidR="00C305CA" w:rsidRPr="00DE4CD2" w:rsidRDefault="00C305CA" w:rsidP="00ED6220">
      <w:pPr>
        <w:rPr>
          <w:rFonts w:asciiTheme="majorHAnsi" w:hAnsiTheme="majorHAnsi" w:cstheme="majorHAnsi"/>
        </w:rPr>
      </w:pPr>
    </w:p>
    <w:p w14:paraId="3E33E1F0" w14:textId="544E12CC" w:rsidR="005C3960" w:rsidRPr="00DE4CD2" w:rsidRDefault="005C3960" w:rsidP="00880919">
      <w:pPr>
        <w:pStyle w:val="berschrift1"/>
        <w:numPr>
          <w:ilvl w:val="0"/>
          <w:numId w:val="0"/>
        </w:numPr>
        <w:ind w:left="284" w:hanging="283"/>
        <w:rPr>
          <w:rFonts w:asciiTheme="majorHAnsi" w:hAnsiTheme="majorHAnsi" w:cstheme="majorHAnsi"/>
          <w:color w:val="auto"/>
        </w:rPr>
      </w:pPr>
      <w:bookmarkStart w:id="35" w:name="_Toc153536138"/>
      <w:r w:rsidRPr="00DE4CD2">
        <w:rPr>
          <w:rFonts w:asciiTheme="majorHAnsi" w:hAnsiTheme="majorHAnsi" w:cstheme="majorHAnsi"/>
          <w:color w:val="auto"/>
        </w:rPr>
        <w:t>References</w:t>
      </w:r>
      <w:bookmarkEnd w:id="35"/>
    </w:p>
    <w:p w14:paraId="0F7D541F" w14:textId="5610E13B" w:rsidR="002C3BB1" w:rsidRPr="00DE4CD2" w:rsidRDefault="002C3BB1" w:rsidP="002C3BB1">
      <w:pPr>
        <w:pStyle w:val="ECVSectionBullet"/>
        <w:autoSpaceDN/>
        <w:spacing w:line="100" w:lineRule="atLeast"/>
        <w:ind w:left="284" w:hanging="284"/>
        <w:textAlignment w:val="auto"/>
        <w:outlineLvl w:val="9"/>
        <w:rPr>
          <w:rFonts w:asciiTheme="majorHAnsi" w:hAnsiTheme="majorHAnsi" w:cstheme="majorHAnsi"/>
          <w:color w:val="auto"/>
          <w:sz w:val="20"/>
          <w:szCs w:val="20"/>
        </w:rPr>
      </w:pPr>
    </w:p>
    <w:p w14:paraId="665E089E" w14:textId="77777777" w:rsidR="00D22538" w:rsidRPr="00DE4CD2" w:rsidRDefault="00D22538"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en-US"/>
        </w:rPr>
        <w:t>Afonso, A., 2016. Varieties of academic labor markets in Europe. PS: Political Science &amp; Politics 49, 816-821.</w:t>
      </w:r>
    </w:p>
    <w:p w14:paraId="53D4803F" w14:textId="77777777" w:rsidR="00D22538" w:rsidRPr="00DE4CD2" w:rsidRDefault="00D22538" w:rsidP="00D83E17">
      <w:pPr>
        <w:ind w:left="284" w:hanging="284"/>
        <w:rPr>
          <w:rFonts w:asciiTheme="majorHAnsi" w:hAnsiTheme="majorHAnsi" w:cstheme="majorHAnsi"/>
          <w:sz w:val="22"/>
          <w:szCs w:val="22"/>
          <w:lang w:val="en-US"/>
        </w:rPr>
      </w:pPr>
    </w:p>
    <w:p w14:paraId="407D81D2" w14:textId="5541AE9C" w:rsidR="00D22538" w:rsidRPr="00DE4CD2" w:rsidRDefault="00D22538" w:rsidP="00D83E17">
      <w:pPr>
        <w:ind w:left="284" w:hanging="284"/>
        <w:rPr>
          <w:rFonts w:asciiTheme="majorHAnsi" w:hAnsiTheme="majorHAnsi" w:cstheme="majorHAnsi"/>
          <w:sz w:val="22"/>
          <w:szCs w:val="22"/>
          <w:lang w:val="en-US"/>
        </w:rPr>
      </w:pPr>
      <w:proofErr w:type="spellStart"/>
      <w:r w:rsidRPr="00DE4CD2">
        <w:rPr>
          <w:rFonts w:asciiTheme="majorHAnsi" w:hAnsiTheme="majorHAnsi" w:cstheme="majorHAnsi"/>
          <w:sz w:val="22"/>
          <w:szCs w:val="22"/>
          <w:lang w:val="en-US"/>
        </w:rPr>
        <w:t>Agasisti</w:t>
      </w:r>
      <w:proofErr w:type="spellEnd"/>
      <w:r w:rsidRPr="00DE4CD2">
        <w:rPr>
          <w:rFonts w:asciiTheme="majorHAnsi" w:hAnsiTheme="majorHAnsi" w:cstheme="majorHAnsi"/>
          <w:sz w:val="22"/>
          <w:szCs w:val="22"/>
          <w:lang w:val="en-US"/>
        </w:rPr>
        <w:t xml:space="preserve">, T., 2023. The efficiency of higher education institutions and systems, in Afonso, A., Tovar </w:t>
      </w:r>
      <w:proofErr w:type="spellStart"/>
      <w:r w:rsidRPr="00DE4CD2">
        <w:rPr>
          <w:rFonts w:asciiTheme="majorHAnsi" w:hAnsiTheme="majorHAnsi" w:cstheme="majorHAnsi"/>
          <w:sz w:val="22"/>
          <w:szCs w:val="22"/>
          <w:lang w:val="en-US"/>
        </w:rPr>
        <w:t>Jalles</w:t>
      </w:r>
      <w:proofErr w:type="spellEnd"/>
      <w:r w:rsidRPr="00DE4CD2">
        <w:rPr>
          <w:rFonts w:asciiTheme="majorHAnsi" w:hAnsiTheme="majorHAnsi" w:cstheme="majorHAnsi"/>
          <w:sz w:val="22"/>
          <w:szCs w:val="22"/>
          <w:lang w:val="en-US"/>
        </w:rPr>
        <w:t xml:space="preserve">, J., </w:t>
      </w:r>
      <w:proofErr w:type="spellStart"/>
      <w:r w:rsidRPr="00DE4CD2">
        <w:rPr>
          <w:rFonts w:asciiTheme="majorHAnsi" w:hAnsiTheme="majorHAnsi" w:cstheme="majorHAnsi"/>
          <w:sz w:val="22"/>
          <w:szCs w:val="22"/>
          <w:lang w:val="en-US"/>
        </w:rPr>
        <w:t>Venâncio</w:t>
      </w:r>
      <w:proofErr w:type="spellEnd"/>
      <w:r w:rsidRPr="00DE4CD2">
        <w:rPr>
          <w:rFonts w:asciiTheme="majorHAnsi" w:hAnsiTheme="majorHAnsi" w:cstheme="majorHAnsi"/>
          <w:sz w:val="22"/>
          <w:szCs w:val="22"/>
          <w:lang w:val="en-US"/>
        </w:rPr>
        <w:t>, A. (Eds.), Handbook on Public Sector Efficiency. Edward Elgar Publishing, pp. 274-290</w:t>
      </w:r>
    </w:p>
    <w:p w14:paraId="76E943FB" w14:textId="77777777" w:rsidR="00D22538" w:rsidRPr="00DE4CD2" w:rsidRDefault="00D22538" w:rsidP="00D83E17">
      <w:pPr>
        <w:ind w:left="284" w:hanging="284"/>
        <w:rPr>
          <w:rFonts w:asciiTheme="majorHAnsi" w:hAnsiTheme="majorHAnsi" w:cstheme="majorHAnsi"/>
          <w:sz w:val="22"/>
          <w:szCs w:val="22"/>
          <w:lang w:val="en-US"/>
        </w:rPr>
      </w:pPr>
    </w:p>
    <w:p w14:paraId="29EA28C3" w14:textId="68709A14" w:rsidR="00D22538" w:rsidRPr="00DE4CD2" w:rsidRDefault="00D22538" w:rsidP="00D83E17">
      <w:pPr>
        <w:ind w:left="284" w:hanging="284"/>
        <w:rPr>
          <w:rFonts w:asciiTheme="majorHAnsi" w:hAnsiTheme="majorHAnsi" w:cstheme="majorHAnsi"/>
          <w:sz w:val="22"/>
          <w:szCs w:val="22"/>
          <w:lang w:val="en-US"/>
        </w:rPr>
      </w:pPr>
      <w:proofErr w:type="spellStart"/>
      <w:r w:rsidRPr="00DE4CD2">
        <w:rPr>
          <w:rFonts w:asciiTheme="majorHAnsi" w:hAnsiTheme="majorHAnsi" w:cstheme="majorHAnsi"/>
          <w:sz w:val="22"/>
          <w:szCs w:val="22"/>
          <w:lang w:val="en-US"/>
        </w:rPr>
        <w:t>Artero</w:t>
      </w:r>
      <w:proofErr w:type="spellEnd"/>
      <w:r w:rsidRPr="00DE4CD2">
        <w:rPr>
          <w:rFonts w:asciiTheme="majorHAnsi" w:hAnsiTheme="majorHAnsi" w:cstheme="majorHAnsi"/>
          <w:sz w:val="22"/>
          <w:szCs w:val="22"/>
          <w:lang w:val="en-US"/>
        </w:rPr>
        <w:t xml:space="preserve"> López, J.M., Borra Marcos, C., Gómez-Álvarez Díaz, R., 2020. Education, inequality and use of digital collaborative platforms: The European case. The Economic and </w:t>
      </w:r>
      <w:proofErr w:type="spellStart"/>
      <w:r w:rsidRPr="00DE4CD2">
        <w:rPr>
          <w:rFonts w:asciiTheme="majorHAnsi" w:hAnsiTheme="majorHAnsi" w:cstheme="majorHAnsi"/>
          <w:sz w:val="22"/>
          <w:szCs w:val="22"/>
          <w:lang w:val="en-US"/>
        </w:rPr>
        <w:t>Labour</w:t>
      </w:r>
      <w:proofErr w:type="spellEnd"/>
      <w:r w:rsidRPr="00DE4CD2">
        <w:rPr>
          <w:rFonts w:asciiTheme="majorHAnsi" w:hAnsiTheme="majorHAnsi" w:cstheme="majorHAnsi"/>
          <w:sz w:val="22"/>
          <w:szCs w:val="22"/>
          <w:lang w:val="en-US"/>
        </w:rPr>
        <w:t xml:space="preserve"> Relations Review, 31 (3), 364-382. </w:t>
      </w:r>
    </w:p>
    <w:p w14:paraId="42D3E913" w14:textId="77777777" w:rsidR="00D83E17" w:rsidRPr="00DE4CD2" w:rsidRDefault="00D83E17" w:rsidP="00D83E17">
      <w:pPr>
        <w:ind w:left="284" w:hanging="284"/>
        <w:rPr>
          <w:rFonts w:asciiTheme="majorHAnsi" w:hAnsiTheme="majorHAnsi" w:cstheme="majorHAnsi"/>
          <w:sz w:val="22"/>
          <w:szCs w:val="22"/>
          <w:lang w:val="en-US"/>
        </w:rPr>
      </w:pPr>
    </w:p>
    <w:p w14:paraId="1A08979F" w14:textId="005FC43D" w:rsidR="00D83E17" w:rsidRPr="00DE4CD2" w:rsidRDefault="00D83E17" w:rsidP="00D83E17">
      <w:pPr>
        <w:ind w:left="284" w:hanging="284"/>
        <w:rPr>
          <w:rFonts w:asciiTheme="majorHAnsi" w:hAnsiTheme="majorHAnsi" w:cstheme="majorHAnsi"/>
          <w:sz w:val="22"/>
          <w:szCs w:val="22"/>
          <w:lang w:val="en-US"/>
        </w:rPr>
      </w:pPr>
      <w:proofErr w:type="spellStart"/>
      <w:r w:rsidRPr="00DE4CD2">
        <w:rPr>
          <w:rFonts w:asciiTheme="majorHAnsi" w:hAnsiTheme="majorHAnsi" w:cstheme="majorHAnsi"/>
          <w:sz w:val="22"/>
          <w:szCs w:val="22"/>
          <w:lang w:val="en-US"/>
        </w:rPr>
        <w:t>Audretsch</w:t>
      </w:r>
      <w:proofErr w:type="spellEnd"/>
      <w:r w:rsidRPr="00DE4CD2">
        <w:rPr>
          <w:rFonts w:asciiTheme="majorHAnsi" w:hAnsiTheme="majorHAnsi" w:cstheme="majorHAnsi"/>
          <w:sz w:val="22"/>
          <w:szCs w:val="22"/>
          <w:lang w:val="en-US"/>
        </w:rPr>
        <w:t xml:space="preserve">, D. B., &amp; </w:t>
      </w:r>
      <w:proofErr w:type="spellStart"/>
      <w:r w:rsidRPr="00DE4CD2">
        <w:rPr>
          <w:rFonts w:asciiTheme="majorHAnsi" w:hAnsiTheme="majorHAnsi" w:cstheme="majorHAnsi"/>
          <w:sz w:val="22"/>
          <w:szCs w:val="22"/>
          <w:lang w:val="en-US"/>
        </w:rPr>
        <w:t>Keilbach</w:t>
      </w:r>
      <w:proofErr w:type="spellEnd"/>
      <w:r w:rsidRPr="00DE4CD2">
        <w:rPr>
          <w:rFonts w:asciiTheme="majorHAnsi" w:hAnsiTheme="majorHAnsi" w:cstheme="majorHAnsi"/>
          <w:sz w:val="22"/>
          <w:szCs w:val="22"/>
          <w:lang w:val="en-US"/>
        </w:rPr>
        <w:t>, M. (2005). Entrepreneurship capital and regional growth. The Annals of Regional Science, 39(3), 457-469.</w:t>
      </w:r>
    </w:p>
    <w:p w14:paraId="74F7FB4C" w14:textId="77777777" w:rsidR="00D83E17" w:rsidRPr="00DE4CD2" w:rsidRDefault="00D83E17" w:rsidP="00D83E17">
      <w:pPr>
        <w:ind w:left="284" w:hanging="284"/>
        <w:rPr>
          <w:rFonts w:asciiTheme="majorHAnsi" w:hAnsiTheme="majorHAnsi" w:cstheme="majorHAnsi"/>
          <w:sz w:val="22"/>
          <w:szCs w:val="22"/>
          <w:lang w:val="en-US"/>
        </w:rPr>
      </w:pPr>
    </w:p>
    <w:p w14:paraId="14CC9367" w14:textId="15AE2A64" w:rsidR="00D83E17" w:rsidRPr="00DE4CD2" w:rsidRDefault="00D83E17" w:rsidP="00D83E17">
      <w:pPr>
        <w:ind w:left="284" w:hanging="284"/>
        <w:rPr>
          <w:rFonts w:asciiTheme="majorHAnsi" w:hAnsiTheme="majorHAnsi" w:cstheme="majorHAnsi"/>
          <w:sz w:val="22"/>
          <w:szCs w:val="22"/>
          <w:lang w:val="en-US"/>
        </w:rPr>
      </w:pPr>
      <w:proofErr w:type="spellStart"/>
      <w:r w:rsidRPr="00DE4CD2">
        <w:rPr>
          <w:rFonts w:asciiTheme="majorHAnsi" w:hAnsiTheme="majorHAnsi" w:cstheme="majorHAnsi"/>
          <w:sz w:val="22"/>
          <w:szCs w:val="22"/>
          <w:lang w:val="en-US"/>
        </w:rPr>
        <w:t>Audretsch</w:t>
      </w:r>
      <w:proofErr w:type="spellEnd"/>
      <w:r w:rsidRPr="00DE4CD2">
        <w:rPr>
          <w:rFonts w:asciiTheme="majorHAnsi" w:hAnsiTheme="majorHAnsi" w:cstheme="majorHAnsi"/>
          <w:sz w:val="22"/>
          <w:szCs w:val="22"/>
          <w:lang w:val="en-US"/>
        </w:rPr>
        <w:t xml:space="preserve">, D.B., &amp; </w:t>
      </w:r>
      <w:proofErr w:type="spellStart"/>
      <w:r w:rsidRPr="00DE4CD2">
        <w:rPr>
          <w:rFonts w:asciiTheme="majorHAnsi" w:hAnsiTheme="majorHAnsi" w:cstheme="majorHAnsi"/>
          <w:sz w:val="22"/>
          <w:szCs w:val="22"/>
          <w:lang w:val="en-US"/>
        </w:rPr>
        <w:t>Keilbach</w:t>
      </w:r>
      <w:proofErr w:type="spellEnd"/>
      <w:r w:rsidRPr="00DE4CD2">
        <w:rPr>
          <w:rFonts w:asciiTheme="majorHAnsi" w:hAnsiTheme="majorHAnsi" w:cstheme="majorHAnsi"/>
          <w:sz w:val="22"/>
          <w:szCs w:val="22"/>
          <w:lang w:val="en-US"/>
        </w:rPr>
        <w:t>, M. (2004). Entrepreneurship capital and economic performance. Regional Studies, 38, 949–959.</w:t>
      </w:r>
    </w:p>
    <w:p w14:paraId="559CEDE8" w14:textId="77777777" w:rsidR="00D83E17" w:rsidRPr="00DE4CD2" w:rsidRDefault="00D83E17" w:rsidP="00D83E17">
      <w:pPr>
        <w:ind w:left="284" w:hanging="284"/>
        <w:rPr>
          <w:rFonts w:asciiTheme="majorHAnsi" w:hAnsiTheme="majorHAnsi" w:cstheme="majorHAnsi"/>
          <w:sz w:val="22"/>
          <w:szCs w:val="22"/>
          <w:lang w:val="en-US"/>
        </w:rPr>
      </w:pPr>
    </w:p>
    <w:p w14:paraId="172A81A8" w14:textId="1E288D97" w:rsidR="00D22538" w:rsidRPr="00DE4CD2" w:rsidRDefault="00D22538" w:rsidP="00D83E17">
      <w:pPr>
        <w:ind w:left="284" w:hanging="284"/>
        <w:rPr>
          <w:rFonts w:asciiTheme="majorHAnsi" w:hAnsiTheme="majorHAnsi" w:cstheme="majorHAnsi"/>
          <w:sz w:val="22"/>
          <w:szCs w:val="22"/>
          <w:lang w:val="en-US"/>
        </w:rPr>
      </w:pPr>
      <w:proofErr w:type="spellStart"/>
      <w:r w:rsidRPr="00DE4CD2">
        <w:rPr>
          <w:rFonts w:asciiTheme="majorHAnsi" w:hAnsiTheme="majorHAnsi" w:cstheme="majorHAnsi"/>
          <w:sz w:val="22"/>
          <w:szCs w:val="22"/>
          <w:lang w:val="en-US"/>
        </w:rPr>
        <w:t>Avenali</w:t>
      </w:r>
      <w:proofErr w:type="spellEnd"/>
      <w:r w:rsidRPr="00DE4CD2">
        <w:rPr>
          <w:rFonts w:asciiTheme="majorHAnsi" w:hAnsiTheme="majorHAnsi" w:cstheme="majorHAnsi"/>
          <w:sz w:val="22"/>
          <w:szCs w:val="22"/>
          <w:lang w:val="en-US"/>
        </w:rPr>
        <w:t xml:space="preserve">, A., Daraio, C., </w:t>
      </w:r>
      <w:proofErr w:type="spellStart"/>
      <w:r w:rsidRPr="00DE4CD2">
        <w:rPr>
          <w:rFonts w:asciiTheme="majorHAnsi" w:hAnsiTheme="majorHAnsi" w:cstheme="majorHAnsi"/>
          <w:sz w:val="22"/>
          <w:szCs w:val="22"/>
          <w:lang w:val="en-US"/>
        </w:rPr>
        <w:t>Wolszczak-Derlacz</w:t>
      </w:r>
      <w:proofErr w:type="spellEnd"/>
      <w:r w:rsidRPr="00DE4CD2">
        <w:rPr>
          <w:rFonts w:asciiTheme="majorHAnsi" w:hAnsiTheme="majorHAnsi" w:cstheme="majorHAnsi"/>
          <w:sz w:val="22"/>
          <w:szCs w:val="22"/>
          <w:lang w:val="en-US"/>
        </w:rPr>
        <w:t>, J., 2023. Determinants of the incidence of non-academic staff in European and US HEIs. Higher Education 85, 55-83.</w:t>
      </w:r>
    </w:p>
    <w:p w14:paraId="79785BEB" w14:textId="77777777" w:rsidR="00D22538" w:rsidRPr="00DE4CD2" w:rsidRDefault="00D22538" w:rsidP="00D83E17">
      <w:pPr>
        <w:ind w:left="284" w:hanging="284"/>
        <w:rPr>
          <w:rFonts w:asciiTheme="majorHAnsi" w:hAnsiTheme="majorHAnsi" w:cstheme="majorHAnsi"/>
          <w:sz w:val="22"/>
          <w:szCs w:val="22"/>
          <w:lang w:val="en-US"/>
        </w:rPr>
      </w:pPr>
    </w:p>
    <w:p w14:paraId="54BCC214" w14:textId="11B8CC0A" w:rsidR="00D22538" w:rsidRPr="00DE4CD2" w:rsidRDefault="00D22538" w:rsidP="00D83E17">
      <w:pPr>
        <w:ind w:left="284" w:hanging="284"/>
        <w:rPr>
          <w:rFonts w:asciiTheme="majorHAnsi" w:hAnsiTheme="majorHAnsi" w:cstheme="majorHAnsi"/>
          <w:sz w:val="22"/>
          <w:szCs w:val="22"/>
          <w:lang w:val="en-US"/>
        </w:rPr>
      </w:pPr>
      <w:proofErr w:type="spellStart"/>
      <w:r w:rsidRPr="00DE4CD2">
        <w:rPr>
          <w:rFonts w:asciiTheme="majorHAnsi" w:hAnsiTheme="majorHAnsi" w:cstheme="majorHAnsi"/>
          <w:sz w:val="22"/>
          <w:szCs w:val="22"/>
          <w:lang w:val="en-US"/>
        </w:rPr>
        <w:t>Baltaru</w:t>
      </w:r>
      <w:proofErr w:type="spellEnd"/>
      <w:r w:rsidRPr="00DE4CD2">
        <w:rPr>
          <w:rFonts w:asciiTheme="majorHAnsi" w:hAnsiTheme="majorHAnsi" w:cstheme="majorHAnsi"/>
          <w:sz w:val="22"/>
          <w:szCs w:val="22"/>
          <w:lang w:val="en-US"/>
        </w:rPr>
        <w:t xml:space="preserve">, R., </w:t>
      </w:r>
      <w:proofErr w:type="spellStart"/>
      <w:r w:rsidRPr="00DE4CD2">
        <w:rPr>
          <w:rFonts w:asciiTheme="majorHAnsi" w:hAnsiTheme="majorHAnsi" w:cstheme="majorHAnsi"/>
          <w:sz w:val="22"/>
          <w:szCs w:val="22"/>
          <w:lang w:val="en-US"/>
        </w:rPr>
        <w:t>Soysal</w:t>
      </w:r>
      <w:proofErr w:type="spellEnd"/>
      <w:r w:rsidRPr="00DE4CD2">
        <w:rPr>
          <w:rFonts w:asciiTheme="majorHAnsi" w:hAnsiTheme="majorHAnsi" w:cstheme="majorHAnsi"/>
          <w:sz w:val="22"/>
          <w:szCs w:val="22"/>
          <w:lang w:val="en-US"/>
        </w:rPr>
        <w:t>, Y.N., 2018. Administrators in higher education: organizational expansion in a transforming institution. Higher Education 76, 213-229.</w:t>
      </w:r>
    </w:p>
    <w:p w14:paraId="429F113D" w14:textId="77777777" w:rsidR="00D22538" w:rsidRPr="00DE4CD2" w:rsidRDefault="00D22538" w:rsidP="00D83E17">
      <w:pPr>
        <w:ind w:left="284" w:hanging="284"/>
        <w:rPr>
          <w:rFonts w:asciiTheme="majorHAnsi" w:hAnsiTheme="majorHAnsi" w:cstheme="majorHAnsi"/>
          <w:sz w:val="22"/>
          <w:szCs w:val="22"/>
          <w:lang w:val="en-US"/>
        </w:rPr>
      </w:pPr>
    </w:p>
    <w:p w14:paraId="686E4E02" w14:textId="196B40BB" w:rsidR="00D22538" w:rsidRPr="00DE4CD2" w:rsidRDefault="00D22538" w:rsidP="00D83E17">
      <w:pPr>
        <w:ind w:left="284" w:hanging="284"/>
        <w:rPr>
          <w:rFonts w:asciiTheme="majorHAnsi" w:hAnsiTheme="majorHAnsi" w:cstheme="majorHAnsi"/>
          <w:sz w:val="22"/>
          <w:szCs w:val="22"/>
          <w:lang w:val="en-US"/>
        </w:rPr>
      </w:pPr>
      <w:proofErr w:type="spellStart"/>
      <w:r w:rsidRPr="00DE4CD2">
        <w:rPr>
          <w:rFonts w:asciiTheme="majorHAnsi" w:hAnsiTheme="majorHAnsi" w:cstheme="majorHAnsi"/>
          <w:sz w:val="22"/>
          <w:szCs w:val="22"/>
          <w:lang w:val="en-US"/>
        </w:rPr>
        <w:t>Barrioluengo</w:t>
      </w:r>
      <w:proofErr w:type="spellEnd"/>
      <w:r w:rsidRPr="00DE4CD2">
        <w:rPr>
          <w:rFonts w:asciiTheme="majorHAnsi" w:hAnsiTheme="majorHAnsi" w:cstheme="majorHAnsi"/>
          <w:sz w:val="22"/>
          <w:szCs w:val="22"/>
          <w:lang w:val="en-US"/>
        </w:rPr>
        <w:t xml:space="preserve">, M.S., </w:t>
      </w:r>
      <w:proofErr w:type="spellStart"/>
      <w:r w:rsidRPr="00DE4CD2">
        <w:rPr>
          <w:rFonts w:asciiTheme="majorHAnsi" w:hAnsiTheme="majorHAnsi" w:cstheme="majorHAnsi"/>
          <w:sz w:val="22"/>
          <w:szCs w:val="22"/>
          <w:lang w:val="en-US"/>
        </w:rPr>
        <w:t>Flisi</w:t>
      </w:r>
      <w:proofErr w:type="spellEnd"/>
      <w:r w:rsidRPr="00DE4CD2">
        <w:rPr>
          <w:rFonts w:asciiTheme="majorHAnsi" w:hAnsiTheme="majorHAnsi" w:cstheme="majorHAnsi"/>
          <w:sz w:val="22"/>
          <w:szCs w:val="22"/>
          <w:lang w:val="en-US"/>
        </w:rPr>
        <w:t xml:space="preserve">, S., 2017. Student mobility in tertiary education: institutional factors and regional attractiveness. Publications Office of the European Union, </w:t>
      </w:r>
      <w:proofErr w:type="spellStart"/>
      <w:r w:rsidRPr="00DE4CD2">
        <w:rPr>
          <w:rFonts w:asciiTheme="majorHAnsi" w:hAnsiTheme="majorHAnsi" w:cstheme="majorHAnsi"/>
          <w:sz w:val="22"/>
          <w:szCs w:val="22"/>
          <w:lang w:val="en-US"/>
        </w:rPr>
        <w:t>Luxembourg.EUR</w:t>
      </w:r>
      <w:proofErr w:type="spellEnd"/>
      <w:r w:rsidRPr="00DE4CD2">
        <w:rPr>
          <w:rFonts w:asciiTheme="majorHAnsi" w:hAnsiTheme="majorHAnsi" w:cstheme="majorHAnsi"/>
          <w:sz w:val="22"/>
          <w:szCs w:val="22"/>
          <w:lang w:val="en-US"/>
        </w:rPr>
        <w:t xml:space="preserve"> 28867</w:t>
      </w:r>
    </w:p>
    <w:p w14:paraId="20976E8C" w14:textId="77777777" w:rsidR="00D22538" w:rsidRPr="00DE4CD2" w:rsidRDefault="00D22538" w:rsidP="00D83E17">
      <w:pPr>
        <w:ind w:left="284" w:hanging="284"/>
        <w:rPr>
          <w:rFonts w:asciiTheme="majorHAnsi" w:hAnsiTheme="majorHAnsi" w:cstheme="majorHAnsi"/>
          <w:sz w:val="22"/>
          <w:szCs w:val="22"/>
          <w:lang w:val="en-US"/>
        </w:rPr>
      </w:pPr>
    </w:p>
    <w:p w14:paraId="427743C1" w14:textId="77777777" w:rsidR="00D83E17" w:rsidRPr="00DE4CD2" w:rsidRDefault="00D83E17" w:rsidP="00D83E17">
      <w:pPr>
        <w:ind w:left="284" w:hanging="284"/>
        <w:rPr>
          <w:rFonts w:asciiTheme="majorHAnsi" w:hAnsiTheme="majorHAnsi" w:cstheme="majorHAnsi"/>
          <w:sz w:val="22"/>
          <w:szCs w:val="22"/>
          <w:lang w:val="en-US"/>
        </w:rPr>
      </w:pPr>
      <w:proofErr w:type="spellStart"/>
      <w:r w:rsidRPr="00DE4CD2">
        <w:rPr>
          <w:rFonts w:asciiTheme="majorHAnsi" w:hAnsiTheme="majorHAnsi" w:cstheme="majorHAnsi"/>
          <w:sz w:val="22"/>
          <w:szCs w:val="22"/>
          <w:lang w:val="en-US"/>
        </w:rPr>
        <w:lastRenderedPageBreak/>
        <w:t>Bertoni</w:t>
      </w:r>
      <w:proofErr w:type="spellEnd"/>
      <w:r w:rsidRPr="00DE4CD2">
        <w:rPr>
          <w:rFonts w:asciiTheme="majorHAnsi" w:hAnsiTheme="majorHAnsi" w:cstheme="majorHAnsi"/>
          <w:sz w:val="22"/>
          <w:szCs w:val="22"/>
          <w:lang w:val="en-US"/>
        </w:rPr>
        <w:t>, F., Croce, A., &amp; Guerini, M. (2015). Venture capital and the investment curve of young high-tech companies. Journal of Corporate Finance, 35, 159–176.</w:t>
      </w:r>
    </w:p>
    <w:p w14:paraId="33864E51" w14:textId="77777777" w:rsidR="00D83E17" w:rsidRPr="00DE4CD2" w:rsidRDefault="00D83E17" w:rsidP="00D83E17">
      <w:pPr>
        <w:ind w:left="284" w:hanging="284"/>
        <w:rPr>
          <w:rFonts w:asciiTheme="majorHAnsi" w:hAnsiTheme="majorHAnsi" w:cstheme="majorHAnsi"/>
          <w:sz w:val="22"/>
          <w:szCs w:val="22"/>
          <w:lang w:val="en-US"/>
        </w:rPr>
      </w:pPr>
    </w:p>
    <w:p w14:paraId="3A67CC0E" w14:textId="77777777" w:rsidR="00057971" w:rsidRPr="00057971" w:rsidRDefault="00057971" w:rsidP="00057971">
      <w:pPr>
        <w:ind w:left="284" w:hanging="284"/>
        <w:rPr>
          <w:rFonts w:asciiTheme="majorHAnsi" w:hAnsiTheme="majorHAnsi" w:cstheme="majorHAnsi"/>
          <w:sz w:val="22"/>
          <w:szCs w:val="22"/>
          <w:lang w:val="en-US"/>
        </w:rPr>
      </w:pPr>
      <w:r w:rsidRPr="00057971">
        <w:rPr>
          <w:rFonts w:asciiTheme="majorHAnsi" w:hAnsiTheme="majorHAnsi" w:cstheme="majorHAnsi"/>
          <w:sz w:val="22"/>
          <w:szCs w:val="22"/>
          <w:lang w:val="en-US"/>
        </w:rPr>
        <w:t>Bin, Adriana; de Andrade, Rafaela M.; Vasconcellos Pinheiro, Lissa &amp; Monteiro Salles-Filho, Sergio Luiz (2018): Preliminary remarks about science, technology and innovation policy evaluation in Latin America, https://repository.fteval.at/id/eprint/403/1/Journal_47_10.22163_fteval.2019.406.pdf.</w:t>
      </w:r>
    </w:p>
    <w:p w14:paraId="3B0C0ABB" w14:textId="77777777" w:rsidR="00057971" w:rsidRPr="00057971" w:rsidRDefault="00057971" w:rsidP="00057971">
      <w:pPr>
        <w:ind w:left="284" w:hanging="284"/>
        <w:rPr>
          <w:rFonts w:asciiTheme="majorHAnsi" w:hAnsiTheme="majorHAnsi" w:cstheme="majorHAnsi"/>
          <w:sz w:val="22"/>
          <w:szCs w:val="22"/>
          <w:lang w:val="en-US"/>
        </w:rPr>
      </w:pPr>
    </w:p>
    <w:p w14:paraId="6AB38D46" w14:textId="7FEBACD2" w:rsidR="00D22538" w:rsidRPr="00DE4CD2" w:rsidRDefault="00D22538"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en-US"/>
        </w:rPr>
        <w:t xml:space="preserve">Bonaccorsi, A., </w:t>
      </w:r>
      <w:proofErr w:type="spellStart"/>
      <w:r w:rsidRPr="00DE4CD2">
        <w:rPr>
          <w:rFonts w:asciiTheme="majorHAnsi" w:hAnsiTheme="majorHAnsi" w:cstheme="majorHAnsi"/>
          <w:sz w:val="22"/>
          <w:szCs w:val="22"/>
          <w:lang w:val="en-US"/>
        </w:rPr>
        <w:t>Barin</w:t>
      </w:r>
      <w:proofErr w:type="spellEnd"/>
      <w:r w:rsidRPr="00DE4CD2">
        <w:rPr>
          <w:rFonts w:asciiTheme="majorHAnsi" w:hAnsiTheme="majorHAnsi" w:cstheme="majorHAnsi"/>
          <w:sz w:val="22"/>
          <w:szCs w:val="22"/>
          <w:lang w:val="en-US"/>
        </w:rPr>
        <w:t xml:space="preserve">, L., </w:t>
      </w:r>
      <w:proofErr w:type="spellStart"/>
      <w:r w:rsidRPr="00DE4CD2">
        <w:rPr>
          <w:rFonts w:asciiTheme="majorHAnsi" w:hAnsiTheme="majorHAnsi" w:cstheme="majorHAnsi"/>
          <w:sz w:val="22"/>
          <w:szCs w:val="22"/>
          <w:lang w:val="en-US"/>
        </w:rPr>
        <w:t>Bellingheri</w:t>
      </w:r>
      <w:proofErr w:type="spellEnd"/>
      <w:r w:rsidRPr="00DE4CD2">
        <w:rPr>
          <w:rFonts w:asciiTheme="majorHAnsi" w:hAnsiTheme="majorHAnsi" w:cstheme="majorHAnsi"/>
          <w:sz w:val="22"/>
          <w:szCs w:val="22"/>
          <w:lang w:val="en-US"/>
        </w:rPr>
        <w:t xml:space="preserve">, P., </w:t>
      </w:r>
      <w:proofErr w:type="spellStart"/>
      <w:r w:rsidRPr="00DE4CD2">
        <w:rPr>
          <w:rFonts w:asciiTheme="majorHAnsi" w:hAnsiTheme="majorHAnsi" w:cstheme="majorHAnsi"/>
          <w:sz w:val="22"/>
          <w:szCs w:val="22"/>
          <w:lang w:val="en-US"/>
        </w:rPr>
        <w:t>Biagi</w:t>
      </w:r>
      <w:proofErr w:type="spellEnd"/>
      <w:r w:rsidRPr="00DE4CD2">
        <w:rPr>
          <w:rFonts w:asciiTheme="majorHAnsi" w:hAnsiTheme="majorHAnsi" w:cstheme="majorHAnsi"/>
          <w:sz w:val="22"/>
          <w:szCs w:val="22"/>
          <w:lang w:val="en-US"/>
        </w:rPr>
        <w:t xml:space="preserve">, F., </w:t>
      </w:r>
      <w:proofErr w:type="spellStart"/>
      <w:r w:rsidRPr="00DE4CD2">
        <w:rPr>
          <w:rFonts w:asciiTheme="majorHAnsi" w:hAnsiTheme="majorHAnsi" w:cstheme="majorHAnsi"/>
          <w:sz w:val="22"/>
          <w:szCs w:val="22"/>
          <w:lang w:val="en-US"/>
        </w:rPr>
        <w:t>Barrioluengo</w:t>
      </w:r>
      <w:proofErr w:type="spellEnd"/>
      <w:r w:rsidRPr="00DE4CD2">
        <w:rPr>
          <w:rFonts w:asciiTheme="majorHAnsi" w:hAnsiTheme="majorHAnsi" w:cstheme="majorHAnsi"/>
          <w:sz w:val="22"/>
          <w:szCs w:val="22"/>
          <w:lang w:val="en-US"/>
        </w:rPr>
        <w:t xml:space="preserve">, M.S., 2023. Is higher education more important for firms than research? Disentangling university spillovers. Journal of Technology Transfer </w:t>
      </w:r>
    </w:p>
    <w:p w14:paraId="6FE593A1" w14:textId="77777777" w:rsidR="00D22538" w:rsidRPr="00DE4CD2" w:rsidRDefault="00D22538" w:rsidP="00D83E17">
      <w:pPr>
        <w:ind w:left="284" w:hanging="284"/>
        <w:rPr>
          <w:rFonts w:asciiTheme="majorHAnsi" w:hAnsiTheme="majorHAnsi" w:cstheme="majorHAnsi"/>
          <w:sz w:val="22"/>
          <w:szCs w:val="22"/>
          <w:lang w:val="en-US"/>
        </w:rPr>
      </w:pPr>
    </w:p>
    <w:p w14:paraId="053F9B83" w14:textId="6C78C334" w:rsidR="00D22538" w:rsidRPr="00DE4CD2" w:rsidRDefault="00D22538"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en-US"/>
        </w:rPr>
        <w:t xml:space="preserve">Bonaccorsi, A., Cicero, T., </w:t>
      </w:r>
      <w:proofErr w:type="spellStart"/>
      <w:r w:rsidRPr="00DE4CD2">
        <w:rPr>
          <w:rFonts w:asciiTheme="majorHAnsi" w:hAnsiTheme="majorHAnsi" w:cstheme="majorHAnsi"/>
          <w:sz w:val="22"/>
          <w:szCs w:val="22"/>
          <w:lang w:val="en-US"/>
        </w:rPr>
        <w:t>Haddawy</w:t>
      </w:r>
      <w:proofErr w:type="spellEnd"/>
      <w:r w:rsidRPr="00DE4CD2">
        <w:rPr>
          <w:rFonts w:asciiTheme="majorHAnsi" w:hAnsiTheme="majorHAnsi" w:cstheme="majorHAnsi"/>
          <w:sz w:val="22"/>
          <w:szCs w:val="22"/>
          <w:lang w:val="en-US"/>
        </w:rPr>
        <w:t xml:space="preserve">, P., Hassan, S., 2017. Explaining the transatlantic gap in research excellence. </w:t>
      </w:r>
      <w:proofErr w:type="spellStart"/>
      <w:r w:rsidRPr="00DE4CD2">
        <w:rPr>
          <w:rFonts w:asciiTheme="majorHAnsi" w:hAnsiTheme="majorHAnsi" w:cstheme="majorHAnsi"/>
          <w:sz w:val="22"/>
          <w:szCs w:val="22"/>
          <w:lang w:val="en-US"/>
        </w:rPr>
        <w:t>Scientometrics</w:t>
      </w:r>
      <w:proofErr w:type="spellEnd"/>
      <w:r w:rsidRPr="00DE4CD2">
        <w:rPr>
          <w:rFonts w:asciiTheme="majorHAnsi" w:hAnsiTheme="majorHAnsi" w:cstheme="majorHAnsi"/>
          <w:sz w:val="22"/>
          <w:szCs w:val="22"/>
          <w:lang w:val="en-US"/>
        </w:rPr>
        <w:t xml:space="preserve"> 110, 217-241.</w:t>
      </w:r>
    </w:p>
    <w:p w14:paraId="7EA474A2" w14:textId="77777777" w:rsidR="00D22538" w:rsidRPr="00DE4CD2" w:rsidRDefault="00D22538" w:rsidP="00D83E17">
      <w:pPr>
        <w:ind w:left="284" w:hanging="284"/>
        <w:rPr>
          <w:rFonts w:asciiTheme="majorHAnsi" w:hAnsiTheme="majorHAnsi" w:cstheme="majorHAnsi"/>
          <w:sz w:val="22"/>
          <w:szCs w:val="22"/>
          <w:lang w:val="en-US"/>
        </w:rPr>
      </w:pPr>
    </w:p>
    <w:p w14:paraId="5607945C" w14:textId="77777777" w:rsidR="00057971" w:rsidRPr="00057971" w:rsidRDefault="00057971" w:rsidP="00057971">
      <w:pPr>
        <w:ind w:left="284" w:hanging="284"/>
        <w:rPr>
          <w:rFonts w:asciiTheme="majorHAnsi" w:hAnsiTheme="majorHAnsi" w:cstheme="majorHAnsi"/>
          <w:sz w:val="22"/>
          <w:szCs w:val="22"/>
          <w:lang w:val="en-US"/>
        </w:rPr>
      </w:pPr>
      <w:proofErr w:type="spellStart"/>
      <w:r w:rsidRPr="00057971">
        <w:rPr>
          <w:rFonts w:asciiTheme="majorHAnsi" w:hAnsiTheme="majorHAnsi" w:cstheme="majorHAnsi"/>
          <w:sz w:val="22"/>
          <w:szCs w:val="22"/>
          <w:lang w:val="en-US"/>
        </w:rPr>
        <w:t>Borrás</w:t>
      </w:r>
      <w:proofErr w:type="spellEnd"/>
      <w:r w:rsidRPr="00057971">
        <w:rPr>
          <w:rFonts w:asciiTheme="majorHAnsi" w:hAnsiTheme="majorHAnsi" w:cstheme="majorHAnsi"/>
          <w:sz w:val="22"/>
          <w:szCs w:val="22"/>
          <w:lang w:val="en-US"/>
        </w:rPr>
        <w:t xml:space="preserve">, Susana &amp; </w:t>
      </w:r>
      <w:proofErr w:type="spellStart"/>
      <w:r w:rsidRPr="00057971">
        <w:rPr>
          <w:rFonts w:asciiTheme="majorHAnsi" w:hAnsiTheme="majorHAnsi" w:cstheme="majorHAnsi"/>
          <w:sz w:val="22"/>
          <w:szCs w:val="22"/>
          <w:lang w:val="en-US"/>
        </w:rPr>
        <w:t>Laatsit</w:t>
      </w:r>
      <w:proofErr w:type="spellEnd"/>
      <w:r w:rsidRPr="00057971">
        <w:rPr>
          <w:rFonts w:asciiTheme="majorHAnsi" w:hAnsiTheme="majorHAnsi" w:cstheme="majorHAnsi"/>
          <w:sz w:val="22"/>
          <w:szCs w:val="22"/>
          <w:lang w:val="en-US"/>
        </w:rPr>
        <w:t>, Mart (2019): Towards system oriented innovation policy evaluation? Evidence from EU 28 member states. In: Research Policy 48, pp. 312-321.</w:t>
      </w:r>
    </w:p>
    <w:p w14:paraId="7BD36709" w14:textId="77777777" w:rsidR="00057971" w:rsidRPr="00057971" w:rsidRDefault="00057971" w:rsidP="00057971">
      <w:pPr>
        <w:ind w:left="284" w:hanging="284"/>
        <w:rPr>
          <w:rFonts w:asciiTheme="majorHAnsi" w:hAnsiTheme="majorHAnsi" w:cstheme="majorHAnsi"/>
          <w:sz w:val="22"/>
          <w:szCs w:val="22"/>
          <w:lang w:val="en-US"/>
        </w:rPr>
      </w:pPr>
    </w:p>
    <w:p w14:paraId="743DA556" w14:textId="44B8D7D0" w:rsidR="00D22538" w:rsidRPr="00DE4CD2" w:rsidRDefault="00D22538"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en-US"/>
        </w:rPr>
        <w:t xml:space="preserve">Bruni, R., Catalano, G., Daraio, C., </w:t>
      </w:r>
      <w:proofErr w:type="spellStart"/>
      <w:r w:rsidRPr="00DE4CD2">
        <w:rPr>
          <w:rFonts w:asciiTheme="majorHAnsi" w:hAnsiTheme="majorHAnsi" w:cstheme="majorHAnsi"/>
          <w:sz w:val="22"/>
          <w:szCs w:val="22"/>
          <w:lang w:val="en-US"/>
        </w:rPr>
        <w:t>Gregori</w:t>
      </w:r>
      <w:proofErr w:type="spellEnd"/>
      <w:r w:rsidRPr="00DE4CD2">
        <w:rPr>
          <w:rFonts w:asciiTheme="majorHAnsi" w:hAnsiTheme="majorHAnsi" w:cstheme="majorHAnsi"/>
          <w:sz w:val="22"/>
          <w:szCs w:val="22"/>
          <w:lang w:val="en-US"/>
        </w:rPr>
        <w:t xml:space="preserve">, M., </w:t>
      </w:r>
      <w:proofErr w:type="spellStart"/>
      <w:r w:rsidRPr="00DE4CD2">
        <w:rPr>
          <w:rFonts w:asciiTheme="majorHAnsi" w:hAnsiTheme="majorHAnsi" w:cstheme="majorHAnsi"/>
          <w:sz w:val="22"/>
          <w:szCs w:val="22"/>
          <w:lang w:val="en-US"/>
        </w:rPr>
        <w:t>Moed</w:t>
      </w:r>
      <w:proofErr w:type="spellEnd"/>
      <w:r w:rsidRPr="00DE4CD2">
        <w:rPr>
          <w:rFonts w:asciiTheme="majorHAnsi" w:hAnsiTheme="majorHAnsi" w:cstheme="majorHAnsi"/>
          <w:sz w:val="22"/>
          <w:szCs w:val="22"/>
          <w:lang w:val="en-US"/>
        </w:rPr>
        <w:t xml:space="preserve">, H.F., 2020. Studying the heterogeneity of European higher education institutions. </w:t>
      </w:r>
      <w:proofErr w:type="spellStart"/>
      <w:r w:rsidRPr="00DE4CD2">
        <w:rPr>
          <w:rFonts w:asciiTheme="majorHAnsi" w:hAnsiTheme="majorHAnsi" w:cstheme="majorHAnsi"/>
          <w:sz w:val="22"/>
          <w:szCs w:val="22"/>
          <w:lang w:val="en-US"/>
        </w:rPr>
        <w:t>Scientometrics</w:t>
      </w:r>
      <w:proofErr w:type="spellEnd"/>
      <w:r w:rsidRPr="00DE4CD2">
        <w:rPr>
          <w:rFonts w:asciiTheme="majorHAnsi" w:hAnsiTheme="majorHAnsi" w:cstheme="majorHAnsi"/>
          <w:sz w:val="22"/>
          <w:szCs w:val="22"/>
          <w:lang w:val="en-US"/>
        </w:rPr>
        <w:t xml:space="preserve"> 125, 1117-1144.</w:t>
      </w:r>
    </w:p>
    <w:p w14:paraId="1E72A7BE" w14:textId="77777777" w:rsidR="00D83E17" w:rsidRPr="00DE4CD2" w:rsidRDefault="00D83E17" w:rsidP="00D83E17">
      <w:pPr>
        <w:ind w:left="284" w:hanging="284"/>
        <w:rPr>
          <w:rFonts w:asciiTheme="majorHAnsi" w:hAnsiTheme="majorHAnsi" w:cstheme="majorHAnsi"/>
          <w:sz w:val="22"/>
          <w:szCs w:val="22"/>
          <w:lang w:val="en-US"/>
        </w:rPr>
      </w:pPr>
    </w:p>
    <w:p w14:paraId="29F73680" w14:textId="77777777" w:rsidR="00057971" w:rsidRPr="00057971" w:rsidRDefault="00057971" w:rsidP="00057971">
      <w:pPr>
        <w:ind w:left="284" w:hanging="284"/>
        <w:rPr>
          <w:rFonts w:asciiTheme="majorHAnsi" w:hAnsiTheme="majorHAnsi" w:cstheme="majorHAnsi"/>
          <w:sz w:val="22"/>
          <w:szCs w:val="22"/>
          <w:lang w:val="en-US"/>
        </w:rPr>
      </w:pPr>
      <w:r w:rsidRPr="00057971">
        <w:rPr>
          <w:rFonts w:asciiTheme="majorHAnsi" w:hAnsiTheme="majorHAnsi" w:cstheme="majorHAnsi"/>
          <w:sz w:val="22"/>
          <w:szCs w:val="22"/>
          <w:lang w:val="de-DE"/>
        </w:rPr>
        <w:t xml:space="preserve">Bührer, Susanne; Wallwaey, Elisa; Seus, Sarah &amp; Edler, Jakob (2021) SIPER Database. </w:t>
      </w:r>
      <w:r w:rsidRPr="00057971">
        <w:rPr>
          <w:rFonts w:asciiTheme="majorHAnsi" w:hAnsiTheme="majorHAnsi" w:cstheme="majorHAnsi"/>
          <w:sz w:val="22"/>
          <w:szCs w:val="22"/>
          <w:lang w:val="en-US"/>
        </w:rPr>
        <w:t>The increasing Role of Studies on Social and Environmental Impacts. RISIS Policy Brief No. 8.</w:t>
      </w:r>
    </w:p>
    <w:p w14:paraId="0BF289DF" w14:textId="77777777" w:rsidR="00057971" w:rsidRPr="00057971" w:rsidRDefault="00057971" w:rsidP="00057971">
      <w:pPr>
        <w:ind w:left="284" w:hanging="284"/>
        <w:rPr>
          <w:rFonts w:asciiTheme="majorHAnsi" w:hAnsiTheme="majorHAnsi" w:cstheme="majorHAnsi"/>
          <w:sz w:val="22"/>
          <w:szCs w:val="22"/>
          <w:lang w:val="en-US"/>
        </w:rPr>
      </w:pPr>
    </w:p>
    <w:p w14:paraId="729FDA6B" w14:textId="77777777" w:rsidR="00057971" w:rsidRPr="00057971" w:rsidRDefault="00057971" w:rsidP="00057971">
      <w:pPr>
        <w:ind w:left="284" w:hanging="284"/>
        <w:rPr>
          <w:rFonts w:asciiTheme="majorHAnsi" w:hAnsiTheme="majorHAnsi" w:cstheme="majorHAnsi"/>
          <w:sz w:val="22"/>
          <w:szCs w:val="22"/>
          <w:lang w:val="en-US"/>
        </w:rPr>
      </w:pPr>
      <w:proofErr w:type="spellStart"/>
      <w:r w:rsidRPr="00057971">
        <w:rPr>
          <w:rFonts w:asciiTheme="majorHAnsi" w:hAnsiTheme="majorHAnsi" w:cstheme="majorHAnsi"/>
          <w:sz w:val="22"/>
          <w:szCs w:val="22"/>
          <w:lang w:val="en-US"/>
        </w:rPr>
        <w:t>Bührer</w:t>
      </w:r>
      <w:proofErr w:type="spellEnd"/>
      <w:r w:rsidRPr="00057971">
        <w:rPr>
          <w:rFonts w:asciiTheme="majorHAnsi" w:hAnsiTheme="majorHAnsi" w:cstheme="majorHAnsi"/>
          <w:sz w:val="22"/>
          <w:szCs w:val="22"/>
          <w:lang w:val="en-US"/>
        </w:rPr>
        <w:t xml:space="preserve">, Susanne; </w:t>
      </w:r>
      <w:proofErr w:type="spellStart"/>
      <w:r w:rsidRPr="00057971">
        <w:rPr>
          <w:rFonts w:asciiTheme="majorHAnsi" w:hAnsiTheme="majorHAnsi" w:cstheme="majorHAnsi"/>
          <w:sz w:val="22"/>
          <w:szCs w:val="22"/>
          <w:lang w:val="en-US"/>
        </w:rPr>
        <w:t>Feidenheimer</w:t>
      </w:r>
      <w:proofErr w:type="spellEnd"/>
      <w:r w:rsidRPr="00057971">
        <w:rPr>
          <w:rFonts w:asciiTheme="majorHAnsi" w:hAnsiTheme="majorHAnsi" w:cstheme="majorHAnsi"/>
          <w:sz w:val="22"/>
          <w:szCs w:val="22"/>
          <w:lang w:val="en-US"/>
        </w:rPr>
        <w:t xml:space="preserve">, Alexander; Walz, Rainer; Lindner, Ralf; </w:t>
      </w:r>
      <w:proofErr w:type="spellStart"/>
      <w:r w:rsidRPr="00057971">
        <w:rPr>
          <w:rFonts w:asciiTheme="majorHAnsi" w:hAnsiTheme="majorHAnsi" w:cstheme="majorHAnsi"/>
          <w:sz w:val="22"/>
          <w:szCs w:val="22"/>
          <w:lang w:val="en-US"/>
        </w:rPr>
        <w:t>Beckert</w:t>
      </w:r>
      <w:proofErr w:type="spellEnd"/>
      <w:r w:rsidRPr="00057971">
        <w:rPr>
          <w:rFonts w:asciiTheme="majorHAnsi" w:hAnsiTheme="majorHAnsi" w:cstheme="majorHAnsi"/>
          <w:sz w:val="22"/>
          <w:szCs w:val="22"/>
          <w:lang w:val="en-US"/>
        </w:rPr>
        <w:t>, Bernd &amp; Wallwaey, Elisa (2022): Concepts and methods to measure societal impacts - an overview,  Fraunhofer ISI Discussion Papers - Innovation Systems and Policy Analysis No. 74, https://www.econstor.eu/bitstream/10419/262140/1/1811474128.pdf.</w:t>
      </w:r>
    </w:p>
    <w:p w14:paraId="798B33BA" w14:textId="77777777" w:rsidR="00057971" w:rsidRPr="00057971" w:rsidRDefault="00057971" w:rsidP="00057971">
      <w:pPr>
        <w:ind w:left="284" w:hanging="284"/>
        <w:rPr>
          <w:rFonts w:asciiTheme="majorHAnsi" w:hAnsiTheme="majorHAnsi" w:cstheme="majorHAnsi"/>
          <w:sz w:val="22"/>
          <w:szCs w:val="22"/>
          <w:lang w:val="en-US"/>
        </w:rPr>
      </w:pPr>
    </w:p>
    <w:p w14:paraId="20FDEB8A" w14:textId="4B1ECA3E" w:rsidR="00D83E17" w:rsidRPr="00DE4CD2" w:rsidRDefault="00D83E17" w:rsidP="00D83E17">
      <w:pPr>
        <w:ind w:left="284" w:hanging="284"/>
        <w:rPr>
          <w:rFonts w:asciiTheme="majorHAnsi" w:hAnsiTheme="majorHAnsi" w:cstheme="majorHAnsi"/>
          <w:sz w:val="22"/>
          <w:szCs w:val="22"/>
          <w:lang w:val="en-US"/>
        </w:rPr>
      </w:pPr>
      <w:proofErr w:type="spellStart"/>
      <w:r w:rsidRPr="00DE4CD2">
        <w:rPr>
          <w:rFonts w:asciiTheme="majorHAnsi" w:hAnsiTheme="majorHAnsi" w:cstheme="majorHAnsi"/>
          <w:sz w:val="22"/>
          <w:szCs w:val="22"/>
          <w:lang w:val="en-US"/>
        </w:rPr>
        <w:t>Butticè</w:t>
      </w:r>
      <w:proofErr w:type="spellEnd"/>
      <w:r w:rsidRPr="00DE4CD2">
        <w:rPr>
          <w:rFonts w:asciiTheme="majorHAnsi" w:hAnsiTheme="majorHAnsi" w:cstheme="majorHAnsi"/>
          <w:sz w:val="22"/>
          <w:szCs w:val="22"/>
          <w:lang w:val="en-US"/>
        </w:rPr>
        <w:t>, V., Di Pietro, F., &amp; Tenca, F. (2020). Is equity crowdfunding always good? Deal structure and the attraction of venture capital investors. Journal of Corporate Finance, 65, 101773.</w:t>
      </w:r>
    </w:p>
    <w:p w14:paraId="63A1F885" w14:textId="6D7B9C3B" w:rsidR="00D22538" w:rsidRPr="00DE4CD2" w:rsidRDefault="00D22538" w:rsidP="00D83E17">
      <w:pPr>
        <w:ind w:left="284" w:hanging="284"/>
        <w:rPr>
          <w:rFonts w:asciiTheme="majorHAnsi" w:hAnsiTheme="majorHAnsi" w:cstheme="majorHAnsi"/>
          <w:sz w:val="22"/>
          <w:szCs w:val="22"/>
          <w:lang w:val="en-US"/>
        </w:rPr>
      </w:pPr>
    </w:p>
    <w:p w14:paraId="72C1CC71" w14:textId="0FCCFCCC" w:rsidR="00D22538" w:rsidRPr="00DE4CD2" w:rsidRDefault="00D22538" w:rsidP="00D83E17">
      <w:pPr>
        <w:ind w:left="284" w:hanging="284"/>
        <w:rPr>
          <w:rFonts w:asciiTheme="majorHAnsi" w:hAnsiTheme="majorHAnsi" w:cstheme="majorHAnsi"/>
          <w:sz w:val="22"/>
          <w:szCs w:val="22"/>
          <w:lang w:val="en-US"/>
        </w:rPr>
      </w:pPr>
      <w:proofErr w:type="spellStart"/>
      <w:r w:rsidRPr="00DE4CD2">
        <w:rPr>
          <w:rFonts w:asciiTheme="majorHAnsi" w:hAnsiTheme="majorHAnsi" w:cstheme="majorHAnsi"/>
          <w:sz w:val="22"/>
          <w:szCs w:val="22"/>
          <w:lang w:val="en-US"/>
        </w:rPr>
        <w:t>Callado</w:t>
      </w:r>
      <w:proofErr w:type="spellEnd"/>
      <w:r w:rsidRPr="00DE4CD2">
        <w:rPr>
          <w:rFonts w:asciiTheme="majorHAnsi" w:hAnsiTheme="majorHAnsi" w:cstheme="majorHAnsi"/>
          <w:sz w:val="22"/>
          <w:szCs w:val="22"/>
          <w:lang w:val="en-US"/>
        </w:rPr>
        <w:t xml:space="preserve">-Muñoz, F.J., </w:t>
      </w:r>
      <w:proofErr w:type="spellStart"/>
      <w:r w:rsidRPr="00DE4CD2">
        <w:rPr>
          <w:rFonts w:asciiTheme="majorHAnsi" w:hAnsiTheme="majorHAnsi" w:cstheme="majorHAnsi"/>
          <w:sz w:val="22"/>
          <w:szCs w:val="22"/>
          <w:lang w:val="en-US"/>
        </w:rPr>
        <w:t>Utrero</w:t>
      </w:r>
      <w:proofErr w:type="spellEnd"/>
      <w:r w:rsidRPr="00DE4CD2">
        <w:rPr>
          <w:rFonts w:asciiTheme="majorHAnsi" w:hAnsiTheme="majorHAnsi" w:cstheme="majorHAnsi"/>
          <w:sz w:val="22"/>
          <w:szCs w:val="22"/>
          <w:lang w:val="en-US"/>
        </w:rPr>
        <w:t xml:space="preserve">-González, N., 2019. Integration in the European higher education area: the case of military education. </w:t>
      </w:r>
      <w:proofErr w:type="spellStart"/>
      <w:r w:rsidRPr="00DE4CD2">
        <w:rPr>
          <w:rFonts w:asciiTheme="majorHAnsi" w:hAnsiTheme="majorHAnsi" w:cstheme="majorHAnsi"/>
          <w:sz w:val="22"/>
          <w:szCs w:val="22"/>
          <w:lang w:val="en-US"/>
        </w:rPr>
        <w:t>Defence</w:t>
      </w:r>
      <w:proofErr w:type="spellEnd"/>
      <w:r w:rsidRPr="00DE4CD2">
        <w:rPr>
          <w:rFonts w:asciiTheme="majorHAnsi" w:hAnsiTheme="majorHAnsi" w:cstheme="majorHAnsi"/>
          <w:sz w:val="22"/>
          <w:szCs w:val="22"/>
          <w:lang w:val="en-US"/>
        </w:rPr>
        <w:t xml:space="preserve"> Studies 19, 373-391.</w:t>
      </w:r>
    </w:p>
    <w:p w14:paraId="460AC765" w14:textId="77777777" w:rsidR="00D22538" w:rsidRPr="00DE4CD2" w:rsidRDefault="00D22538" w:rsidP="00D83E17">
      <w:pPr>
        <w:ind w:left="284" w:hanging="284"/>
        <w:rPr>
          <w:rFonts w:asciiTheme="majorHAnsi" w:hAnsiTheme="majorHAnsi" w:cstheme="majorHAnsi"/>
          <w:sz w:val="22"/>
          <w:szCs w:val="22"/>
          <w:lang w:val="en-US"/>
        </w:rPr>
      </w:pPr>
    </w:p>
    <w:p w14:paraId="2C913632" w14:textId="77777777" w:rsidR="00065EEA" w:rsidRPr="00DE4CD2" w:rsidRDefault="00065EEA"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en-US"/>
        </w:rPr>
        <w:t>Camerani, R., &amp; Guerini, M. (2019). RISIS policy makers' sessions: Fast growing mid-sized firms in Europe. Evidence from the RISIS-Cheetah database. Zenodo. Available at: https://doi.org/10.5281/zenodo.3520619.</w:t>
      </w:r>
    </w:p>
    <w:p w14:paraId="59D8F2EE" w14:textId="77777777" w:rsidR="00065EEA" w:rsidRPr="00DE4CD2" w:rsidRDefault="00065EEA" w:rsidP="00D83E17">
      <w:pPr>
        <w:ind w:left="284" w:hanging="284"/>
        <w:rPr>
          <w:rFonts w:asciiTheme="majorHAnsi" w:hAnsiTheme="majorHAnsi" w:cstheme="majorHAnsi"/>
          <w:sz w:val="22"/>
          <w:szCs w:val="22"/>
          <w:lang w:val="en-US"/>
        </w:rPr>
      </w:pPr>
    </w:p>
    <w:p w14:paraId="6396714C" w14:textId="7198BC8A" w:rsidR="00D22538" w:rsidRPr="00DE4CD2" w:rsidRDefault="00D22538" w:rsidP="00D83E17">
      <w:pPr>
        <w:ind w:left="284" w:hanging="284"/>
        <w:rPr>
          <w:rFonts w:asciiTheme="majorHAnsi" w:hAnsiTheme="majorHAnsi" w:cstheme="majorHAnsi"/>
          <w:sz w:val="22"/>
          <w:szCs w:val="22"/>
          <w:lang w:val="en-US"/>
        </w:rPr>
      </w:pPr>
      <w:proofErr w:type="spellStart"/>
      <w:r w:rsidRPr="00DE4CD2">
        <w:rPr>
          <w:rFonts w:asciiTheme="majorHAnsi" w:hAnsiTheme="majorHAnsi" w:cstheme="majorHAnsi"/>
          <w:sz w:val="22"/>
          <w:szCs w:val="22"/>
          <w:lang w:val="en-US"/>
        </w:rPr>
        <w:t>Capano</w:t>
      </w:r>
      <w:proofErr w:type="spellEnd"/>
      <w:r w:rsidRPr="00DE4CD2">
        <w:rPr>
          <w:rFonts w:asciiTheme="majorHAnsi" w:hAnsiTheme="majorHAnsi" w:cstheme="majorHAnsi"/>
          <w:sz w:val="22"/>
          <w:szCs w:val="22"/>
          <w:lang w:val="en-US"/>
        </w:rPr>
        <w:t xml:space="preserve">, G., </w:t>
      </w:r>
      <w:proofErr w:type="spellStart"/>
      <w:r w:rsidRPr="00DE4CD2">
        <w:rPr>
          <w:rFonts w:asciiTheme="majorHAnsi" w:hAnsiTheme="majorHAnsi" w:cstheme="majorHAnsi"/>
          <w:sz w:val="22"/>
          <w:szCs w:val="22"/>
          <w:lang w:val="en-US"/>
        </w:rPr>
        <w:t>Pritoni</w:t>
      </w:r>
      <w:proofErr w:type="spellEnd"/>
      <w:r w:rsidRPr="00DE4CD2">
        <w:rPr>
          <w:rFonts w:asciiTheme="majorHAnsi" w:hAnsiTheme="majorHAnsi" w:cstheme="majorHAnsi"/>
          <w:sz w:val="22"/>
          <w:szCs w:val="22"/>
          <w:lang w:val="en-US"/>
        </w:rPr>
        <w:t xml:space="preserve">, A., </w:t>
      </w:r>
      <w:proofErr w:type="spellStart"/>
      <w:r w:rsidRPr="00DE4CD2">
        <w:rPr>
          <w:rFonts w:asciiTheme="majorHAnsi" w:hAnsiTheme="majorHAnsi" w:cstheme="majorHAnsi"/>
          <w:sz w:val="22"/>
          <w:szCs w:val="22"/>
          <w:lang w:val="en-US"/>
        </w:rPr>
        <w:t>Vicentini</w:t>
      </w:r>
      <w:proofErr w:type="spellEnd"/>
      <w:r w:rsidRPr="00DE4CD2">
        <w:rPr>
          <w:rFonts w:asciiTheme="majorHAnsi" w:hAnsiTheme="majorHAnsi" w:cstheme="majorHAnsi"/>
          <w:sz w:val="22"/>
          <w:szCs w:val="22"/>
          <w:lang w:val="en-US"/>
        </w:rPr>
        <w:t>, G. (2019). Do policy instruments matter? Governments’ choice of policy mix and higher education performance in Western Europe. Journal of Public Policy, 1-27.</w:t>
      </w:r>
    </w:p>
    <w:p w14:paraId="1D8550BF" w14:textId="77777777" w:rsidR="00D22538" w:rsidRPr="00DE4CD2" w:rsidRDefault="00D22538" w:rsidP="00D83E17">
      <w:pPr>
        <w:ind w:left="284" w:hanging="284"/>
        <w:rPr>
          <w:rFonts w:asciiTheme="majorHAnsi" w:hAnsiTheme="majorHAnsi" w:cstheme="majorHAnsi"/>
          <w:sz w:val="22"/>
          <w:szCs w:val="22"/>
          <w:lang w:val="en-US"/>
        </w:rPr>
      </w:pPr>
    </w:p>
    <w:p w14:paraId="433A24B2" w14:textId="77777777" w:rsidR="00D83E17" w:rsidRPr="00DE4CD2" w:rsidRDefault="00D83E17"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en-US"/>
        </w:rPr>
        <w:t>Capizzi, V., Croce, A., &amp; Tenca, F. (2022). Do Business Angels’ Investments Make It Easier to Raise Follow‐on Venture Capital Financing? An Analysis of the Relevance of Business Angels’ Investment Practices. British Journal of Management, 33(1), 306-326.</w:t>
      </w:r>
    </w:p>
    <w:p w14:paraId="6C356ACC" w14:textId="77777777" w:rsidR="00057971" w:rsidRDefault="00057971" w:rsidP="00057971">
      <w:pPr>
        <w:ind w:left="284" w:hanging="284"/>
        <w:rPr>
          <w:rFonts w:asciiTheme="majorHAnsi" w:hAnsiTheme="majorHAnsi" w:cstheme="majorHAnsi"/>
          <w:sz w:val="22"/>
          <w:szCs w:val="22"/>
          <w:lang w:val="en-US"/>
        </w:rPr>
      </w:pPr>
    </w:p>
    <w:p w14:paraId="1E776497" w14:textId="3BC7D0F0" w:rsidR="00D22538" w:rsidRPr="00DE4CD2" w:rsidRDefault="00D22538" w:rsidP="00D83E17">
      <w:pPr>
        <w:ind w:left="284" w:hanging="284"/>
        <w:rPr>
          <w:rFonts w:asciiTheme="majorHAnsi" w:hAnsiTheme="majorHAnsi" w:cstheme="majorHAnsi"/>
          <w:sz w:val="22"/>
          <w:szCs w:val="22"/>
        </w:rPr>
      </w:pPr>
      <w:r w:rsidRPr="00DE4CD2">
        <w:rPr>
          <w:rFonts w:asciiTheme="majorHAnsi" w:hAnsiTheme="majorHAnsi" w:cstheme="majorHAnsi"/>
          <w:sz w:val="22"/>
          <w:szCs w:val="22"/>
        </w:rPr>
        <w:t xml:space="preserve">Carolina </w:t>
      </w:r>
      <w:proofErr w:type="spellStart"/>
      <w:r w:rsidRPr="00DE4CD2">
        <w:rPr>
          <w:rFonts w:asciiTheme="majorHAnsi" w:hAnsiTheme="majorHAnsi" w:cstheme="majorHAnsi"/>
          <w:sz w:val="22"/>
          <w:szCs w:val="22"/>
        </w:rPr>
        <w:t>Cañibano</w:t>
      </w:r>
      <w:proofErr w:type="spellEnd"/>
      <w:r w:rsidRPr="00DE4CD2">
        <w:rPr>
          <w:rFonts w:asciiTheme="majorHAnsi" w:hAnsiTheme="majorHAnsi" w:cstheme="majorHAnsi"/>
          <w:sz w:val="22"/>
          <w:szCs w:val="22"/>
        </w:rPr>
        <w:t xml:space="preserve">, Richard Woolley, Eric Iversen &amp; Carmen Corona (2024) The state-of-the-art of research on science research careers. </w:t>
      </w:r>
      <w:r w:rsidRPr="00DE4CD2">
        <w:rPr>
          <w:rFonts w:asciiTheme="majorHAnsi" w:hAnsiTheme="majorHAnsi" w:cstheme="majorHAnsi"/>
          <w:sz w:val="22"/>
          <w:szCs w:val="22"/>
          <w:lang w:val="de-DE"/>
        </w:rPr>
        <w:t xml:space="preserve">Chapter in Alis </w:t>
      </w:r>
      <w:proofErr w:type="spellStart"/>
      <w:r w:rsidRPr="00DE4CD2">
        <w:rPr>
          <w:rFonts w:asciiTheme="majorHAnsi" w:hAnsiTheme="majorHAnsi" w:cstheme="majorHAnsi"/>
          <w:sz w:val="22"/>
          <w:szCs w:val="22"/>
          <w:lang w:val="de-DE"/>
        </w:rPr>
        <w:t>Oancea</w:t>
      </w:r>
      <w:proofErr w:type="spellEnd"/>
      <w:r w:rsidRPr="00DE4CD2">
        <w:rPr>
          <w:rFonts w:asciiTheme="majorHAnsi" w:hAnsiTheme="majorHAnsi" w:cstheme="majorHAnsi"/>
          <w:sz w:val="22"/>
          <w:szCs w:val="22"/>
          <w:lang w:val="de-DE"/>
        </w:rPr>
        <w:t xml:space="preserve">, Gemma Derrick, Xin </w:t>
      </w:r>
      <w:proofErr w:type="spellStart"/>
      <w:r w:rsidRPr="00DE4CD2">
        <w:rPr>
          <w:rFonts w:asciiTheme="majorHAnsi" w:hAnsiTheme="majorHAnsi" w:cstheme="majorHAnsi"/>
          <w:sz w:val="22"/>
          <w:szCs w:val="22"/>
          <w:lang w:val="de-DE"/>
        </w:rPr>
        <w:t>Xu</w:t>
      </w:r>
      <w:proofErr w:type="spellEnd"/>
      <w:r w:rsidRPr="00DE4CD2">
        <w:rPr>
          <w:rFonts w:asciiTheme="majorHAnsi" w:hAnsiTheme="majorHAnsi" w:cstheme="majorHAnsi"/>
          <w:sz w:val="22"/>
          <w:szCs w:val="22"/>
          <w:lang w:val="de-DE"/>
        </w:rPr>
        <w:t xml:space="preserve">, </w:t>
      </w:r>
      <w:proofErr w:type="spellStart"/>
      <w:r w:rsidRPr="00DE4CD2">
        <w:rPr>
          <w:rFonts w:asciiTheme="majorHAnsi" w:hAnsiTheme="majorHAnsi" w:cstheme="majorHAnsi"/>
          <w:sz w:val="22"/>
          <w:szCs w:val="22"/>
          <w:lang w:val="de-DE"/>
        </w:rPr>
        <w:t>Nuzha</w:t>
      </w:r>
      <w:proofErr w:type="spellEnd"/>
      <w:r w:rsidRPr="00DE4CD2">
        <w:rPr>
          <w:rFonts w:asciiTheme="majorHAnsi" w:hAnsiTheme="majorHAnsi" w:cstheme="majorHAnsi"/>
          <w:sz w:val="22"/>
          <w:szCs w:val="22"/>
          <w:lang w:val="de-DE"/>
        </w:rPr>
        <w:t xml:space="preserve"> </w:t>
      </w:r>
      <w:proofErr w:type="spellStart"/>
      <w:r w:rsidRPr="00DE4CD2">
        <w:rPr>
          <w:rFonts w:asciiTheme="majorHAnsi" w:hAnsiTheme="majorHAnsi" w:cstheme="majorHAnsi"/>
          <w:sz w:val="22"/>
          <w:szCs w:val="22"/>
          <w:lang w:val="de-DE"/>
        </w:rPr>
        <w:t>Nuseibeh</w:t>
      </w:r>
      <w:proofErr w:type="spellEnd"/>
      <w:r w:rsidRPr="00DE4CD2">
        <w:rPr>
          <w:rFonts w:asciiTheme="majorHAnsi" w:hAnsiTheme="majorHAnsi" w:cstheme="majorHAnsi"/>
          <w:sz w:val="22"/>
          <w:szCs w:val="22"/>
          <w:lang w:val="de-DE"/>
        </w:rPr>
        <w:t xml:space="preserve"> (Eds.) </w:t>
      </w:r>
      <w:r w:rsidRPr="00DE4CD2">
        <w:rPr>
          <w:rFonts w:asciiTheme="majorHAnsi" w:hAnsiTheme="majorHAnsi" w:cstheme="majorHAnsi"/>
          <w:sz w:val="22"/>
          <w:szCs w:val="22"/>
        </w:rPr>
        <w:t>The Handbook of Meta-Research. Forthcoming Edward Elgar, 2024</w:t>
      </w:r>
    </w:p>
    <w:p w14:paraId="655AA6FB" w14:textId="77777777" w:rsidR="00D22538" w:rsidRPr="00DE4CD2" w:rsidRDefault="00D22538" w:rsidP="00D83E17">
      <w:pPr>
        <w:ind w:left="284" w:hanging="284"/>
        <w:rPr>
          <w:rFonts w:asciiTheme="majorHAnsi" w:hAnsiTheme="majorHAnsi" w:cstheme="majorHAnsi"/>
          <w:sz w:val="22"/>
          <w:szCs w:val="22"/>
        </w:rPr>
      </w:pPr>
    </w:p>
    <w:p w14:paraId="64C8AD14" w14:textId="77777777" w:rsidR="00057971" w:rsidRDefault="00057971" w:rsidP="00057971">
      <w:pPr>
        <w:ind w:left="284" w:hanging="284"/>
        <w:rPr>
          <w:rFonts w:asciiTheme="majorHAnsi" w:hAnsiTheme="majorHAnsi" w:cstheme="majorHAnsi"/>
          <w:sz w:val="22"/>
          <w:szCs w:val="22"/>
          <w:lang w:val="en-US"/>
        </w:rPr>
      </w:pPr>
      <w:r w:rsidRPr="00057971">
        <w:rPr>
          <w:rFonts w:asciiTheme="majorHAnsi" w:hAnsiTheme="majorHAnsi" w:cstheme="majorHAnsi"/>
          <w:sz w:val="22"/>
          <w:szCs w:val="22"/>
          <w:lang w:val="en-US"/>
        </w:rPr>
        <w:t xml:space="preserve">Carrillo, Eduardo; </w:t>
      </w:r>
      <w:proofErr w:type="spellStart"/>
      <w:r w:rsidRPr="00057971">
        <w:rPr>
          <w:rFonts w:asciiTheme="majorHAnsi" w:hAnsiTheme="majorHAnsi" w:cstheme="majorHAnsi"/>
          <w:sz w:val="22"/>
          <w:szCs w:val="22"/>
          <w:lang w:val="en-US"/>
        </w:rPr>
        <w:t>Grigerio</w:t>
      </w:r>
      <w:proofErr w:type="spellEnd"/>
      <w:r w:rsidRPr="00057971">
        <w:rPr>
          <w:rFonts w:asciiTheme="majorHAnsi" w:hAnsiTheme="majorHAnsi" w:cstheme="majorHAnsi"/>
          <w:sz w:val="22"/>
          <w:szCs w:val="22"/>
          <w:lang w:val="en-US"/>
        </w:rPr>
        <w:t xml:space="preserve">, Catalina; Valenzuela, Jesús María; </w:t>
      </w:r>
      <w:proofErr w:type="spellStart"/>
      <w:r w:rsidRPr="00057971">
        <w:rPr>
          <w:rFonts w:asciiTheme="majorHAnsi" w:hAnsiTheme="majorHAnsi" w:cstheme="majorHAnsi"/>
          <w:sz w:val="22"/>
          <w:szCs w:val="22"/>
          <w:lang w:val="en-US"/>
        </w:rPr>
        <w:t>Aquaro</w:t>
      </w:r>
      <w:proofErr w:type="spellEnd"/>
      <w:r w:rsidRPr="00057971">
        <w:rPr>
          <w:rFonts w:asciiTheme="majorHAnsi" w:hAnsiTheme="majorHAnsi" w:cstheme="majorHAnsi"/>
          <w:sz w:val="22"/>
          <w:szCs w:val="22"/>
          <w:lang w:val="en-US"/>
        </w:rPr>
        <w:t xml:space="preserve">, Alessia; </w:t>
      </w:r>
      <w:proofErr w:type="spellStart"/>
      <w:r w:rsidRPr="00057971">
        <w:rPr>
          <w:rFonts w:asciiTheme="majorHAnsi" w:hAnsiTheme="majorHAnsi" w:cstheme="majorHAnsi"/>
          <w:sz w:val="22"/>
          <w:szCs w:val="22"/>
          <w:lang w:val="en-US"/>
        </w:rPr>
        <w:t>Mauduit</w:t>
      </w:r>
      <w:proofErr w:type="spellEnd"/>
      <w:r w:rsidRPr="00057971">
        <w:rPr>
          <w:rFonts w:asciiTheme="majorHAnsi" w:hAnsiTheme="majorHAnsi" w:cstheme="majorHAnsi"/>
          <w:sz w:val="22"/>
          <w:szCs w:val="22"/>
          <w:lang w:val="en-US"/>
        </w:rPr>
        <w:t xml:space="preserve">, Jean-Christophe; </w:t>
      </w:r>
      <w:proofErr w:type="spellStart"/>
      <w:r w:rsidRPr="00057971">
        <w:rPr>
          <w:rFonts w:asciiTheme="majorHAnsi" w:hAnsiTheme="majorHAnsi" w:cstheme="majorHAnsi"/>
          <w:sz w:val="22"/>
          <w:szCs w:val="22"/>
          <w:lang w:val="en-US"/>
        </w:rPr>
        <w:t>Steenmans</w:t>
      </w:r>
      <w:proofErr w:type="spellEnd"/>
      <w:r w:rsidRPr="00057971">
        <w:rPr>
          <w:rFonts w:asciiTheme="majorHAnsi" w:hAnsiTheme="majorHAnsi" w:cstheme="majorHAnsi"/>
          <w:sz w:val="22"/>
          <w:szCs w:val="22"/>
          <w:lang w:val="en-US"/>
        </w:rPr>
        <w:t xml:space="preserve">, Ine &amp; Paz Sandoval, María (2022): The Performance Gap of Policy Information Systems: A </w:t>
      </w:r>
      <w:r w:rsidRPr="00057971">
        <w:rPr>
          <w:rFonts w:asciiTheme="majorHAnsi" w:hAnsiTheme="majorHAnsi" w:cstheme="majorHAnsi"/>
          <w:sz w:val="22"/>
          <w:szCs w:val="22"/>
          <w:lang w:val="en-US"/>
        </w:rPr>
        <w:lastRenderedPageBreak/>
        <w:t>Knowledge Infrastructure Assessment Framework. In: Journal of Science Policy &amp; Governance 22/1. DOI: 10.38126/JSPG220105.</w:t>
      </w:r>
    </w:p>
    <w:p w14:paraId="145D9277" w14:textId="77777777" w:rsidR="00057971" w:rsidRDefault="00057971" w:rsidP="00D83E17">
      <w:pPr>
        <w:ind w:left="284" w:hanging="284"/>
        <w:rPr>
          <w:rFonts w:asciiTheme="majorHAnsi" w:hAnsiTheme="majorHAnsi" w:cstheme="majorHAnsi"/>
          <w:sz w:val="22"/>
          <w:szCs w:val="22"/>
          <w:lang w:val="en-US"/>
        </w:rPr>
      </w:pPr>
    </w:p>
    <w:p w14:paraId="61C4D8E0" w14:textId="6CE7D183" w:rsidR="00D22538" w:rsidRPr="00DE4CD2" w:rsidRDefault="00D22538"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en-US"/>
        </w:rPr>
        <w:t>Castaldi, C., 2020. All the great things you can do with trademark data: Taking stock and looking ahead. Strategic Organization 18 (3), 472–484.</w:t>
      </w:r>
    </w:p>
    <w:p w14:paraId="42E19824" w14:textId="77777777" w:rsidR="00D22538" w:rsidRPr="00DE4CD2" w:rsidRDefault="00D22538" w:rsidP="00D83E17">
      <w:pPr>
        <w:ind w:left="284" w:hanging="284"/>
        <w:rPr>
          <w:rFonts w:asciiTheme="majorHAnsi" w:hAnsiTheme="majorHAnsi" w:cstheme="majorHAnsi"/>
          <w:sz w:val="22"/>
          <w:szCs w:val="22"/>
          <w:lang w:val="en-US"/>
        </w:rPr>
      </w:pPr>
    </w:p>
    <w:p w14:paraId="2CB6F370" w14:textId="57C7F2F6" w:rsidR="00D22538" w:rsidRPr="00DE4CD2" w:rsidRDefault="00D22538" w:rsidP="00D83E17">
      <w:pPr>
        <w:ind w:left="284" w:hanging="284"/>
        <w:rPr>
          <w:rFonts w:asciiTheme="majorHAnsi" w:hAnsiTheme="majorHAnsi" w:cstheme="majorHAnsi"/>
          <w:sz w:val="22"/>
          <w:szCs w:val="22"/>
          <w:lang w:val="en-US"/>
        </w:rPr>
      </w:pPr>
      <w:proofErr w:type="spellStart"/>
      <w:r w:rsidRPr="00DE4CD2">
        <w:rPr>
          <w:rFonts w:asciiTheme="majorHAnsi" w:hAnsiTheme="majorHAnsi" w:cstheme="majorHAnsi"/>
          <w:sz w:val="22"/>
          <w:szCs w:val="22"/>
          <w:lang w:val="en-US"/>
        </w:rPr>
        <w:t>Català-Oltra</w:t>
      </w:r>
      <w:proofErr w:type="spellEnd"/>
      <w:r w:rsidRPr="00DE4CD2">
        <w:rPr>
          <w:rFonts w:asciiTheme="majorHAnsi" w:hAnsiTheme="majorHAnsi" w:cstheme="majorHAnsi"/>
          <w:sz w:val="22"/>
          <w:szCs w:val="22"/>
          <w:lang w:val="en-US"/>
        </w:rPr>
        <w:t xml:space="preserve">, L., Martínez-Gras, R., </w:t>
      </w:r>
      <w:proofErr w:type="spellStart"/>
      <w:r w:rsidRPr="00DE4CD2">
        <w:rPr>
          <w:rFonts w:asciiTheme="majorHAnsi" w:hAnsiTheme="majorHAnsi" w:cstheme="majorHAnsi"/>
          <w:sz w:val="22"/>
          <w:szCs w:val="22"/>
          <w:lang w:val="en-US"/>
        </w:rPr>
        <w:t>Penalva</w:t>
      </w:r>
      <w:proofErr w:type="spellEnd"/>
      <w:r w:rsidRPr="00DE4CD2">
        <w:rPr>
          <w:rFonts w:asciiTheme="majorHAnsi" w:hAnsiTheme="majorHAnsi" w:cstheme="majorHAnsi"/>
          <w:sz w:val="22"/>
          <w:szCs w:val="22"/>
          <w:lang w:val="en-US"/>
        </w:rPr>
        <w:t>-Verdú, C., 2023. The Use of Languages in Digital Communication at European‎ Universities in Multilingual Settings. International Journal of Society, Culture &amp; Language 11, 1-15.</w:t>
      </w:r>
    </w:p>
    <w:p w14:paraId="10FE7F47" w14:textId="77777777" w:rsidR="00D22538" w:rsidRPr="00DE4CD2" w:rsidRDefault="00D22538" w:rsidP="00D83E17">
      <w:pPr>
        <w:ind w:left="284" w:hanging="284"/>
        <w:rPr>
          <w:rFonts w:asciiTheme="majorHAnsi" w:hAnsiTheme="majorHAnsi" w:cstheme="majorHAnsi"/>
          <w:sz w:val="22"/>
          <w:szCs w:val="22"/>
          <w:lang w:val="en-US"/>
        </w:rPr>
      </w:pPr>
    </w:p>
    <w:p w14:paraId="64FDCB69" w14:textId="77777777" w:rsidR="00065EEA" w:rsidRPr="00DE4CD2" w:rsidRDefault="00065EEA"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en-US"/>
        </w:rPr>
        <w:t xml:space="preserve">Coad, A., </w:t>
      </w:r>
      <w:proofErr w:type="spellStart"/>
      <w:r w:rsidRPr="00DE4CD2">
        <w:rPr>
          <w:rFonts w:asciiTheme="majorHAnsi" w:hAnsiTheme="majorHAnsi" w:cstheme="majorHAnsi"/>
          <w:sz w:val="22"/>
          <w:szCs w:val="22"/>
          <w:lang w:val="en-US"/>
        </w:rPr>
        <w:t>Daunfeldt</w:t>
      </w:r>
      <w:proofErr w:type="spellEnd"/>
      <w:r w:rsidRPr="00DE4CD2">
        <w:rPr>
          <w:rFonts w:asciiTheme="majorHAnsi" w:hAnsiTheme="majorHAnsi" w:cstheme="majorHAnsi"/>
          <w:sz w:val="22"/>
          <w:szCs w:val="22"/>
          <w:lang w:val="en-US"/>
        </w:rPr>
        <w:t xml:space="preserve">, S. O., </w:t>
      </w:r>
      <w:proofErr w:type="spellStart"/>
      <w:r w:rsidRPr="00DE4CD2">
        <w:rPr>
          <w:rFonts w:asciiTheme="majorHAnsi" w:hAnsiTheme="majorHAnsi" w:cstheme="majorHAnsi"/>
          <w:sz w:val="22"/>
          <w:szCs w:val="22"/>
          <w:lang w:val="en-US"/>
        </w:rPr>
        <w:t>Hölzl</w:t>
      </w:r>
      <w:proofErr w:type="spellEnd"/>
      <w:r w:rsidRPr="00DE4CD2">
        <w:rPr>
          <w:rFonts w:asciiTheme="majorHAnsi" w:hAnsiTheme="majorHAnsi" w:cstheme="majorHAnsi"/>
          <w:sz w:val="22"/>
          <w:szCs w:val="22"/>
          <w:lang w:val="en-US"/>
        </w:rPr>
        <w:t>, W., Johansson, D., &amp; Nightingale, P. (2014). High-growth firms: introduction to the special section. Industrial and corporate change, 23(1), 91-112.</w:t>
      </w:r>
    </w:p>
    <w:p w14:paraId="2396A327" w14:textId="77777777" w:rsidR="00065EEA" w:rsidRPr="00DE4CD2" w:rsidRDefault="00065EEA" w:rsidP="00D83E17">
      <w:pPr>
        <w:ind w:left="284" w:hanging="284"/>
        <w:rPr>
          <w:rFonts w:asciiTheme="majorHAnsi" w:hAnsiTheme="majorHAnsi" w:cstheme="majorHAnsi"/>
          <w:sz w:val="22"/>
          <w:szCs w:val="22"/>
          <w:lang w:val="en-US"/>
        </w:rPr>
      </w:pPr>
    </w:p>
    <w:p w14:paraId="4E32214B" w14:textId="3F1A3B67" w:rsidR="00D83E17" w:rsidRPr="00DE4CD2" w:rsidRDefault="00D83E17"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en-US"/>
        </w:rPr>
        <w:t>Colombo, M. G., Guerini, M., &amp; Tenca, F. (2021). Policy Brief, Issue 7/</w:t>
      </w:r>
      <w:proofErr w:type="spellStart"/>
      <w:r w:rsidRPr="00DE4CD2">
        <w:rPr>
          <w:rFonts w:asciiTheme="majorHAnsi" w:hAnsiTheme="majorHAnsi" w:cstheme="majorHAnsi"/>
          <w:sz w:val="22"/>
          <w:szCs w:val="22"/>
          <w:lang w:val="en-US"/>
        </w:rPr>
        <w:t>Democratising</w:t>
      </w:r>
      <w:proofErr w:type="spellEnd"/>
      <w:r w:rsidRPr="00DE4CD2">
        <w:rPr>
          <w:rFonts w:asciiTheme="majorHAnsi" w:hAnsiTheme="majorHAnsi" w:cstheme="majorHAnsi"/>
          <w:sz w:val="22"/>
          <w:szCs w:val="22"/>
          <w:lang w:val="en-US"/>
        </w:rPr>
        <w:t xml:space="preserve"> access to smart money in EU: evidence from the VICO dataset. Available at: https://doi.org/10.5281/zenodo.4697328.</w:t>
      </w:r>
    </w:p>
    <w:p w14:paraId="6C98DB19" w14:textId="77777777" w:rsidR="00D83E17" w:rsidRPr="00DE4CD2" w:rsidRDefault="00D83E17" w:rsidP="00D83E17">
      <w:pPr>
        <w:ind w:left="284" w:hanging="284"/>
        <w:rPr>
          <w:rFonts w:asciiTheme="majorHAnsi" w:hAnsiTheme="majorHAnsi" w:cstheme="majorHAnsi"/>
          <w:sz w:val="22"/>
          <w:szCs w:val="22"/>
          <w:lang w:val="en-US"/>
        </w:rPr>
      </w:pPr>
    </w:p>
    <w:p w14:paraId="74341595" w14:textId="755F85B1" w:rsidR="00D83E17" w:rsidRPr="00DE4CD2" w:rsidRDefault="00D83E17"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en-US"/>
        </w:rPr>
        <w:t xml:space="preserve">Colombo, M.G., Guerini, M., </w:t>
      </w:r>
      <w:proofErr w:type="spellStart"/>
      <w:r w:rsidRPr="00DE4CD2">
        <w:rPr>
          <w:rFonts w:asciiTheme="majorHAnsi" w:hAnsiTheme="majorHAnsi" w:cstheme="majorHAnsi"/>
          <w:sz w:val="22"/>
          <w:szCs w:val="22"/>
          <w:lang w:val="en-US"/>
        </w:rPr>
        <w:t>Hoisl</w:t>
      </w:r>
      <w:proofErr w:type="spellEnd"/>
      <w:r w:rsidRPr="00DE4CD2">
        <w:rPr>
          <w:rFonts w:asciiTheme="majorHAnsi" w:hAnsiTheme="majorHAnsi" w:cstheme="majorHAnsi"/>
          <w:sz w:val="22"/>
          <w:szCs w:val="22"/>
          <w:lang w:val="en-US"/>
        </w:rPr>
        <w:t xml:space="preserve">, K. &amp; </w:t>
      </w:r>
      <w:proofErr w:type="spellStart"/>
      <w:r w:rsidRPr="00DE4CD2">
        <w:rPr>
          <w:rFonts w:asciiTheme="majorHAnsi" w:hAnsiTheme="majorHAnsi" w:cstheme="majorHAnsi"/>
          <w:sz w:val="22"/>
          <w:szCs w:val="22"/>
          <w:lang w:val="en-US"/>
        </w:rPr>
        <w:t>Zeiner</w:t>
      </w:r>
      <w:proofErr w:type="spellEnd"/>
      <w:r w:rsidRPr="00DE4CD2">
        <w:rPr>
          <w:rFonts w:asciiTheme="majorHAnsi" w:hAnsiTheme="majorHAnsi" w:cstheme="majorHAnsi"/>
          <w:sz w:val="22"/>
          <w:szCs w:val="22"/>
          <w:lang w:val="en-US"/>
        </w:rPr>
        <w:t>, N. (2023). The Dark Side of Signals: Patents Protecting Radical Inventions and Venture Capital Investments. Research Policy, 52(5), 104741. Available at: https://doi.org/10.1016/j.respol.2023.104741</w:t>
      </w:r>
    </w:p>
    <w:p w14:paraId="6CAE4A26" w14:textId="77777777" w:rsidR="00D83E17" w:rsidRPr="00DE4CD2" w:rsidRDefault="00D83E17" w:rsidP="00D83E17">
      <w:pPr>
        <w:ind w:left="284" w:hanging="284"/>
        <w:rPr>
          <w:rFonts w:asciiTheme="majorHAnsi" w:hAnsiTheme="majorHAnsi" w:cstheme="majorHAnsi"/>
          <w:sz w:val="22"/>
          <w:szCs w:val="22"/>
          <w:lang w:val="en-US"/>
        </w:rPr>
      </w:pPr>
    </w:p>
    <w:p w14:paraId="0D2CDF15" w14:textId="60566003" w:rsidR="00D83E17" w:rsidRPr="00DE4CD2" w:rsidRDefault="00D83E17"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en-US"/>
        </w:rPr>
        <w:t>Colombo, M.G. &amp; Montanaro, B. (2023). Signal sequences: Venture Capital, IPO and Startup Valuation at Acquisitions. Working paper. Available at: https://doi.org/10.5281/zenodo.3919140.</w:t>
      </w:r>
    </w:p>
    <w:p w14:paraId="039E05EF" w14:textId="77777777" w:rsidR="00D83E17" w:rsidRPr="00DE4CD2" w:rsidRDefault="00D83E17" w:rsidP="00D83E17">
      <w:pPr>
        <w:ind w:left="284" w:hanging="284"/>
        <w:rPr>
          <w:rFonts w:asciiTheme="majorHAnsi" w:hAnsiTheme="majorHAnsi" w:cstheme="majorHAnsi"/>
          <w:sz w:val="22"/>
          <w:szCs w:val="22"/>
          <w:lang w:val="en-US"/>
        </w:rPr>
      </w:pPr>
    </w:p>
    <w:p w14:paraId="0D76D61D" w14:textId="387F3842" w:rsidR="00D83E17" w:rsidRPr="00DE4CD2" w:rsidRDefault="00D83E17"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en-US"/>
        </w:rPr>
        <w:t xml:space="preserve">Colombo, M.G., Montanaro, B. &amp; </w:t>
      </w:r>
      <w:proofErr w:type="spellStart"/>
      <w:r w:rsidRPr="00DE4CD2">
        <w:rPr>
          <w:rFonts w:asciiTheme="majorHAnsi" w:hAnsiTheme="majorHAnsi" w:cstheme="majorHAnsi"/>
          <w:sz w:val="22"/>
          <w:szCs w:val="22"/>
          <w:lang w:val="en-US"/>
        </w:rPr>
        <w:t>Shafi</w:t>
      </w:r>
      <w:proofErr w:type="spellEnd"/>
      <w:r w:rsidRPr="00DE4CD2">
        <w:rPr>
          <w:rFonts w:asciiTheme="majorHAnsi" w:hAnsiTheme="majorHAnsi" w:cstheme="majorHAnsi"/>
          <w:sz w:val="22"/>
          <w:szCs w:val="22"/>
          <w:lang w:val="en-US"/>
        </w:rPr>
        <w:t>, K. (2023). Dancing with strangers? Initial trust and the formation of initial ties between new ventures and corporate venture capitalists. Working paper</w:t>
      </w:r>
    </w:p>
    <w:p w14:paraId="7121CB40" w14:textId="77777777" w:rsidR="00D83E17" w:rsidRPr="00DE4CD2" w:rsidRDefault="00D83E17" w:rsidP="00D83E17">
      <w:pPr>
        <w:ind w:left="284" w:hanging="284"/>
        <w:rPr>
          <w:rFonts w:asciiTheme="majorHAnsi" w:hAnsiTheme="majorHAnsi" w:cstheme="majorHAnsi"/>
          <w:sz w:val="22"/>
          <w:szCs w:val="22"/>
          <w:lang w:val="en-US"/>
        </w:rPr>
      </w:pPr>
    </w:p>
    <w:p w14:paraId="2300D3D4" w14:textId="2072D9FF" w:rsidR="00D83E17" w:rsidRPr="00DE4CD2" w:rsidRDefault="00D83E17" w:rsidP="00D83E17">
      <w:pPr>
        <w:ind w:left="284" w:hanging="284"/>
        <w:rPr>
          <w:rFonts w:asciiTheme="majorHAnsi" w:hAnsiTheme="majorHAnsi" w:cstheme="majorHAnsi"/>
          <w:sz w:val="22"/>
          <w:szCs w:val="22"/>
          <w:lang w:val="en-US"/>
        </w:rPr>
      </w:pPr>
      <w:proofErr w:type="spellStart"/>
      <w:r w:rsidRPr="00DE4CD2">
        <w:rPr>
          <w:rFonts w:asciiTheme="majorHAnsi" w:hAnsiTheme="majorHAnsi" w:cstheme="majorHAnsi"/>
          <w:sz w:val="22"/>
          <w:szCs w:val="22"/>
          <w:lang w:val="en-US"/>
        </w:rPr>
        <w:t>Criscuolo</w:t>
      </w:r>
      <w:proofErr w:type="spellEnd"/>
      <w:r w:rsidRPr="00DE4CD2">
        <w:rPr>
          <w:rFonts w:asciiTheme="majorHAnsi" w:hAnsiTheme="majorHAnsi" w:cstheme="majorHAnsi"/>
          <w:sz w:val="22"/>
          <w:szCs w:val="22"/>
          <w:lang w:val="en-US"/>
        </w:rPr>
        <w:t>, C., Gal, P.N., &amp; Menon, C. (2014). The Dynamics of Employment Growth: New Evidence from 18 Countries. OECD Science, Technology and Industry Policy Papers, n. 14, OECD, Paris.</w:t>
      </w:r>
    </w:p>
    <w:p w14:paraId="396CDD4E" w14:textId="77777777" w:rsidR="00D83E17" w:rsidRPr="00DE4CD2" w:rsidRDefault="00D83E17" w:rsidP="00D83E17">
      <w:pPr>
        <w:ind w:left="284" w:hanging="284"/>
        <w:rPr>
          <w:rFonts w:asciiTheme="majorHAnsi" w:hAnsiTheme="majorHAnsi" w:cstheme="majorHAnsi"/>
          <w:sz w:val="22"/>
          <w:szCs w:val="22"/>
          <w:lang w:val="en-US"/>
        </w:rPr>
      </w:pPr>
    </w:p>
    <w:p w14:paraId="01A5EB54" w14:textId="0E3C4698" w:rsidR="00D22538" w:rsidRPr="00DE4CD2" w:rsidRDefault="00D22538"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en-US"/>
        </w:rPr>
        <w:t xml:space="preserve">Crosier, D., Birch, P., </w:t>
      </w:r>
      <w:proofErr w:type="spellStart"/>
      <w:r w:rsidRPr="00DE4CD2">
        <w:rPr>
          <w:rFonts w:asciiTheme="majorHAnsi" w:hAnsiTheme="majorHAnsi" w:cstheme="majorHAnsi"/>
          <w:sz w:val="22"/>
          <w:szCs w:val="22"/>
          <w:lang w:val="en-US"/>
        </w:rPr>
        <w:t>Davydovskaia</w:t>
      </w:r>
      <w:proofErr w:type="spellEnd"/>
      <w:r w:rsidRPr="00DE4CD2">
        <w:rPr>
          <w:rFonts w:asciiTheme="majorHAnsi" w:hAnsiTheme="majorHAnsi" w:cstheme="majorHAnsi"/>
          <w:sz w:val="22"/>
          <w:szCs w:val="22"/>
          <w:lang w:val="en-US"/>
        </w:rPr>
        <w:t xml:space="preserve">, O., </w:t>
      </w:r>
      <w:proofErr w:type="spellStart"/>
      <w:r w:rsidRPr="00DE4CD2">
        <w:rPr>
          <w:rFonts w:asciiTheme="majorHAnsi" w:hAnsiTheme="majorHAnsi" w:cstheme="majorHAnsi"/>
          <w:sz w:val="22"/>
          <w:szCs w:val="22"/>
          <w:lang w:val="en-US"/>
        </w:rPr>
        <w:t>Kocanova</w:t>
      </w:r>
      <w:proofErr w:type="spellEnd"/>
      <w:r w:rsidRPr="00DE4CD2">
        <w:rPr>
          <w:rFonts w:asciiTheme="majorHAnsi" w:hAnsiTheme="majorHAnsi" w:cstheme="majorHAnsi"/>
          <w:sz w:val="22"/>
          <w:szCs w:val="22"/>
          <w:lang w:val="en-US"/>
        </w:rPr>
        <w:t xml:space="preserve">, D., </w:t>
      </w:r>
      <w:proofErr w:type="spellStart"/>
      <w:r w:rsidRPr="00DE4CD2">
        <w:rPr>
          <w:rFonts w:asciiTheme="majorHAnsi" w:hAnsiTheme="majorHAnsi" w:cstheme="majorHAnsi"/>
          <w:sz w:val="22"/>
          <w:szCs w:val="22"/>
          <w:lang w:val="en-US"/>
        </w:rPr>
        <w:t>Parveva</w:t>
      </w:r>
      <w:proofErr w:type="spellEnd"/>
      <w:r w:rsidRPr="00DE4CD2">
        <w:rPr>
          <w:rFonts w:asciiTheme="majorHAnsi" w:hAnsiTheme="majorHAnsi" w:cstheme="majorHAnsi"/>
          <w:sz w:val="22"/>
          <w:szCs w:val="22"/>
          <w:lang w:val="en-US"/>
        </w:rPr>
        <w:t xml:space="preserve">, T., 2017. </w:t>
      </w:r>
      <w:proofErr w:type="spellStart"/>
      <w:r w:rsidRPr="00DE4CD2">
        <w:rPr>
          <w:rFonts w:asciiTheme="majorHAnsi" w:hAnsiTheme="majorHAnsi" w:cstheme="majorHAnsi"/>
          <w:sz w:val="22"/>
          <w:szCs w:val="22"/>
          <w:lang w:val="en-US"/>
        </w:rPr>
        <w:t>Modernisation</w:t>
      </w:r>
      <w:proofErr w:type="spellEnd"/>
      <w:r w:rsidRPr="00DE4CD2">
        <w:rPr>
          <w:rFonts w:asciiTheme="majorHAnsi" w:hAnsiTheme="majorHAnsi" w:cstheme="majorHAnsi"/>
          <w:sz w:val="22"/>
          <w:szCs w:val="22"/>
          <w:lang w:val="en-US"/>
        </w:rPr>
        <w:t xml:space="preserve"> of Higher Education in Europe: Academic Staff--2017. Eurydice Report. Education, Audiovisual and Culture Executive Agency, European Commission </w:t>
      </w:r>
    </w:p>
    <w:p w14:paraId="697A536C" w14:textId="77777777" w:rsidR="00D22538" w:rsidRPr="00DE4CD2" w:rsidRDefault="00D22538" w:rsidP="00D83E17">
      <w:pPr>
        <w:ind w:left="284" w:hanging="284"/>
        <w:rPr>
          <w:rFonts w:asciiTheme="majorHAnsi" w:hAnsiTheme="majorHAnsi" w:cstheme="majorHAnsi"/>
          <w:sz w:val="22"/>
          <w:szCs w:val="22"/>
          <w:lang w:val="en-US"/>
        </w:rPr>
      </w:pPr>
    </w:p>
    <w:p w14:paraId="76CF6AAC" w14:textId="77777777" w:rsidR="00D83E17" w:rsidRPr="00DE4CD2" w:rsidRDefault="00D83E17" w:rsidP="00D83E17">
      <w:pPr>
        <w:ind w:left="284" w:hanging="284"/>
        <w:rPr>
          <w:rFonts w:asciiTheme="majorHAnsi" w:hAnsiTheme="majorHAnsi" w:cstheme="majorHAnsi"/>
          <w:sz w:val="22"/>
          <w:szCs w:val="22"/>
          <w:lang w:val="en-US"/>
        </w:rPr>
      </w:pPr>
      <w:proofErr w:type="spellStart"/>
      <w:r w:rsidRPr="00DE4CD2">
        <w:rPr>
          <w:rFonts w:asciiTheme="majorHAnsi" w:hAnsiTheme="majorHAnsi" w:cstheme="majorHAnsi"/>
          <w:sz w:val="22"/>
          <w:szCs w:val="22"/>
          <w:lang w:val="en-US"/>
        </w:rPr>
        <w:t>D’Adda</w:t>
      </w:r>
      <w:proofErr w:type="spellEnd"/>
      <w:r w:rsidRPr="00DE4CD2">
        <w:rPr>
          <w:rFonts w:asciiTheme="majorHAnsi" w:hAnsiTheme="majorHAnsi" w:cstheme="majorHAnsi"/>
          <w:sz w:val="22"/>
          <w:szCs w:val="22"/>
          <w:lang w:val="en-US"/>
        </w:rPr>
        <w:t xml:space="preserve">, D., Guerini, M. &amp; </w:t>
      </w:r>
      <w:proofErr w:type="spellStart"/>
      <w:r w:rsidRPr="00DE4CD2">
        <w:rPr>
          <w:rFonts w:asciiTheme="majorHAnsi" w:hAnsiTheme="majorHAnsi" w:cstheme="majorHAnsi"/>
          <w:sz w:val="22"/>
          <w:szCs w:val="22"/>
          <w:lang w:val="en-US"/>
        </w:rPr>
        <w:t>Quas</w:t>
      </w:r>
      <w:proofErr w:type="spellEnd"/>
      <w:r w:rsidRPr="00DE4CD2">
        <w:rPr>
          <w:rFonts w:asciiTheme="majorHAnsi" w:hAnsiTheme="majorHAnsi" w:cstheme="majorHAnsi"/>
          <w:sz w:val="22"/>
          <w:szCs w:val="22"/>
          <w:lang w:val="en-US"/>
        </w:rPr>
        <w:t xml:space="preserve">, A. (2020). Distant friends and close enemies: Sub-national cultural distance and Venture Capital investments. Working paper. Available at: https://doi.org/10.5281/zenodo.3906330.  </w:t>
      </w:r>
    </w:p>
    <w:p w14:paraId="736EA57C" w14:textId="77777777" w:rsidR="00D83E17" w:rsidRPr="00DE4CD2" w:rsidRDefault="00D83E17" w:rsidP="00D83E17">
      <w:pPr>
        <w:ind w:left="284" w:hanging="284"/>
        <w:rPr>
          <w:rFonts w:asciiTheme="majorHAnsi" w:hAnsiTheme="majorHAnsi" w:cstheme="majorHAnsi"/>
          <w:sz w:val="22"/>
          <w:szCs w:val="22"/>
          <w:lang w:val="en-US"/>
        </w:rPr>
      </w:pPr>
    </w:p>
    <w:p w14:paraId="3AEA9999" w14:textId="77899038" w:rsidR="00D22538" w:rsidRPr="00DE4CD2" w:rsidRDefault="00D22538"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en-US"/>
        </w:rPr>
        <w:t xml:space="preserve">Daraio, C., Bonaccorsi, A., </w:t>
      </w:r>
      <w:proofErr w:type="spellStart"/>
      <w:r w:rsidRPr="00DE4CD2">
        <w:rPr>
          <w:rFonts w:asciiTheme="majorHAnsi" w:hAnsiTheme="majorHAnsi" w:cstheme="majorHAnsi"/>
          <w:sz w:val="22"/>
          <w:szCs w:val="22"/>
          <w:lang w:val="en-US"/>
        </w:rPr>
        <w:t>Geuna</w:t>
      </w:r>
      <w:proofErr w:type="spellEnd"/>
      <w:r w:rsidRPr="00DE4CD2">
        <w:rPr>
          <w:rFonts w:asciiTheme="majorHAnsi" w:hAnsiTheme="majorHAnsi" w:cstheme="majorHAnsi"/>
          <w:sz w:val="22"/>
          <w:szCs w:val="22"/>
          <w:lang w:val="en-US"/>
        </w:rPr>
        <w:t xml:space="preserve">, A., Lepori, B., Bach, L., </w:t>
      </w:r>
      <w:proofErr w:type="spellStart"/>
      <w:r w:rsidRPr="00DE4CD2">
        <w:rPr>
          <w:rFonts w:asciiTheme="majorHAnsi" w:hAnsiTheme="majorHAnsi" w:cstheme="majorHAnsi"/>
          <w:sz w:val="22"/>
          <w:szCs w:val="22"/>
          <w:lang w:val="en-US"/>
        </w:rPr>
        <w:t>Bogetoft</w:t>
      </w:r>
      <w:proofErr w:type="spellEnd"/>
      <w:r w:rsidRPr="00DE4CD2">
        <w:rPr>
          <w:rFonts w:asciiTheme="majorHAnsi" w:hAnsiTheme="majorHAnsi" w:cstheme="majorHAnsi"/>
          <w:sz w:val="22"/>
          <w:szCs w:val="22"/>
          <w:lang w:val="en-US"/>
        </w:rPr>
        <w:t xml:space="preserve">, P., Cardoso, M.F., Castro-Martinez, E., </w:t>
      </w:r>
      <w:proofErr w:type="spellStart"/>
      <w:r w:rsidRPr="00DE4CD2">
        <w:rPr>
          <w:rFonts w:asciiTheme="majorHAnsi" w:hAnsiTheme="majorHAnsi" w:cstheme="majorHAnsi"/>
          <w:sz w:val="22"/>
          <w:szCs w:val="22"/>
          <w:lang w:val="en-US"/>
        </w:rPr>
        <w:t>Crespi</w:t>
      </w:r>
      <w:proofErr w:type="spellEnd"/>
      <w:r w:rsidRPr="00DE4CD2">
        <w:rPr>
          <w:rFonts w:asciiTheme="majorHAnsi" w:hAnsiTheme="majorHAnsi" w:cstheme="majorHAnsi"/>
          <w:sz w:val="22"/>
          <w:szCs w:val="22"/>
          <w:lang w:val="en-US"/>
        </w:rPr>
        <w:t xml:space="preserve">, G., Lucio, </w:t>
      </w:r>
      <w:proofErr w:type="spellStart"/>
      <w:r w:rsidRPr="00DE4CD2">
        <w:rPr>
          <w:rFonts w:asciiTheme="majorHAnsi" w:hAnsiTheme="majorHAnsi" w:cstheme="majorHAnsi"/>
          <w:sz w:val="22"/>
          <w:szCs w:val="22"/>
          <w:lang w:val="en-US"/>
        </w:rPr>
        <w:t>I.F.d</w:t>
      </w:r>
      <w:proofErr w:type="spellEnd"/>
      <w:r w:rsidRPr="00DE4CD2">
        <w:rPr>
          <w:rFonts w:asciiTheme="majorHAnsi" w:hAnsiTheme="majorHAnsi" w:cstheme="majorHAnsi"/>
          <w:sz w:val="22"/>
          <w:szCs w:val="22"/>
          <w:lang w:val="en-US"/>
        </w:rPr>
        <w:t>., Fried, H., Garcia-</w:t>
      </w:r>
      <w:proofErr w:type="spellStart"/>
      <w:r w:rsidRPr="00DE4CD2">
        <w:rPr>
          <w:rFonts w:asciiTheme="majorHAnsi" w:hAnsiTheme="majorHAnsi" w:cstheme="majorHAnsi"/>
          <w:sz w:val="22"/>
          <w:szCs w:val="22"/>
          <w:lang w:val="en-US"/>
        </w:rPr>
        <w:t>Aracil</w:t>
      </w:r>
      <w:proofErr w:type="spellEnd"/>
      <w:r w:rsidRPr="00DE4CD2">
        <w:rPr>
          <w:rFonts w:asciiTheme="majorHAnsi" w:hAnsiTheme="majorHAnsi" w:cstheme="majorHAnsi"/>
          <w:sz w:val="22"/>
          <w:szCs w:val="22"/>
          <w:lang w:val="en-US"/>
        </w:rPr>
        <w:t xml:space="preserve">, A., </w:t>
      </w:r>
      <w:proofErr w:type="spellStart"/>
      <w:r w:rsidRPr="00DE4CD2">
        <w:rPr>
          <w:rFonts w:asciiTheme="majorHAnsi" w:hAnsiTheme="majorHAnsi" w:cstheme="majorHAnsi"/>
          <w:sz w:val="22"/>
          <w:szCs w:val="22"/>
          <w:lang w:val="en-US"/>
        </w:rPr>
        <w:t>Inzelt</w:t>
      </w:r>
      <w:proofErr w:type="spellEnd"/>
      <w:r w:rsidRPr="00DE4CD2">
        <w:rPr>
          <w:rFonts w:asciiTheme="majorHAnsi" w:hAnsiTheme="majorHAnsi" w:cstheme="majorHAnsi"/>
          <w:sz w:val="22"/>
          <w:szCs w:val="22"/>
          <w:lang w:val="en-US"/>
        </w:rPr>
        <w:t xml:space="preserve">, A., Jongbloed, B., </w:t>
      </w:r>
      <w:proofErr w:type="spellStart"/>
      <w:r w:rsidRPr="00DE4CD2">
        <w:rPr>
          <w:rFonts w:asciiTheme="majorHAnsi" w:hAnsiTheme="majorHAnsi" w:cstheme="majorHAnsi"/>
          <w:sz w:val="22"/>
          <w:szCs w:val="22"/>
          <w:lang w:val="en-US"/>
        </w:rPr>
        <w:t>Kempkes</w:t>
      </w:r>
      <w:proofErr w:type="spellEnd"/>
      <w:r w:rsidRPr="00DE4CD2">
        <w:rPr>
          <w:rFonts w:asciiTheme="majorHAnsi" w:hAnsiTheme="majorHAnsi" w:cstheme="majorHAnsi"/>
          <w:sz w:val="22"/>
          <w:szCs w:val="22"/>
          <w:lang w:val="en-US"/>
        </w:rPr>
        <w:t xml:space="preserve">, G., </w:t>
      </w:r>
      <w:proofErr w:type="spellStart"/>
      <w:r w:rsidRPr="00DE4CD2">
        <w:rPr>
          <w:rFonts w:asciiTheme="majorHAnsi" w:hAnsiTheme="majorHAnsi" w:cstheme="majorHAnsi"/>
          <w:sz w:val="22"/>
          <w:szCs w:val="22"/>
          <w:lang w:val="en-US"/>
        </w:rPr>
        <w:t>Llerena</w:t>
      </w:r>
      <w:proofErr w:type="spellEnd"/>
      <w:r w:rsidRPr="00DE4CD2">
        <w:rPr>
          <w:rFonts w:asciiTheme="majorHAnsi" w:hAnsiTheme="majorHAnsi" w:cstheme="majorHAnsi"/>
          <w:sz w:val="22"/>
          <w:szCs w:val="22"/>
          <w:lang w:val="en-US"/>
        </w:rPr>
        <w:t xml:space="preserve">, P., Matt, M., Olivares, M., Pohl, C., </w:t>
      </w:r>
      <w:proofErr w:type="spellStart"/>
      <w:r w:rsidRPr="00DE4CD2">
        <w:rPr>
          <w:rFonts w:asciiTheme="majorHAnsi" w:hAnsiTheme="majorHAnsi" w:cstheme="majorHAnsi"/>
          <w:sz w:val="22"/>
          <w:szCs w:val="22"/>
          <w:lang w:val="en-US"/>
        </w:rPr>
        <w:t>Raty</w:t>
      </w:r>
      <w:proofErr w:type="spellEnd"/>
      <w:r w:rsidRPr="00DE4CD2">
        <w:rPr>
          <w:rFonts w:asciiTheme="majorHAnsi" w:hAnsiTheme="majorHAnsi" w:cstheme="majorHAnsi"/>
          <w:sz w:val="22"/>
          <w:szCs w:val="22"/>
          <w:lang w:val="en-US"/>
        </w:rPr>
        <w:t xml:space="preserve">, T., Rosa, M.J., </w:t>
      </w:r>
      <w:proofErr w:type="spellStart"/>
      <w:r w:rsidRPr="00DE4CD2">
        <w:rPr>
          <w:rFonts w:asciiTheme="majorHAnsi" w:hAnsiTheme="majorHAnsi" w:cstheme="majorHAnsi"/>
          <w:sz w:val="22"/>
          <w:szCs w:val="22"/>
          <w:lang w:val="en-US"/>
        </w:rPr>
        <w:t>Sarrico</w:t>
      </w:r>
      <w:proofErr w:type="spellEnd"/>
      <w:r w:rsidRPr="00DE4CD2">
        <w:rPr>
          <w:rFonts w:asciiTheme="majorHAnsi" w:hAnsiTheme="majorHAnsi" w:cstheme="majorHAnsi"/>
          <w:sz w:val="22"/>
          <w:szCs w:val="22"/>
          <w:lang w:val="en-US"/>
        </w:rPr>
        <w:t xml:space="preserve">, C.S., Simar, L., </w:t>
      </w:r>
      <w:proofErr w:type="spellStart"/>
      <w:r w:rsidRPr="00DE4CD2">
        <w:rPr>
          <w:rFonts w:asciiTheme="majorHAnsi" w:hAnsiTheme="majorHAnsi" w:cstheme="majorHAnsi"/>
          <w:sz w:val="22"/>
          <w:szCs w:val="22"/>
          <w:lang w:val="en-US"/>
        </w:rPr>
        <w:t>Slipersaeter</w:t>
      </w:r>
      <w:proofErr w:type="spellEnd"/>
      <w:r w:rsidRPr="00DE4CD2">
        <w:rPr>
          <w:rFonts w:asciiTheme="majorHAnsi" w:hAnsiTheme="majorHAnsi" w:cstheme="majorHAnsi"/>
          <w:sz w:val="22"/>
          <w:szCs w:val="22"/>
          <w:lang w:val="en-US"/>
        </w:rPr>
        <w:t xml:space="preserve">, S., Teixeira, P.N., Van den </w:t>
      </w:r>
      <w:proofErr w:type="spellStart"/>
      <w:r w:rsidRPr="00DE4CD2">
        <w:rPr>
          <w:rFonts w:asciiTheme="majorHAnsi" w:hAnsiTheme="majorHAnsi" w:cstheme="majorHAnsi"/>
          <w:sz w:val="22"/>
          <w:szCs w:val="22"/>
          <w:lang w:val="en-US"/>
        </w:rPr>
        <w:t>Eeckaut</w:t>
      </w:r>
      <w:proofErr w:type="spellEnd"/>
      <w:r w:rsidRPr="00DE4CD2">
        <w:rPr>
          <w:rFonts w:asciiTheme="majorHAnsi" w:hAnsiTheme="majorHAnsi" w:cstheme="majorHAnsi"/>
          <w:sz w:val="22"/>
          <w:szCs w:val="22"/>
          <w:lang w:val="en-US"/>
        </w:rPr>
        <w:t>, P., 2011. The European university landscape. Research policy 40, 148-164.</w:t>
      </w:r>
    </w:p>
    <w:p w14:paraId="31CA59FA" w14:textId="77777777" w:rsidR="00D22538" w:rsidRPr="00DE4CD2" w:rsidRDefault="00D22538" w:rsidP="00D83E17">
      <w:pPr>
        <w:ind w:left="284" w:hanging="284"/>
        <w:rPr>
          <w:rFonts w:asciiTheme="majorHAnsi" w:hAnsiTheme="majorHAnsi" w:cstheme="majorHAnsi"/>
          <w:sz w:val="22"/>
          <w:szCs w:val="22"/>
          <w:lang w:val="en-US"/>
        </w:rPr>
      </w:pPr>
    </w:p>
    <w:p w14:paraId="04BE7D11" w14:textId="2E37E7F4" w:rsidR="00FF0DED" w:rsidRPr="00DE4CD2" w:rsidRDefault="00FF0DED" w:rsidP="00D83E17">
      <w:pPr>
        <w:ind w:left="284" w:hanging="284"/>
        <w:rPr>
          <w:rFonts w:asciiTheme="majorHAnsi" w:hAnsiTheme="majorHAnsi" w:cstheme="majorHAnsi"/>
          <w:sz w:val="22"/>
          <w:szCs w:val="22"/>
          <w:lang w:val="en-US"/>
        </w:rPr>
      </w:pPr>
      <w:proofErr w:type="spellStart"/>
      <w:r w:rsidRPr="00DE4CD2">
        <w:rPr>
          <w:rFonts w:asciiTheme="majorHAnsi" w:hAnsiTheme="majorHAnsi" w:cstheme="majorHAnsi"/>
          <w:sz w:val="22"/>
          <w:szCs w:val="22"/>
          <w:lang w:val="en-US"/>
        </w:rPr>
        <w:t>deGrazia</w:t>
      </w:r>
      <w:proofErr w:type="spellEnd"/>
      <w:r w:rsidRPr="00DE4CD2">
        <w:rPr>
          <w:rFonts w:asciiTheme="majorHAnsi" w:hAnsiTheme="majorHAnsi" w:cstheme="majorHAnsi"/>
          <w:sz w:val="22"/>
          <w:szCs w:val="22"/>
          <w:lang w:val="en-US"/>
        </w:rPr>
        <w:t>, C., Myers, A., Toole, A.A., 2020. Innovation activities and business cycles: are trademarks a leading indicator? Industry and Innovation 27 (1-2), 184–203.</w:t>
      </w:r>
    </w:p>
    <w:p w14:paraId="04A5EF4D" w14:textId="77777777" w:rsidR="00FF0DED" w:rsidRPr="00DE4CD2" w:rsidRDefault="00FF0DED" w:rsidP="00D83E17">
      <w:pPr>
        <w:ind w:left="284" w:hanging="284"/>
        <w:rPr>
          <w:rFonts w:asciiTheme="majorHAnsi" w:hAnsiTheme="majorHAnsi" w:cstheme="majorHAnsi"/>
          <w:sz w:val="22"/>
          <w:szCs w:val="22"/>
          <w:lang w:val="en-US"/>
        </w:rPr>
      </w:pPr>
    </w:p>
    <w:p w14:paraId="70D2C882" w14:textId="22E42A2F" w:rsidR="00057971" w:rsidRDefault="00057971" w:rsidP="00D83E17">
      <w:pPr>
        <w:ind w:left="284" w:hanging="284"/>
        <w:rPr>
          <w:rFonts w:asciiTheme="majorHAnsi" w:hAnsiTheme="majorHAnsi" w:cstheme="majorHAnsi"/>
          <w:sz w:val="22"/>
          <w:szCs w:val="22"/>
          <w:lang w:val="en-US"/>
        </w:rPr>
      </w:pPr>
      <w:r w:rsidRPr="00057971">
        <w:rPr>
          <w:rFonts w:asciiTheme="majorHAnsi" w:hAnsiTheme="majorHAnsi" w:cstheme="majorHAnsi"/>
          <w:sz w:val="22"/>
          <w:szCs w:val="22"/>
          <w:lang w:val="en-US"/>
        </w:rPr>
        <w:t xml:space="preserve">De </w:t>
      </w:r>
      <w:proofErr w:type="spellStart"/>
      <w:r w:rsidRPr="00057971">
        <w:rPr>
          <w:rFonts w:asciiTheme="majorHAnsi" w:hAnsiTheme="majorHAnsi" w:cstheme="majorHAnsi"/>
          <w:sz w:val="22"/>
          <w:szCs w:val="22"/>
          <w:lang w:val="en-US"/>
        </w:rPr>
        <w:t>Holanda</w:t>
      </w:r>
      <w:proofErr w:type="spellEnd"/>
      <w:r w:rsidRPr="00057971">
        <w:rPr>
          <w:rFonts w:asciiTheme="majorHAnsi" w:hAnsiTheme="majorHAnsi" w:cstheme="majorHAnsi"/>
          <w:sz w:val="22"/>
          <w:szCs w:val="22"/>
          <w:lang w:val="en-US"/>
        </w:rPr>
        <w:t xml:space="preserve"> Schmidt, Flavia; Bin, Adriana; </w:t>
      </w:r>
      <w:proofErr w:type="spellStart"/>
      <w:r w:rsidRPr="00057971">
        <w:rPr>
          <w:rFonts w:asciiTheme="majorHAnsi" w:hAnsiTheme="majorHAnsi" w:cstheme="majorHAnsi"/>
          <w:sz w:val="22"/>
          <w:szCs w:val="22"/>
          <w:lang w:val="en-US"/>
        </w:rPr>
        <w:t>Besconcello</w:t>
      </w:r>
      <w:proofErr w:type="spellEnd"/>
      <w:r w:rsidRPr="00057971">
        <w:rPr>
          <w:rFonts w:asciiTheme="majorHAnsi" w:hAnsiTheme="majorHAnsi" w:cstheme="majorHAnsi"/>
          <w:sz w:val="22"/>
          <w:szCs w:val="22"/>
          <w:lang w:val="en-US"/>
        </w:rPr>
        <w:t xml:space="preserve"> Pinheiro, Lissa &amp; De Negri, Fernanda (2022): O </w:t>
      </w:r>
      <w:proofErr w:type="spellStart"/>
      <w:r w:rsidRPr="00057971">
        <w:rPr>
          <w:rFonts w:asciiTheme="majorHAnsi" w:hAnsiTheme="majorHAnsi" w:cstheme="majorHAnsi"/>
          <w:sz w:val="22"/>
          <w:szCs w:val="22"/>
          <w:lang w:val="en-US"/>
        </w:rPr>
        <w:t>uso</w:t>
      </w:r>
      <w:proofErr w:type="spellEnd"/>
      <w:r w:rsidRPr="00057971">
        <w:rPr>
          <w:rFonts w:asciiTheme="majorHAnsi" w:hAnsiTheme="majorHAnsi" w:cstheme="majorHAnsi"/>
          <w:sz w:val="22"/>
          <w:szCs w:val="22"/>
          <w:lang w:val="en-US"/>
        </w:rPr>
        <w:t xml:space="preserve"> das </w:t>
      </w:r>
      <w:proofErr w:type="spellStart"/>
      <w:r w:rsidRPr="00057971">
        <w:rPr>
          <w:rFonts w:asciiTheme="majorHAnsi" w:hAnsiTheme="majorHAnsi" w:cstheme="majorHAnsi"/>
          <w:sz w:val="22"/>
          <w:szCs w:val="22"/>
          <w:lang w:val="en-US"/>
        </w:rPr>
        <w:t>evidências</w:t>
      </w:r>
      <w:proofErr w:type="spellEnd"/>
      <w:r w:rsidRPr="00057971">
        <w:rPr>
          <w:rFonts w:asciiTheme="majorHAnsi" w:hAnsiTheme="majorHAnsi" w:cstheme="majorHAnsi"/>
          <w:sz w:val="22"/>
          <w:szCs w:val="22"/>
          <w:lang w:val="en-US"/>
        </w:rPr>
        <w:t xml:space="preserve"> </w:t>
      </w:r>
      <w:proofErr w:type="spellStart"/>
      <w:r w:rsidRPr="00057971">
        <w:rPr>
          <w:rFonts w:asciiTheme="majorHAnsi" w:hAnsiTheme="majorHAnsi" w:cstheme="majorHAnsi"/>
          <w:sz w:val="22"/>
          <w:szCs w:val="22"/>
          <w:lang w:val="en-US"/>
        </w:rPr>
        <w:t>nas</w:t>
      </w:r>
      <w:proofErr w:type="spellEnd"/>
      <w:r w:rsidRPr="00057971">
        <w:rPr>
          <w:rFonts w:asciiTheme="majorHAnsi" w:hAnsiTheme="majorHAnsi" w:cstheme="majorHAnsi"/>
          <w:sz w:val="22"/>
          <w:szCs w:val="22"/>
          <w:lang w:val="en-US"/>
        </w:rPr>
        <w:t xml:space="preserve"> </w:t>
      </w:r>
      <w:proofErr w:type="spellStart"/>
      <w:r w:rsidRPr="00057971">
        <w:rPr>
          <w:rFonts w:asciiTheme="majorHAnsi" w:hAnsiTheme="majorHAnsi" w:cstheme="majorHAnsi"/>
          <w:sz w:val="22"/>
          <w:szCs w:val="22"/>
          <w:lang w:val="en-US"/>
        </w:rPr>
        <w:t>politicas</w:t>
      </w:r>
      <w:proofErr w:type="spellEnd"/>
      <w:r w:rsidRPr="00057971">
        <w:rPr>
          <w:rFonts w:asciiTheme="majorHAnsi" w:hAnsiTheme="majorHAnsi" w:cstheme="majorHAnsi"/>
          <w:sz w:val="22"/>
          <w:szCs w:val="22"/>
          <w:lang w:val="en-US"/>
        </w:rPr>
        <w:t xml:space="preserve"> </w:t>
      </w:r>
      <w:proofErr w:type="spellStart"/>
      <w:r w:rsidRPr="00057971">
        <w:rPr>
          <w:rFonts w:asciiTheme="majorHAnsi" w:hAnsiTheme="majorHAnsi" w:cstheme="majorHAnsi"/>
          <w:sz w:val="22"/>
          <w:szCs w:val="22"/>
          <w:lang w:val="en-US"/>
        </w:rPr>
        <w:t>brasyileiras</w:t>
      </w:r>
      <w:proofErr w:type="spellEnd"/>
      <w:r w:rsidRPr="00057971">
        <w:rPr>
          <w:rFonts w:asciiTheme="majorHAnsi" w:hAnsiTheme="majorHAnsi" w:cstheme="majorHAnsi"/>
          <w:sz w:val="22"/>
          <w:szCs w:val="22"/>
          <w:lang w:val="en-US"/>
        </w:rPr>
        <w:t xml:space="preserve"> de </w:t>
      </w:r>
      <w:proofErr w:type="spellStart"/>
      <w:r w:rsidRPr="00057971">
        <w:rPr>
          <w:rFonts w:asciiTheme="majorHAnsi" w:hAnsiTheme="majorHAnsi" w:cstheme="majorHAnsi"/>
          <w:sz w:val="22"/>
          <w:szCs w:val="22"/>
          <w:lang w:val="en-US"/>
        </w:rPr>
        <w:t>ciência</w:t>
      </w:r>
      <w:proofErr w:type="spellEnd"/>
      <w:r w:rsidRPr="00057971">
        <w:rPr>
          <w:rFonts w:asciiTheme="majorHAnsi" w:hAnsiTheme="majorHAnsi" w:cstheme="majorHAnsi"/>
          <w:sz w:val="22"/>
          <w:szCs w:val="22"/>
          <w:lang w:val="en-US"/>
        </w:rPr>
        <w:t xml:space="preserve">, </w:t>
      </w:r>
      <w:proofErr w:type="spellStart"/>
      <w:r w:rsidRPr="00057971">
        <w:rPr>
          <w:rFonts w:asciiTheme="majorHAnsi" w:hAnsiTheme="majorHAnsi" w:cstheme="majorHAnsi"/>
          <w:sz w:val="22"/>
          <w:szCs w:val="22"/>
          <w:lang w:val="en-US"/>
        </w:rPr>
        <w:t>tecnologia</w:t>
      </w:r>
      <w:proofErr w:type="spellEnd"/>
      <w:r w:rsidRPr="00057971">
        <w:rPr>
          <w:rFonts w:asciiTheme="majorHAnsi" w:hAnsiTheme="majorHAnsi" w:cstheme="majorHAnsi"/>
          <w:sz w:val="22"/>
          <w:szCs w:val="22"/>
          <w:lang w:val="en-US"/>
        </w:rPr>
        <w:t xml:space="preserve"> e </w:t>
      </w:r>
      <w:proofErr w:type="spellStart"/>
      <w:r w:rsidRPr="00057971">
        <w:rPr>
          <w:rFonts w:asciiTheme="majorHAnsi" w:hAnsiTheme="majorHAnsi" w:cstheme="majorHAnsi"/>
          <w:sz w:val="22"/>
          <w:szCs w:val="22"/>
          <w:lang w:val="en-US"/>
        </w:rPr>
        <w:t>inovação</w:t>
      </w:r>
      <w:proofErr w:type="spellEnd"/>
      <w:r w:rsidRPr="00057971">
        <w:rPr>
          <w:rFonts w:asciiTheme="majorHAnsi" w:hAnsiTheme="majorHAnsi" w:cstheme="majorHAnsi"/>
          <w:sz w:val="22"/>
          <w:szCs w:val="22"/>
          <w:lang w:val="en-US"/>
        </w:rPr>
        <w:t xml:space="preserve">. In: </w:t>
      </w:r>
      <w:proofErr w:type="spellStart"/>
      <w:r w:rsidRPr="00057971">
        <w:rPr>
          <w:rFonts w:asciiTheme="majorHAnsi" w:hAnsiTheme="majorHAnsi" w:cstheme="majorHAnsi"/>
          <w:sz w:val="22"/>
          <w:szCs w:val="22"/>
          <w:lang w:val="en-US"/>
        </w:rPr>
        <w:t>Políticas</w:t>
      </w:r>
      <w:proofErr w:type="spellEnd"/>
      <w:r w:rsidRPr="00057971">
        <w:rPr>
          <w:rFonts w:asciiTheme="majorHAnsi" w:hAnsiTheme="majorHAnsi" w:cstheme="majorHAnsi"/>
          <w:sz w:val="22"/>
          <w:szCs w:val="22"/>
          <w:lang w:val="en-US"/>
        </w:rPr>
        <w:t xml:space="preserve"> </w:t>
      </w:r>
      <w:proofErr w:type="spellStart"/>
      <w:r w:rsidRPr="00057971">
        <w:rPr>
          <w:rFonts w:asciiTheme="majorHAnsi" w:hAnsiTheme="majorHAnsi" w:cstheme="majorHAnsi"/>
          <w:sz w:val="22"/>
          <w:szCs w:val="22"/>
          <w:lang w:val="en-US"/>
        </w:rPr>
        <w:t>públicas</w:t>
      </w:r>
      <w:proofErr w:type="spellEnd"/>
      <w:r w:rsidRPr="00057971">
        <w:rPr>
          <w:rFonts w:asciiTheme="majorHAnsi" w:hAnsiTheme="majorHAnsi" w:cstheme="majorHAnsi"/>
          <w:sz w:val="22"/>
          <w:szCs w:val="22"/>
          <w:lang w:val="en-US"/>
        </w:rPr>
        <w:t xml:space="preserve"> e </w:t>
      </w:r>
      <w:proofErr w:type="spellStart"/>
      <w:r w:rsidRPr="00057971">
        <w:rPr>
          <w:rFonts w:asciiTheme="majorHAnsi" w:hAnsiTheme="majorHAnsi" w:cstheme="majorHAnsi"/>
          <w:sz w:val="22"/>
          <w:szCs w:val="22"/>
          <w:lang w:val="en-US"/>
        </w:rPr>
        <w:t>usos</w:t>
      </w:r>
      <w:proofErr w:type="spellEnd"/>
      <w:r w:rsidRPr="00057971">
        <w:rPr>
          <w:rFonts w:asciiTheme="majorHAnsi" w:hAnsiTheme="majorHAnsi" w:cstheme="majorHAnsi"/>
          <w:sz w:val="22"/>
          <w:szCs w:val="22"/>
          <w:lang w:val="en-US"/>
        </w:rPr>
        <w:t xml:space="preserve"> de </w:t>
      </w:r>
      <w:proofErr w:type="spellStart"/>
      <w:r w:rsidRPr="00057971">
        <w:rPr>
          <w:rFonts w:asciiTheme="majorHAnsi" w:hAnsiTheme="majorHAnsi" w:cstheme="majorHAnsi"/>
          <w:sz w:val="22"/>
          <w:szCs w:val="22"/>
          <w:lang w:val="en-US"/>
        </w:rPr>
        <w:t>evidências</w:t>
      </w:r>
      <w:proofErr w:type="spellEnd"/>
      <w:r w:rsidRPr="00057971">
        <w:rPr>
          <w:rFonts w:asciiTheme="majorHAnsi" w:hAnsiTheme="majorHAnsi" w:cstheme="majorHAnsi"/>
          <w:sz w:val="22"/>
          <w:szCs w:val="22"/>
          <w:lang w:val="en-US"/>
        </w:rPr>
        <w:t xml:space="preserve"> no brasil: </w:t>
      </w:r>
      <w:proofErr w:type="spellStart"/>
      <w:r w:rsidRPr="00057971">
        <w:rPr>
          <w:rFonts w:asciiTheme="majorHAnsi" w:hAnsiTheme="majorHAnsi" w:cstheme="majorHAnsi"/>
          <w:sz w:val="22"/>
          <w:szCs w:val="22"/>
          <w:lang w:val="en-US"/>
        </w:rPr>
        <w:t>Conceitos</w:t>
      </w:r>
      <w:proofErr w:type="spellEnd"/>
      <w:r w:rsidRPr="00057971">
        <w:rPr>
          <w:rFonts w:asciiTheme="majorHAnsi" w:hAnsiTheme="majorHAnsi" w:cstheme="majorHAnsi"/>
          <w:sz w:val="22"/>
          <w:szCs w:val="22"/>
          <w:lang w:val="en-US"/>
        </w:rPr>
        <w:t xml:space="preserve">, </w:t>
      </w:r>
      <w:proofErr w:type="spellStart"/>
      <w:r w:rsidRPr="00057971">
        <w:rPr>
          <w:rFonts w:asciiTheme="majorHAnsi" w:hAnsiTheme="majorHAnsi" w:cstheme="majorHAnsi"/>
          <w:sz w:val="22"/>
          <w:szCs w:val="22"/>
          <w:lang w:val="en-US"/>
        </w:rPr>
        <w:t>métodos</w:t>
      </w:r>
      <w:proofErr w:type="spellEnd"/>
      <w:r w:rsidRPr="00057971">
        <w:rPr>
          <w:rFonts w:asciiTheme="majorHAnsi" w:hAnsiTheme="majorHAnsi" w:cstheme="majorHAnsi"/>
          <w:sz w:val="22"/>
          <w:szCs w:val="22"/>
          <w:lang w:val="en-US"/>
        </w:rPr>
        <w:t xml:space="preserve">, </w:t>
      </w:r>
      <w:proofErr w:type="spellStart"/>
      <w:r w:rsidRPr="00057971">
        <w:rPr>
          <w:rFonts w:asciiTheme="majorHAnsi" w:hAnsiTheme="majorHAnsi" w:cstheme="majorHAnsi"/>
          <w:sz w:val="22"/>
          <w:szCs w:val="22"/>
          <w:lang w:val="en-US"/>
        </w:rPr>
        <w:t>contextos</w:t>
      </w:r>
      <w:proofErr w:type="spellEnd"/>
      <w:r w:rsidRPr="00057971">
        <w:rPr>
          <w:rFonts w:asciiTheme="majorHAnsi" w:hAnsiTheme="majorHAnsi" w:cstheme="majorHAnsi"/>
          <w:sz w:val="22"/>
          <w:szCs w:val="22"/>
          <w:lang w:val="en-US"/>
        </w:rPr>
        <w:t xml:space="preserve"> e </w:t>
      </w:r>
      <w:proofErr w:type="spellStart"/>
      <w:r w:rsidRPr="00057971">
        <w:rPr>
          <w:rFonts w:asciiTheme="majorHAnsi" w:hAnsiTheme="majorHAnsi" w:cstheme="majorHAnsi"/>
          <w:sz w:val="22"/>
          <w:szCs w:val="22"/>
          <w:lang w:val="en-US"/>
        </w:rPr>
        <w:t>práticas</w:t>
      </w:r>
      <w:proofErr w:type="spellEnd"/>
      <w:r w:rsidRPr="00057971">
        <w:rPr>
          <w:rFonts w:asciiTheme="majorHAnsi" w:hAnsiTheme="majorHAnsi" w:cstheme="majorHAnsi"/>
          <w:sz w:val="22"/>
          <w:szCs w:val="22"/>
          <w:lang w:val="en-US"/>
        </w:rPr>
        <w:t>. DOI: http://dx.doi.org/10.38116/ 978-65-5635-032-5/capitulo25.</w:t>
      </w:r>
    </w:p>
    <w:p w14:paraId="6DED9EB7" w14:textId="2A7BF781" w:rsidR="00D22538" w:rsidRPr="00DE4CD2" w:rsidRDefault="00D22538"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en-US"/>
        </w:rPr>
        <w:lastRenderedPageBreak/>
        <w:t>de la Torre, E.M., Perez-</w:t>
      </w:r>
      <w:proofErr w:type="spellStart"/>
      <w:r w:rsidRPr="00DE4CD2">
        <w:rPr>
          <w:rFonts w:asciiTheme="majorHAnsi" w:hAnsiTheme="majorHAnsi" w:cstheme="majorHAnsi"/>
          <w:sz w:val="22"/>
          <w:szCs w:val="22"/>
          <w:lang w:val="en-US"/>
        </w:rPr>
        <w:t>Esparrells</w:t>
      </w:r>
      <w:proofErr w:type="spellEnd"/>
      <w:r w:rsidRPr="00DE4CD2">
        <w:rPr>
          <w:rFonts w:asciiTheme="majorHAnsi" w:hAnsiTheme="majorHAnsi" w:cstheme="majorHAnsi"/>
          <w:sz w:val="22"/>
          <w:szCs w:val="22"/>
          <w:lang w:val="en-US"/>
        </w:rPr>
        <w:t>, C., 2017. New strategies of European technical universities in the emerging competitive environment of global rankings, in Dent, S., Lane, L., Strike, T. (Ed.), Collaboration, Communities and Competition. Brill, pp. 51-71</w:t>
      </w:r>
    </w:p>
    <w:p w14:paraId="18D30CCA" w14:textId="77777777" w:rsidR="00D22538" w:rsidRPr="00DE4CD2" w:rsidRDefault="00D22538" w:rsidP="00D83E17">
      <w:pPr>
        <w:ind w:left="284" w:hanging="284"/>
        <w:rPr>
          <w:rFonts w:asciiTheme="majorHAnsi" w:hAnsiTheme="majorHAnsi" w:cstheme="majorHAnsi"/>
          <w:sz w:val="22"/>
          <w:szCs w:val="22"/>
          <w:lang w:val="en-US"/>
        </w:rPr>
      </w:pPr>
    </w:p>
    <w:p w14:paraId="53F048D8" w14:textId="77777777" w:rsidR="00065EEA" w:rsidRPr="00DE4CD2" w:rsidRDefault="00065EEA"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en-US"/>
        </w:rPr>
        <w:t xml:space="preserve">Demir, R., </w:t>
      </w:r>
      <w:proofErr w:type="spellStart"/>
      <w:r w:rsidRPr="00DE4CD2">
        <w:rPr>
          <w:rFonts w:asciiTheme="majorHAnsi" w:hAnsiTheme="majorHAnsi" w:cstheme="majorHAnsi"/>
          <w:sz w:val="22"/>
          <w:szCs w:val="22"/>
          <w:lang w:val="en-US"/>
        </w:rPr>
        <w:t>Wennberg</w:t>
      </w:r>
      <w:proofErr w:type="spellEnd"/>
      <w:r w:rsidRPr="00DE4CD2">
        <w:rPr>
          <w:rFonts w:asciiTheme="majorHAnsi" w:hAnsiTheme="majorHAnsi" w:cstheme="majorHAnsi"/>
          <w:sz w:val="22"/>
          <w:szCs w:val="22"/>
          <w:lang w:val="en-US"/>
        </w:rPr>
        <w:t xml:space="preserve">, K., &amp; </w:t>
      </w:r>
      <w:proofErr w:type="spellStart"/>
      <w:r w:rsidRPr="00DE4CD2">
        <w:rPr>
          <w:rFonts w:asciiTheme="majorHAnsi" w:hAnsiTheme="majorHAnsi" w:cstheme="majorHAnsi"/>
          <w:sz w:val="22"/>
          <w:szCs w:val="22"/>
          <w:lang w:val="en-US"/>
        </w:rPr>
        <w:t>McKelvie</w:t>
      </w:r>
      <w:proofErr w:type="spellEnd"/>
      <w:r w:rsidRPr="00DE4CD2">
        <w:rPr>
          <w:rFonts w:asciiTheme="majorHAnsi" w:hAnsiTheme="majorHAnsi" w:cstheme="majorHAnsi"/>
          <w:sz w:val="22"/>
          <w:szCs w:val="22"/>
          <w:lang w:val="en-US"/>
        </w:rPr>
        <w:t>, A. (2017). The strategic management of high-growth firms: A review and theoretical conceptualization. Long range planning, 50(4), 431-456.</w:t>
      </w:r>
    </w:p>
    <w:p w14:paraId="0C5C81E8" w14:textId="77777777" w:rsidR="00065EEA" w:rsidRPr="00DE4CD2" w:rsidRDefault="00065EEA" w:rsidP="00D83E17">
      <w:pPr>
        <w:ind w:left="284" w:hanging="284"/>
        <w:rPr>
          <w:rFonts w:asciiTheme="majorHAnsi" w:hAnsiTheme="majorHAnsi" w:cstheme="majorHAnsi"/>
          <w:sz w:val="22"/>
          <w:szCs w:val="22"/>
          <w:lang w:val="en-US"/>
        </w:rPr>
      </w:pPr>
    </w:p>
    <w:p w14:paraId="15335993" w14:textId="77777777" w:rsidR="00D83E17" w:rsidRPr="00DE4CD2" w:rsidRDefault="00D83E17"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en-US"/>
        </w:rPr>
        <w:t>Denis, D. J. (2004) Entrepreneurial finance: an overview of the issues and evidence. Journal of Corporate Finance, 10(2), 301–326.</w:t>
      </w:r>
    </w:p>
    <w:p w14:paraId="72392452" w14:textId="77777777" w:rsidR="00D83E17" w:rsidRPr="00DE4CD2" w:rsidRDefault="00D83E17" w:rsidP="00D83E17">
      <w:pPr>
        <w:ind w:left="284" w:hanging="284"/>
        <w:rPr>
          <w:rFonts w:asciiTheme="majorHAnsi" w:hAnsiTheme="majorHAnsi" w:cstheme="majorHAnsi"/>
          <w:sz w:val="22"/>
          <w:szCs w:val="22"/>
          <w:lang w:val="en-US"/>
        </w:rPr>
      </w:pPr>
    </w:p>
    <w:p w14:paraId="2ED55928" w14:textId="32DD6359" w:rsidR="002C3BB1" w:rsidRPr="00DE4CD2" w:rsidRDefault="002C3BB1"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en-US"/>
        </w:rPr>
        <w:t xml:space="preserve">Flanagan, K., </w:t>
      </w:r>
      <w:proofErr w:type="spellStart"/>
      <w:r w:rsidRPr="00DE4CD2">
        <w:rPr>
          <w:rFonts w:asciiTheme="majorHAnsi" w:hAnsiTheme="majorHAnsi" w:cstheme="majorHAnsi"/>
          <w:sz w:val="22"/>
          <w:szCs w:val="22"/>
          <w:lang w:val="en-US"/>
        </w:rPr>
        <w:t>Uyarra</w:t>
      </w:r>
      <w:proofErr w:type="spellEnd"/>
      <w:r w:rsidRPr="00DE4CD2">
        <w:rPr>
          <w:rFonts w:asciiTheme="majorHAnsi" w:hAnsiTheme="majorHAnsi" w:cstheme="majorHAnsi"/>
          <w:sz w:val="22"/>
          <w:szCs w:val="22"/>
          <w:lang w:val="en-US"/>
        </w:rPr>
        <w:t xml:space="preserve">, E. &amp; </w:t>
      </w:r>
      <w:proofErr w:type="spellStart"/>
      <w:r w:rsidRPr="00DE4CD2">
        <w:rPr>
          <w:rFonts w:asciiTheme="majorHAnsi" w:hAnsiTheme="majorHAnsi" w:cstheme="majorHAnsi"/>
          <w:sz w:val="22"/>
          <w:szCs w:val="22"/>
          <w:lang w:val="en-US"/>
        </w:rPr>
        <w:t>Laranja</w:t>
      </w:r>
      <w:proofErr w:type="spellEnd"/>
      <w:r w:rsidRPr="00DE4CD2">
        <w:rPr>
          <w:rFonts w:asciiTheme="majorHAnsi" w:hAnsiTheme="majorHAnsi" w:cstheme="majorHAnsi"/>
          <w:sz w:val="22"/>
          <w:szCs w:val="22"/>
          <w:lang w:val="en-US"/>
        </w:rPr>
        <w:t xml:space="preserve">, M. (2011). </w:t>
      </w:r>
      <w:proofErr w:type="spellStart"/>
      <w:r w:rsidRPr="00DE4CD2">
        <w:rPr>
          <w:rFonts w:asciiTheme="majorHAnsi" w:hAnsiTheme="majorHAnsi" w:cstheme="majorHAnsi"/>
          <w:sz w:val="22"/>
          <w:szCs w:val="22"/>
          <w:lang w:val="en-US"/>
        </w:rPr>
        <w:t>Reconceptualising</w:t>
      </w:r>
      <w:proofErr w:type="spellEnd"/>
      <w:r w:rsidRPr="00DE4CD2">
        <w:rPr>
          <w:rFonts w:asciiTheme="majorHAnsi" w:hAnsiTheme="majorHAnsi" w:cstheme="majorHAnsi"/>
          <w:sz w:val="22"/>
          <w:szCs w:val="22"/>
          <w:lang w:val="en-US"/>
        </w:rPr>
        <w:t xml:space="preserve"> the ‘policy mix’ for innovation. Research Policy, 40(5), 702-713.</w:t>
      </w:r>
    </w:p>
    <w:p w14:paraId="49CA17F1" w14:textId="77777777" w:rsidR="002C3BB1" w:rsidRPr="00DE4CD2" w:rsidRDefault="002C3BB1" w:rsidP="00D83E17">
      <w:pPr>
        <w:ind w:left="284" w:hanging="284"/>
        <w:rPr>
          <w:rFonts w:asciiTheme="majorHAnsi" w:hAnsiTheme="majorHAnsi" w:cstheme="majorHAnsi"/>
          <w:sz w:val="22"/>
          <w:szCs w:val="22"/>
          <w:lang w:val="en-US"/>
        </w:rPr>
      </w:pPr>
    </w:p>
    <w:p w14:paraId="06F023D3" w14:textId="77777777" w:rsidR="00FF0DED" w:rsidRPr="00DE4CD2" w:rsidRDefault="00FF0DED" w:rsidP="00D83E17">
      <w:pPr>
        <w:ind w:left="284" w:hanging="284"/>
        <w:rPr>
          <w:rFonts w:asciiTheme="majorHAnsi" w:hAnsiTheme="majorHAnsi" w:cstheme="majorHAnsi"/>
          <w:sz w:val="22"/>
          <w:szCs w:val="22"/>
          <w:lang w:val="en-US"/>
        </w:rPr>
      </w:pPr>
      <w:proofErr w:type="spellStart"/>
      <w:r w:rsidRPr="00DE4CD2">
        <w:rPr>
          <w:rFonts w:asciiTheme="majorHAnsi" w:hAnsiTheme="majorHAnsi" w:cstheme="majorHAnsi"/>
          <w:sz w:val="22"/>
          <w:szCs w:val="22"/>
          <w:lang w:val="en-US"/>
        </w:rPr>
        <w:t>Flikkema</w:t>
      </w:r>
      <w:proofErr w:type="spellEnd"/>
      <w:r w:rsidRPr="00DE4CD2">
        <w:rPr>
          <w:rFonts w:asciiTheme="majorHAnsi" w:hAnsiTheme="majorHAnsi" w:cstheme="majorHAnsi"/>
          <w:sz w:val="22"/>
          <w:szCs w:val="22"/>
          <w:lang w:val="en-US"/>
        </w:rPr>
        <w:t xml:space="preserve">, M., Castaldi, C., Man, A.-P. de, </w:t>
      </w:r>
      <w:proofErr w:type="spellStart"/>
      <w:r w:rsidRPr="00DE4CD2">
        <w:rPr>
          <w:rFonts w:asciiTheme="majorHAnsi" w:hAnsiTheme="majorHAnsi" w:cstheme="majorHAnsi"/>
          <w:sz w:val="22"/>
          <w:szCs w:val="22"/>
          <w:lang w:val="en-US"/>
        </w:rPr>
        <w:t>Seip</w:t>
      </w:r>
      <w:proofErr w:type="spellEnd"/>
      <w:r w:rsidRPr="00DE4CD2">
        <w:rPr>
          <w:rFonts w:asciiTheme="majorHAnsi" w:hAnsiTheme="majorHAnsi" w:cstheme="majorHAnsi"/>
          <w:sz w:val="22"/>
          <w:szCs w:val="22"/>
          <w:lang w:val="en-US"/>
        </w:rPr>
        <w:t>, M., 2019. Trademarks’ relatedness to product and service innovation: A branding strategy approach. Research Policy 48 (6), 1340–1353.</w:t>
      </w:r>
    </w:p>
    <w:p w14:paraId="1B02FDC0" w14:textId="77777777" w:rsidR="00FF0DED" w:rsidRPr="00DE4CD2" w:rsidRDefault="00FF0DED" w:rsidP="00D83E17">
      <w:pPr>
        <w:ind w:left="284" w:hanging="284"/>
        <w:rPr>
          <w:rFonts w:asciiTheme="majorHAnsi" w:hAnsiTheme="majorHAnsi" w:cstheme="majorHAnsi"/>
          <w:sz w:val="22"/>
          <w:szCs w:val="22"/>
          <w:lang w:val="en-US"/>
        </w:rPr>
      </w:pPr>
    </w:p>
    <w:p w14:paraId="459B0D66" w14:textId="1F870CCE" w:rsidR="00FF0DED" w:rsidRPr="00DE4CD2" w:rsidRDefault="00FF0DED" w:rsidP="00D83E17">
      <w:pPr>
        <w:ind w:left="284" w:hanging="284"/>
        <w:rPr>
          <w:rFonts w:asciiTheme="majorHAnsi" w:hAnsiTheme="majorHAnsi" w:cstheme="majorHAnsi"/>
          <w:sz w:val="22"/>
          <w:szCs w:val="22"/>
          <w:lang w:val="en-US"/>
        </w:rPr>
      </w:pPr>
      <w:proofErr w:type="spellStart"/>
      <w:r w:rsidRPr="00DE4CD2">
        <w:rPr>
          <w:rFonts w:asciiTheme="majorHAnsi" w:hAnsiTheme="majorHAnsi" w:cstheme="majorHAnsi"/>
          <w:sz w:val="22"/>
          <w:szCs w:val="22"/>
          <w:lang w:val="en-US"/>
        </w:rPr>
        <w:t>Flikkema</w:t>
      </w:r>
      <w:proofErr w:type="spellEnd"/>
      <w:r w:rsidRPr="00DE4CD2">
        <w:rPr>
          <w:rFonts w:asciiTheme="majorHAnsi" w:hAnsiTheme="majorHAnsi" w:cstheme="majorHAnsi"/>
          <w:sz w:val="22"/>
          <w:szCs w:val="22"/>
          <w:lang w:val="en-US"/>
        </w:rPr>
        <w:t>, M., Man, A.-P. de, Castaldi, C., 2014. Are Trademark Counts a Valid Indicator of Innovation? Results of an In-Depth Study of New Benelux Trademarks Filed by SMEs. Industry and Innovation 21 (4), 310–331.</w:t>
      </w:r>
    </w:p>
    <w:p w14:paraId="4F6BEF2A" w14:textId="77777777" w:rsidR="00FF0DED" w:rsidRPr="00DE4CD2" w:rsidRDefault="00FF0DED" w:rsidP="00D83E17">
      <w:pPr>
        <w:ind w:left="284" w:hanging="284"/>
        <w:rPr>
          <w:rFonts w:asciiTheme="majorHAnsi" w:hAnsiTheme="majorHAnsi" w:cstheme="majorHAnsi"/>
          <w:sz w:val="22"/>
          <w:szCs w:val="22"/>
          <w:lang w:val="en-US"/>
        </w:rPr>
      </w:pPr>
    </w:p>
    <w:p w14:paraId="1BA0DF29" w14:textId="77777777" w:rsidR="00D22538" w:rsidRPr="00DE4CD2" w:rsidRDefault="00D22538" w:rsidP="00D83E17">
      <w:pPr>
        <w:ind w:left="284" w:hanging="284"/>
        <w:rPr>
          <w:rFonts w:asciiTheme="majorHAnsi" w:hAnsiTheme="majorHAnsi" w:cstheme="majorHAnsi"/>
          <w:sz w:val="22"/>
          <w:szCs w:val="22"/>
          <w:lang w:val="de-DE"/>
        </w:rPr>
      </w:pPr>
      <w:r w:rsidRPr="00DE4CD2">
        <w:rPr>
          <w:rFonts w:asciiTheme="majorHAnsi" w:hAnsiTheme="majorHAnsi" w:cstheme="majorHAnsi"/>
          <w:sz w:val="22"/>
          <w:szCs w:val="22"/>
          <w:lang w:val="en-US"/>
        </w:rPr>
        <w:t xml:space="preserve">Gadar, L., </w:t>
      </w:r>
      <w:proofErr w:type="spellStart"/>
      <w:r w:rsidRPr="00DE4CD2">
        <w:rPr>
          <w:rFonts w:asciiTheme="majorHAnsi" w:hAnsiTheme="majorHAnsi" w:cstheme="majorHAnsi"/>
          <w:sz w:val="22"/>
          <w:szCs w:val="22"/>
          <w:lang w:val="en-US"/>
        </w:rPr>
        <w:t>Kosztyan</w:t>
      </w:r>
      <w:proofErr w:type="spellEnd"/>
      <w:r w:rsidRPr="00DE4CD2">
        <w:rPr>
          <w:rFonts w:asciiTheme="majorHAnsi" w:hAnsiTheme="majorHAnsi" w:cstheme="majorHAnsi"/>
          <w:sz w:val="22"/>
          <w:szCs w:val="22"/>
          <w:lang w:val="en-US"/>
        </w:rPr>
        <w:t xml:space="preserve">, Z.T., </w:t>
      </w:r>
      <w:proofErr w:type="spellStart"/>
      <w:r w:rsidRPr="00DE4CD2">
        <w:rPr>
          <w:rFonts w:asciiTheme="majorHAnsi" w:hAnsiTheme="majorHAnsi" w:cstheme="majorHAnsi"/>
          <w:sz w:val="22"/>
          <w:szCs w:val="22"/>
          <w:lang w:val="en-US"/>
        </w:rPr>
        <w:t>Telcs</w:t>
      </w:r>
      <w:proofErr w:type="spellEnd"/>
      <w:r w:rsidRPr="00DE4CD2">
        <w:rPr>
          <w:rFonts w:asciiTheme="majorHAnsi" w:hAnsiTheme="majorHAnsi" w:cstheme="majorHAnsi"/>
          <w:sz w:val="22"/>
          <w:szCs w:val="22"/>
          <w:lang w:val="en-US"/>
        </w:rPr>
        <w:t xml:space="preserve">, A., </w:t>
      </w:r>
      <w:proofErr w:type="spellStart"/>
      <w:r w:rsidRPr="00DE4CD2">
        <w:rPr>
          <w:rFonts w:asciiTheme="majorHAnsi" w:hAnsiTheme="majorHAnsi" w:cstheme="majorHAnsi"/>
          <w:sz w:val="22"/>
          <w:szCs w:val="22"/>
          <w:lang w:val="en-US"/>
        </w:rPr>
        <w:t>Abonyi</w:t>
      </w:r>
      <w:proofErr w:type="spellEnd"/>
      <w:r w:rsidRPr="00DE4CD2">
        <w:rPr>
          <w:rFonts w:asciiTheme="majorHAnsi" w:hAnsiTheme="majorHAnsi" w:cstheme="majorHAnsi"/>
          <w:sz w:val="22"/>
          <w:szCs w:val="22"/>
          <w:lang w:val="en-US"/>
        </w:rPr>
        <w:t xml:space="preserve">, J., 2020. A multilayer and spatial description of the Erasmus mobility network. </w:t>
      </w:r>
      <w:r w:rsidRPr="00DE4CD2">
        <w:rPr>
          <w:rFonts w:asciiTheme="majorHAnsi" w:hAnsiTheme="majorHAnsi" w:cstheme="majorHAnsi"/>
          <w:sz w:val="22"/>
          <w:szCs w:val="22"/>
          <w:lang w:val="de-DE"/>
        </w:rPr>
        <w:t>Scientific Data 7, 41.</w:t>
      </w:r>
    </w:p>
    <w:p w14:paraId="1357844D" w14:textId="77777777" w:rsidR="00D22538" w:rsidRPr="00DE4CD2" w:rsidRDefault="00D22538" w:rsidP="00D83E17">
      <w:pPr>
        <w:ind w:left="284" w:hanging="284"/>
        <w:rPr>
          <w:rFonts w:asciiTheme="majorHAnsi" w:hAnsiTheme="majorHAnsi" w:cstheme="majorHAnsi"/>
          <w:sz w:val="22"/>
          <w:szCs w:val="22"/>
          <w:lang w:val="de-DE"/>
        </w:rPr>
      </w:pPr>
    </w:p>
    <w:p w14:paraId="685DE149" w14:textId="059DD741" w:rsidR="00FF0DED" w:rsidRPr="00DE4CD2" w:rsidRDefault="00FF0DED" w:rsidP="00D83E17">
      <w:pPr>
        <w:ind w:left="284" w:hanging="284"/>
        <w:rPr>
          <w:rFonts w:asciiTheme="majorHAnsi" w:hAnsiTheme="majorHAnsi" w:cstheme="majorHAnsi"/>
          <w:sz w:val="22"/>
          <w:szCs w:val="22"/>
          <w:lang w:val="de-DE"/>
        </w:rPr>
      </w:pPr>
      <w:r w:rsidRPr="00DE4CD2">
        <w:rPr>
          <w:rFonts w:asciiTheme="majorHAnsi" w:hAnsiTheme="majorHAnsi" w:cstheme="majorHAnsi"/>
          <w:sz w:val="22"/>
          <w:szCs w:val="22"/>
          <w:lang w:val="de-DE"/>
        </w:rPr>
        <w:t>Gauch, S., 2007. Marken als Innovationsindikator. Studien zum deutschen Innovationssystem Nr. 12-2007. Fraunhofer-Institut für System- und Innovationsforschung ISI, Karlsruhe.</w:t>
      </w:r>
    </w:p>
    <w:p w14:paraId="23085C07" w14:textId="77777777" w:rsidR="00FF0DED" w:rsidRPr="00DE4CD2" w:rsidRDefault="00FF0DED" w:rsidP="00D83E17">
      <w:pPr>
        <w:ind w:left="284" w:hanging="284"/>
        <w:rPr>
          <w:rFonts w:asciiTheme="majorHAnsi" w:hAnsiTheme="majorHAnsi" w:cstheme="majorHAnsi"/>
          <w:sz w:val="22"/>
          <w:szCs w:val="22"/>
          <w:lang w:val="de-DE"/>
        </w:rPr>
      </w:pPr>
    </w:p>
    <w:p w14:paraId="71EBEB57" w14:textId="77777777" w:rsidR="00D83E17" w:rsidRPr="00DE4CD2" w:rsidRDefault="00D83E17"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de-DE"/>
        </w:rPr>
        <w:t xml:space="preserve">Gompers, P. A., Levin, D. Z., &amp; Lerner, J. (2001). </w:t>
      </w:r>
      <w:r w:rsidRPr="00DE4CD2">
        <w:rPr>
          <w:rFonts w:asciiTheme="majorHAnsi" w:hAnsiTheme="majorHAnsi" w:cstheme="majorHAnsi"/>
          <w:sz w:val="22"/>
          <w:szCs w:val="22"/>
          <w:lang w:val="en-US"/>
        </w:rPr>
        <w:t>The Venture Capital Revolution. Journal of Economic Perspectives, 15(2), 145–168.</w:t>
      </w:r>
    </w:p>
    <w:p w14:paraId="111F1EC3" w14:textId="77777777" w:rsidR="00D83E17" w:rsidRPr="00DE4CD2" w:rsidRDefault="00D83E17" w:rsidP="00D83E17">
      <w:pPr>
        <w:ind w:left="284" w:hanging="284"/>
        <w:rPr>
          <w:rFonts w:asciiTheme="majorHAnsi" w:hAnsiTheme="majorHAnsi" w:cstheme="majorHAnsi"/>
          <w:sz w:val="22"/>
          <w:szCs w:val="22"/>
          <w:lang w:val="en-US"/>
        </w:rPr>
      </w:pPr>
    </w:p>
    <w:p w14:paraId="7498A88D" w14:textId="6219C172" w:rsidR="00FF0DED" w:rsidRPr="00DE4CD2" w:rsidRDefault="00FF0DED"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en-US"/>
        </w:rPr>
        <w:t>Greenhalgh, C., Rogers, M., 2006. The value of innovation: The interaction of competition, R&amp;D and IP. Research Policy 35 (4), 562–580.</w:t>
      </w:r>
    </w:p>
    <w:p w14:paraId="2B30B72E" w14:textId="77777777" w:rsidR="00FF0DED" w:rsidRPr="00DE4CD2" w:rsidRDefault="00FF0DED" w:rsidP="00D83E17">
      <w:pPr>
        <w:ind w:left="284" w:hanging="284"/>
        <w:rPr>
          <w:rFonts w:asciiTheme="majorHAnsi" w:hAnsiTheme="majorHAnsi" w:cstheme="majorHAnsi"/>
          <w:sz w:val="22"/>
          <w:szCs w:val="22"/>
          <w:lang w:val="en-US"/>
        </w:rPr>
      </w:pPr>
    </w:p>
    <w:p w14:paraId="00DD784D" w14:textId="77777777" w:rsidR="00065EEA" w:rsidRPr="00DE4CD2" w:rsidRDefault="00065EEA"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en-US"/>
        </w:rPr>
        <w:t>Guerini, M. (2022). Fast growing mid-sized firms in Europe. Zenodo. Available at: https://doi.org/10.5281/zenodo.6420800.</w:t>
      </w:r>
    </w:p>
    <w:p w14:paraId="61A78E28" w14:textId="77777777" w:rsidR="00D83E17" w:rsidRPr="00DE4CD2" w:rsidRDefault="00D83E17" w:rsidP="00D83E17">
      <w:pPr>
        <w:ind w:left="284" w:hanging="284"/>
        <w:rPr>
          <w:rFonts w:asciiTheme="majorHAnsi" w:hAnsiTheme="majorHAnsi" w:cstheme="majorHAnsi"/>
          <w:sz w:val="22"/>
          <w:szCs w:val="22"/>
          <w:lang w:val="en-US"/>
        </w:rPr>
      </w:pPr>
    </w:p>
    <w:p w14:paraId="769B0B01" w14:textId="38D86BAD" w:rsidR="00D83E17" w:rsidRPr="00DE4CD2" w:rsidRDefault="00D83E17"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en-US"/>
        </w:rPr>
        <w:t xml:space="preserve">Guerini, M. &amp; Hong, S. (2020). Going Global to Stay Local: The Effect of International Syndication Experience on the Performance of Domestic Venture Capital Investments. Working paper. Available at: https://doi.org/10.5281/zenodo.3908422. </w:t>
      </w:r>
    </w:p>
    <w:p w14:paraId="13BAB265" w14:textId="77777777" w:rsidR="00D83E17" w:rsidRPr="00DE4CD2" w:rsidRDefault="00D83E17" w:rsidP="00D83E17">
      <w:pPr>
        <w:ind w:left="284" w:hanging="284"/>
        <w:rPr>
          <w:rFonts w:asciiTheme="majorHAnsi" w:hAnsiTheme="majorHAnsi" w:cstheme="majorHAnsi"/>
          <w:sz w:val="22"/>
          <w:szCs w:val="22"/>
          <w:lang w:val="en-US"/>
        </w:rPr>
      </w:pPr>
    </w:p>
    <w:p w14:paraId="35020BCB" w14:textId="74058B37" w:rsidR="00D83E17" w:rsidRPr="00DE4CD2" w:rsidRDefault="00D83E17"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en-US"/>
        </w:rPr>
        <w:t xml:space="preserve">Guerini, M. &amp; Tenca, F. (2018). The geography of technology-intensive start-ups and venture capital: European evidence. Journal of Industrial and Business Economics, 45(3), 361-386. Available at: http://doi.org/10.1007/s40812-018-0098-9. </w:t>
      </w:r>
    </w:p>
    <w:p w14:paraId="3A971964" w14:textId="77777777" w:rsidR="00D83E17" w:rsidRPr="00DE4CD2" w:rsidRDefault="00D83E17" w:rsidP="00D83E17">
      <w:pPr>
        <w:ind w:left="284" w:hanging="284"/>
        <w:rPr>
          <w:rFonts w:asciiTheme="majorHAnsi" w:hAnsiTheme="majorHAnsi" w:cstheme="majorHAnsi"/>
          <w:sz w:val="22"/>
          <w:szCs w:val="22"/>
          <w:lang w:val="en-US"/>
        </w:rPr>
      </w:pPr>
    </w:p>
    <w:p w14:paraId="2A8B29EA" w14:textId="51B5F25C" w:rsidR="00D83E17" w:rsidRPr="00DE4CD2" w:rsidRDefault="00D83E17"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de-DE"/>
        </w:rPr>
        <w:t xml:space="preserve">Guerini, M., Tenca, F., &amp; Neuhäusler, P. (2023). </w:t>
      </w:r>
      <w:r w:rsidRPr="00DE4CD2">
        <w:rPr>
          <w:rFonts w:asciiTheme="majorHAnsi" w:hAnsiTheme="majorHAnsi" w:cstheme="majorHAnsi"/>
          <w:sz w:val="22"/>
          <w:szCs w:val="22"/>
          <w:lang w:val="en-US"/>
        </w:rPr>
        <w:t>Effect of Venture Capital financing on startups’ trademarks. Working Paper.</w:t>
      </w:r>
    </w:p>
    <w:p w14:paraId="23837EE8" w14:textId="77777777" w:rsidR="00D83E17" w:rsidRPr="00DE4CD2" w:rsidRDefault="00D83E17" w:rsidP="00D83E17">
      <w:pPr>
        <w:ind w:left="284" w:hanging="284"/>
        <w:rPr>
          <w:rFonts w:asciiTheme="majorHAnsi" w:hAnsiTheme="majorHAnsi" w:cstheme="majorHAnsi"/>
          <w:sz w:val="22"/>
          <w:szCs w:val="22"/>
          <w:lang w:val="en-US"/>
        </w:rPr>
      </w:pPr>
    </w:p>
    <w:p w14:paraId="69054C2B" w14:textId="72C5A623" w:rsidR="002C3BB1" w:rsidRPr="00DE4CD2" w:rsidRDefault="002C3BB1"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en-US"/>
        </w:rPr>
        <w:t>Heller-Schuh, B., Reale, E., Scherngell, T., Spinello, A.O., Varinetti, E., Zahradnik, G., Zinilli, A. (2022). New insights into project-based R&amp;D funding from RISIS datasets: Some evidence from EFIL and NATPRO. RISIS Policy Brief Series, Issue #10, May 2022.</w:t>
      </w:r>
    </w:p>
    <w:p w14:paraId="0B4802BD" w14:textId="77777777" w:rsidR="002C3BB1" w:rsidRPr="00DE4CD2" w:rsidRDefault="002C3BB1" w:rsidP="00D83E17">
      <w:pPr>
        <w:ind w:left="284" w:hanging="284"/>
        <w:rPr>
          <w:rFonts w:asciiTheme="majorHAnsi" w:hAnsiTheme="majorHAnsi" w:cstheme="majorHAnsi"/>
          <w:sz w:val="22"/>
          <w:szCs w:val="22"/>
          <w:lang w:val="en-US"/>
        </w:rPr>
      </w:pPr>
    </w:p>
    <w:p w14:paraId="42A950A6" w14:textId="717C3AF5" w:rsidR="00D22538" w:rsidRPr="00DE4CD2" w:rsidRDefault="00D22538"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en-US"/>
        </w:rPr>
        <w:lastRenderedPageBreak/>
        <w:t>Heller-Schuh, B., Lepori, B., Neuländtner, M., 2020. Mergers and acquisitions in the public research sector. Toward a comprehensive typology. Research Evaluation 29(4), 366-376.</w:t>
      </w:r>
    </w:p>
    <w:p w14:paraId="538C814D" w14:textId="77777777" w:rsidR="00D22538" w:rsidRPr="00DE4CD2" w:rsidRDefault="00D22538" w:rsidP="00D83E17">
      <w:pPr>
        <w:ind w:left="284" w:hanging="284"/>
        <w:rPr>
          <w:rFonts w:asciiTheme="majorHAnsi" w:hAnsiTheme="majorHAnsi" w:cstheme="majorHAnsi"/>
          <w:sz w:val="22"/>
          <w:szCs w:val="22"/>
          <w:lang w:val="en-US"/>
        </w:rPr>
      </w:pPr>
    </w:p>
    <w:p w14:paraId="7487D082" w14:textId="1F7B2D7B" w:rsidR="00D22538" w:rsidRPr="00DE4CD2" w:rsidRDefault="00D22538"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en-US"/>
        </w:rPr>
        <w:t xml:space="preserve">Huisman, J., Lepori, B., </w:t>
      </w:r>
      <w:proofErr w:type="spellStart"/>
      <w:r w:rsidRPr="00DE4CD2">
        <w:rPr>
          <w:rFonts w:asciiTheme="majorHAnsi" w:hAnsiTheme="majorHAnsi" w:cstheme="majorHAnsi"/>
          <w:sz w:val="22"/>
          <w:szCs w:val="22"/>
          <w:lang w:val="en-US"/>
        </w:rPr>
        <w:t>Seeber</w:t>
      </w:r>
      <w:proofErr w:type="spellEnd"/>
      <w:r w:rsidRPr="00DE4CD2">
        <w:rPr>
          <w:rFonts w:asciiTheme="majorHAnsi" w:hAnsiTheme="majorHAnsi" w:cstheme="majorHAnsi"/>
          <w:sz w:val="22"/>
          <w:szCs w:val="22"/>
          <w:lang w:val="en-US"/>
        </w:rPr>
        <w:t xml:space="preserve">, M., </w:t>
      </w:r>
      <w:proofErr w:type="spellStart"/>
      <w:r w:rsidRPr="00DE4CD2">
        <w:rPr>
          <w:rFonts w:asciiTheme="majorHAnsi" w:hAnsiTheme="majorHAnsi" w:cstheme="majorHAnsi"/>
          <w:sz w:val="22"/>
          <w:szCs w:val="22"/>
          <w:lang w:val="en-US"/>
        </w:rPr>
        <w:t>Frølich</w:t>
      </w:r>
      <w:proofErr w:type="spellEnd"/>
      <w:r w:rsidRPr="00DE4CD2">
        <w:rPr>
          <w:rFonts w:asciiTheme="majorHAnsi" w:hAnsiTheme="majorHAnsi" w:cstheme="majorHAnsi"/>
          <w:sz w:val="22"/>
          <w:szCs w:val="22"/>
          <w:lang w:val="en-US"/>
        </w:rPr>
        <w:t xml:space="preserve">, N., </w:t>
      </w:r>
      <w:proofErr w:type="spellStart"/>
      <w:r w:rsidRPr="00DE4CD2">
        <w:rPr>
          <w:rFonts w:asciiTheme="majorHAnsi" w:hAnsiTheme="majorHAnsi" w:cstheme="majorHAnsi"/>
          <w:sz w:val="22"/>
          <w:szCs w:val="22"/>
          <w:lang w:val="en-US"/>
        </w:rPr>
        <w:t>Scordato</w:t>
      </w:r>
      <w:proofErr w:type="spellEnd"/>
      <w:r w:rsidRPr="00DE4CD2">
        <w:rPr>
          <w:rFonts w:asciiTheme="majorHAnsi" w:hAnsiTheme="majorHAnsi" w:cstheme="majorHAnsi"/>
          <w:sz w:val="22"/>
          <w:szCs w:val="22"/>
          <w:lang w:val="en-US"/>
        </w:rPr>
        <w:t>, L., 2015. Measuring institutional diversity across higher education systems. Research Evaluation 24 (4), 369-379.</w:t>
      </w:r>
    </w:p>
    <w:p w14:paraId="2933701A" w14:textId="77777777" w:rsidR="00D22538" w:rsidRPr="00DE4CD2" w:rsidRDefault="00D22538" w:rsidP="00D83E17">
      <w:pPr>
        <w:ind w:left="284" w:hanging="284"/>
        <w:rPr>
          <w:rFonts w:asciiTheme="majorHAnsi" w:hAnsiTheme="majorHAnsi" w:cstheme="majorHAnsi"/>
          <w:sz w:val="22"/>
          <w:szCs w:val="22"/>
          <w:lang w:val="en-US"/>
        </w:rPr>
      </w:pPr>
    </w:p>
    <w:p w14:paraId="19571420" w14:textId="50495AF6" w:rsidR="00D22538" w:rsidRPr="00DE4CD2" w:rsidRDefault="00D22538" w:rsidP="00D83E17">
      <w:pPr>
        <w:ind w:left="284" w:hanging="284"/>
        <w:rPr>
          <w:rFonts w:asciiTheme="majorHAnsi" w:hAnsiTheme="majorHAnsi" w:cstheme="majorHAnsi"/>
          <w:sz w:val="22"/>
          <w:szCs w:val="22"/>
          <w:lang w:val="en-US"/>
        </w:rPr>
      </w:pPr>
      <w:proofErr w:type="spellStart"/>
      <w:r w:rsidRPr="00DE4CD2">
        <w:rPr>
          <w:rFonts w:asciiTheme="majorHAnsi" w:hAnsiTheme="majorHAnsi" w:cstheme="majorHAnsi"/>
          <w:sz w:val="22"/>
          <w:szCs w:val="22"/>
          <w:lang w:val="en-US"/>
        </w:rPr>
        <w:t>Hunady</w:t>
      </w:r>
      <w:proofErr w:type="spellEnd"/>
      <w:r w:rsidRPr="00DE4CD2">
        <w:rPr>
          <w:rFonts w:asciiTheme="majorHAnsi" w:hAnsiTheme="majorHAnsi" w:cstheme="majorHAnsi"/>
          <w:sz w:val="22"/>
          <w:szCs w:val="22"/>
          <w:lang w:val="en-US"/>
        </w:rPr>
        <w:t xml:space="preserve">, J., </w:t>
      </w:r>
      <w:proofErr w:type="spellStart"/>
      <w:r w:rsidRPr="00DE4CD2">
        <w:rPr>
          <w:rFonts w:asciiTheme="majorHAnsi" w:hAnsiTheme="majorHAnsi" w:cstheme="majorHAnsi"/>
          <w:sz w:val="22"/>
          <w:szCs w:val="22"/>
          <w:lang w:val="en-US"/>
        </w:rPr>
        <w:t>Orviska</w:t>
      </w:r>
      <w:proofErr w:type="spellEnd"/>
      <w:r w:rsidRPr="00DE4CD2">
        <w:rPr>
          <w:rFonts w:asciiTheme="majorHAnsi" w:hAnsiTheme="majorHAnsi" w:cstheme="majorHAnsi"/>
          <w:sz w:val="22"/>
          <w:szCs w:val="22"/>
          <w:lang w:val="en-US"/>
        </w:rPr>
        <w:t xml:space="preserve">, M., </w:t>
      </w:r>
      <w:proofErr w:type="spellStart"/>
      <w:r w:rsidRPr="00DE4CD2">
        <w:rPr>
          <w:rFonts w:asciiTheme="majorHAnsi" w:hAnsiTheme="majorHAnsi" w:cstheme="majorHAnsi"/>
          <w:sz w:val="22"/>
          <w:szCs w:val="22"/>
          <w:lang w:val="en-US"/>
        </w:rPr>
        <w:t>Pisar</w:t>
      </w:r>
      <w:proofErr w:type="spellEnd"/>
      <w:r w:rsidRPr="00DE4CD2">
        <w:rPr>
          <w:rFonts w:asciiTheme="majorHAnsi" w:hAnsiTheme="majorHAnsi" w:cstheme="majorHAnsi"/>
          <w:sz w:val="22"/>
          <w:szCs w:val="22"/>
          <w:lang w:val="en-US"/>
        </w:rPr>
        <w:t>, P., 2019. What matters: the formation of university spin-offs in Europe. Business Systems Research: International journal of the Society for Advancing Innovation and Research in Economy 10, 138-152.</w:t>
      </w:r>
    </w:p>
    <w:p w14:paraId="040D56D6" w14:textId="77777777" w:rsidR="00D83E17" w:rsidRPr="00DE4CD2" w:rsidRDefault="00D83E17" w:rsidP="00D83E17">
      <w:pPr>
        <w:ind w:left="284" w:hanging="284"/>
        <w:rPr>
          <w:rFonts w:asciiTheme="majorHAnsi" w:hAnsiTheme="majorHAnsi" w:cstheme="majorHAnsi"/>
          <w:sz w:val="22"/>
          <w:szCs w:val="22"/>
          <w:lang w:val="en-US"/>
        </w:rPr>
      </w:pPr>
    </w:p>
    <w:p w14:paraId="32A4A004" w14:textId="06A85D3B" w:rsidR="00D22538" w:rsidRPr="00DE4CD2" w:rsidRDefault="00D22538"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en-US"/>
        </w:rPr>
        <w:t>Hidalgo, C. A. and Hausmann, R. (2009). The building blocks of economic complexity. Proceedings of the National Academy of Sciences, 106(26):10570–10575.</w:t>
      </w:r>
    </w:p>
    <w:p w14:paraId="1253F6BA" w14:textId="77777777" w:rsidR="002C3BB1" w:rsidRPr="00DE4CD2" w:rsidRDefault="002C3BB1" w:rsidP="00D83E17">
      <w:pPr>
        <w:ind w:left="284" w:hanging="284"/>
        <w:rPr>
          <w:rFonts w:asciiTheme="majorHAnsi" w:hAnsiTheme="majorHAnsi" w:cstheme="majorHAnsi"/>
          <w:sz w:val="22"/>
          <w:szCs w:val="22"/>
          <w:lang w:val="en-US"/>
        </w:rPr>
      </w:pPr>
    </w:p>
    <w:p w14:paraId="7CC3A500" w14:textId="77777777" w:rsidR="002C3BB1" w:rsidRPr="00DE4CD2" w:rsidRDefault="002C3BB1" w:rsidP="00D83E17">
      <w:pPr>
        <w:ind w:left="284" w:hanging="284"/>
        <w:rPr>
          <w:rFonts w:asciiTheme="majorHAnsi" w:hAnsiTheme="majorHAnsi" w:cstheme="majorHAnsi"/>
          <w:sz w:val="22"/>
          <w:szCs w:val="22"/>
        </w:rPr>
      </w:pPr>
      <w:r w:rsidRPr="00DE4CD2">
        <w:rPr>
          <w:rFonts w:asciiTheme="majorHAnsi" w:hAnsiTheme="majorHAnsi" w:cstheme="majorHAnsi"/>
          <w:sz w:val="22"/>
          <w:szCs w:val="22"/>
        </w:rPr>
        <w:t xml:space="preserve">Iversen, Eric (2023) How to monitor and analyse the labour-market placement of trained PhDs using linked datasets, RISIS Policy Brief, Issue 13:https://zenodo.org/records/8004816 </w:t>
      </w:r>
    </w:p>
    <w:p w14:paraId="67608463" w14:textId="77777777" w:rsidR="002C3BB1" w:rsidRPr="00DE4CD2" w:rsidRDefault="002C3BB1" w:rsidP="00D83E17">
      <w:pPr>
        <w:ind w:left="284" w:hanging="284"/>
        <w:rPr>
          <w:rFonts w:asciiTheme="majorHAnsi" w:hAnsiTheme="majorHAnsi" w:cstheme="majorHAnsi"/>
          <w:sz w:val="22"/>
          <w:szCs w:val="22"/>
        </w:rPr>
      </w:pPr>
    </w:p>
    <w:p w14:paraId="1F47C0BF" w14:textId="789DE56F" w:rsidR="002C3BB1" w:rsidRPr="00DE4CD2" w:rsidRDefault="002C3BB1" w:rsidP="00D83E17">
      <w:pPr>
        <w:ind w:left="284" w:hanging="284"/>
        <w:rPr>
          <w:rFonts w:asciiTheme="majorHAnsi" w:hAnsiTheme="majorHAnsi" w:cstheme="majorHAnsi"/>
          <w:sz w:val="22"/>
          <w:szCs w:val="22"/>
        </w:rPr>
      </w:pPr>
      <w:r w:rsidRPr="00DE4CD2">
        <w:rPr>
          <w:rFonts w:asciiTheme="majorHAnsi" w:hAnsiTheme="majorHAnsi" w:cstheme="majorHAnsi"/>
          <w:sz w:val="22"/>
          <w:szCs w:val="22"/>
        </w:rPr>
        <w:t xml:space="preserve">Iversen, Eric J. &amp; Zach </w:t>
      </w:r>
      <w:proofErr w:type="spellStart"/>
      <w:r w:rsidRPr="00DE4CD2">
        <w:rPr>
          <w:rFonts w:asciiTheme="majorHAnsi" w:hAnsiTheme="majorHAnsi" w:cstheme="majorHAnsi"/>
          <w:sz w:val="22"/>
          <w:szCs w:val="22"/>
        </w:rPr>
        <w:t>Andreadakis</w:t>
      </w:r>
      <w:proofErr w:type="spellEnd"/>
      <w:r w:rsidRPr="00DE4CD2">
        <w:rPr>
          <w:rFonts w:asciiTheme="majorHAnsi" w:hAnsiTheme="majorHAnsi" w:cstheme="majorHAnsi"/>
          <w:sz w:val="22"/>
          <w:szCs w:val="22"/>
        </w:rPr>
        <w:t xml:space="preserve"> (2023) The labour-market placement of trained PhDs outside academia: measurement and analysis. Presented at the Atlanta Conference on Science and Innovation Policy: Georgia Tech 24-26 May 2023. And the Policy Seminar in Brussels.</w:t>
      </w:r>
    </w:p>
    <w:p w14:paraId="5C77DE04" w14:textId="77777777" w:rsidR="002C3BB1" w:rsidRPr="00DE4CD2" w:rsidRDefault="002C3BB1" w:rsidP="00D83E17">
      <w:pPr>
        <w:ind w:left="284" w:hanging="284"/>
        <w:rPr>
          <w:rFonts w:asciiTheme="majorHAnsi" w:hAnsiTheme="majorHAnsi" w:cstheme="majorHAnsi"/>
          <w:sz w:val="22"/>
          <w:szCs w:val="22"/>
        </w:rPr>
      </w:pPr>
    </w:p>
    <w:p w14:paraId="1EBA1F9A" w14:textId="77777777" w:rsidR="002C3BB1" w:rsidRPr="00DE4CD2" w:rsidRDefault="002C3BB1" w:rsidP="00D83E17">
      <w:pPr>
        <w:ind w:left="284" w:hanging="284"/>
        <w:rPr>
          <w:rFonts w:asciiTheme="majorHAnsi" w:hAnsiTheme="majorHAnsi" w:cstheme="majorHAnsi"/>
          <w:sz w:val="22"/>
          <w:szCs w:val="22"/>
        </w:rPr>
      </w:pPr>
      <w:r w:rsidRPr="00DE4CD2">
        <w:rPr>
          <w:rFonts w:asciiTheme="majorHAnsi" w:hAnsiTheme="majorHAnsi" w:cstheme="majorHAnsi"/>
          <w:sz w:val="22"/>
          <w:szCs w:val="22"/>
        </w:rPr>
        <w:t xml:space="preserve">Iversen, Eric J. &amp; Marco </w:t>
      </w:r>
      <w:proofErr w:type="spellStart"/>
      <w:r w:rsidRPr="00DE4CD2">
        <w:rPr>
          <w:rFonts w:asciiTheme="majorHAnsi" w:hAnsiTheme="majorHAnsi" w:cstheme="majorHAnsi"/>
          <w:sz w:val="22"/>
          <w:szCs w:val="22"/>
        </w:rPr>
        <w:t>Capasso</w:t>
      </w:r>
      <w:proofErr w:type="spellEnd"/>
      <w:r w:rsidRPr="00DE4CD2">
        <w:rPr>
          <w:rFonts w:asciiTheme="majorHAnsi" w:hAnsiTheme="majorHAnsi" w:cstheme="majorHAnsi"/>
          <w:sz w:val="22"/>
          <w:szCs w:val="22"/>
        </w:rPr>
        <w:t xml:space="preserve"> (2021) The </w:t>
      </w:r>
      <w:proofErr w:type="spellStart"/>
      <w:r w:rsidRPr="00DE4CD2">
        <w:rPr>
          <w:rFonts w:asciiTheme="majorHAnsi" w:hAnsiTheme="majorHAnsi" w:cstheme="majorHAnsi"/>
          <w:sz w:val="22"/>
          <w:szCs w:val="22"/>
        </w:rPr>
        <w:t>labor</w:t>
      </w:r>
      <w:proofErr w:type="spellEnd"/>
      <w:r w:rsidRPr="00DE4CD2">
        <w:rPr>
          <w:rFonts w:asciiTheme="majorHAnsi" w:hAnsiTheme="majorHAnsi" w:cstheme="majorHAnsi"/>
          <w:sz w:val="22"/>
          <w:szCs w:val="22"/>
        </w:rPr>
        <w:t xml:space="preserve">-market placement of trained PhDs outside academia: measurement and analysis, RISIS Research Seminar: April 2021. </w:t>
      </w:r>
      <w:hyperlink r:id="rId84" w:history="1">
        <w:r w:rsidRPr="00DE4CD2">
          <w:rPr>
            <w:rStyle w:val="Hyperlink"/>
            <w:rFonts w:asciiTheme="majorHAnsi" w:hAnsiTheme="majorHAnsi" w:cstheme="majorHAnsi"/>
            <w:color w:val="auto"/>
            <w:sz w:val="22"/>
            <w:szCs w:val="22"/>
          </w:rPr>
          <w:t>https://zenodo.org/records/4705508</w:t>
        </w:r>
      </w:hyperlink>
    </w:p>
    <w:p w14:paraId="0E70FA87" w14:textId="77777777" w:rsidR="002C3BB1" w:rsidRPr="00DE4CD2" w:rsidRDefault="002C3BB1" w:rsidP="00D83E17">
      <w:pPr>
        <w:ind w:left="284" w:hanging="284"/>
        <w:rPr>
          <w:rFonts w:asciiTheme="majorHAnsi" w:hAnsiTheme="majorHAnsi" w:cstheme="majorHAnsi"/>
          <w:sz w:val="22"/>
          <w:szCs w:val="22"/>
          <w:lang w:val="en-US"/>
        </w:rPr>
      </w:pPr>
    </w:p>
    <w:p w14:paraId="15833139" w14:textId="77777777" w:rsidR="00057971" w:rsidRPr="00057971" w:rsidRDefault="00057971" w:rsidP="00057971">
      <w:pPr>
        <w:ind w:left="284" w:hanging="284"/>
        <w:rPr>
          <w:rFonts w:asciiTheme="majorHAnsi" w:hAnsiTheme="majorHAnsi" w:cstheme="majorHAnsi"/>
          <w:sz w:val="22"/>
          <w:szCs w:val="22"/>
          <w:lang w:val="en-US"/>
        </w:rPr>
      </w:pPr>
      <w:proofErr w:type="spellStart"/>
      <w:r w:rsidRPr="00057971">
        <w:rPr>
          <w:rFonts w:asciiTheme="majorHAnsi" w:hAnsiTheme="majorHAnsi" w:cstheme="majorHAnsi"/>
          <w:sz w:val="22"/>
          <w:szCs w:val="22"/>
          <w:lang w:val="en-US"/>
        </w:rPr>
        <w:t>Jappe</w:t>
      </w:r>
      <w:proofErr w:type="spellEnd"/>
      <w:r w:rsidRPr="00057971">
        <w:rPr>
          <w:rFonts w:asciiTheme="majorHAnsi" w:hAnsiTheme="majorHAnsi" w:cstheme="majorHAnsi"/>
          <w:sz w:val="22"/>
          <w:szCs w:val="22"/>
          <w:lang w:val="en-US"/>
        </w:rPr>
        <w:t>, Arlette (2019): Professional Standards in Bibliometric Research? A Meta-</w:t>
      </w:r>
      <w:proofErr w:type="spellStart"/>
      <w:r w:rsidRPr="00057971">
        <w:rPr>
          <w:rFonts w:asciiTheme="majorHAnsi" w:hAnsiTheme="majorHAnsi" w:cstheme="majorHAnsi"/>
          <w:sz w:val="22"/>
          <w:szCs w:val="22"/>
          <w:lang w:val="en-US"/>
        </w:rPr>
        <w:t>Evaulation</w:t>
      </w:r>
      <w:proofErr w:type="spellEnd"/>
      <w:r w:rsidRPr="00057971">
        <w:rPr>
          <w:rFonts w:asciiTheme="majorHAnsi" w:hAnsiTheme="majorHAnsi" w:cstheme="majorHAnsi"/>
          <w:sz w:val="22"/>
          <w:szCs w:val="22"/>
          <w:lang w:val="en-US"/>
        </w:rPr>
        <w:t xml:space="preserve"> of European Assessment Practices 2005-2019, https://doi.org/10.1371/journal.pone.0231735.</w:t>
      </w:r>
    </w:p>
    <w:p w14:paraId="65041A17" w14:textId="77777777" w:rsidR="00057971" w:rsidRPr="00057971" w:rsidRDefault="00057971" w:rsidP="00057971">
      <w:pPr>
        <w:ind w:left="284" w:hanging="284"/>
        <w:rPr>
          <w:rFonts w:asciiTheme="majorHAnsi" w:hAnsiTheme="majorHAnsi" w:cstheme="majorHAnsi"/>
          <w:sz w:val="22"/>
          <w:szCs w:val="22"/>
          <w:lang w:val="en-US"/>
        </w:rPr>
      </w:pPr>
    </w:p>
    <w:p w14:paraId="451C03BB" w14:textId="68F08575" w:rsidR="00D22538" w:rsidRPr="00DE4CD2" w:rsidRDefault="00D22538"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en-US"/>
        </w:rPr>
        <w:t xml:space="preserve">Jongbloed, B., McGrath, C., de Boer, H.F., de </w:t>
      </w:r>
      <w:proofErr w:type="spellStart"/>
      <w:r w:rsidRPr="00DE4CD2">
        <w:rPr>
          <w:rFonts w:asciiTheme="majorHAnsi" w:hAnsiTheme="majorHAnsi" w:cstheme="majorHAnsi"/>
          <w:sz w:val="22"/>
          <w:szCs w:val="22"/>
          <w:lang w:val="en-US"/>
        </w:rPr>
        <w:t>Gayardon</w:t>
      </w:r>
      <w:proofErr w:type="spellEnd"/>
      <w:r w:rsidRPr="00DE4CD2">
        <w:rPr>
          <w:rFonts w:asciiTheme="majorHAnsi" w:hAnsiTheme="majorHAnsi" w:cstheme="majorHAnsi"/>
          <w:sz w:val="22"/>
          <w:szCs w:val="22"/>
          <w:lang w:val="en-US"/>
        </w:rPr>
        <w:t xml:space="preserve">, A., 2023. Final report of the study on the state and effectiveness of national funding systems of higher education to support the European universities initiative. Volume I. Directorate-General for Education, Youth, Sport and Culture Youth, Education and Erasmus+, </w:t>
      </w:r>
    </w:p>
    <w:p w14:paraId="3699CB60" w14:textId="77777777" w:rsidR="00D22538" w:rsidRPr="00DE4CD2" w:rsidRDefault="00D22538" w:rsidP="00D83E17">
      <w:pPr>
        <w:ind w:left="284" w:hanging="284"/>
        <w:rPr>
          <w:rFonts w:asciiTheme="majorHAnsi" w:hAnsiTheme="majorHAnsi" w:cstheme="majorHAnsi"/>
          <w:sz w:val="22"/>
          <w:szCs w:val="22"/>
          <w:lang w:val="en-US"/>
        </w:rPr>
      </w:pPr>
    </w:p>
    <w:p w14:paraId="6F085335" w14:textId="77777777" w:rsidR="00057971" w:rsidRPr="00057971" w:rsidRDefault="00057971" w:rsidP="00057971">
      <w:pPr>
        <w:ind w:left="284" w:hanging="284"/>
        <w:rPr>
          <w:rFonts w:asciiTheme="majorHAnsi" w:hAnsiTheme="majorHAnsi" w:cstheme="majorHAnsi"/>
          <w:sz w:val="22"/>
          <w:szCs w:val="22"/>
          <w:lang w:val="en-US"/>
        </w:rPr>
      </w:pPr>
      <w:proofErr w:type="spellStart"/>
      <w:r w:rsidRPr="00057971">
        <w:rPr>
          <w:rFonts w:asciiTheme="majorHAnsi" w:hAnsiTheme="majorHAnsi" w:cstheme="majorHAnsi"/>
          <w:sz w:val="22"/>
          <w:szCs w:val="22"/>
          <w:lang w:val="en-US"/>
        </w:rPr>
        <w:t>Kubera</w:t>
      </w:r>
      <w:proofErr w:type="spellEnd"/>
      <w:r w:rsidRPr="00057971">
        <w:rPr>
          <w:rFonts w:asciiTheme="majorHAnsi" w:hAnsiTheme="majorHAnsi" w:cstheme="majorHAnsi"/>
          <w:sz w:val="22"/>
          <w:szCs w:val="22"/>
          <w:lang w:val="en-US"/>
        </w:rPr>
        <w:t>, Paulina (2017): Conceptual Framework for Evaluation of Economic Impacts of RDI Instruments.</w:t>
      </w:r>
    </w:p>
    <w:p w14:paraId="2D6CFF35" w14:textId="77777777" w:rsidR="00057971" w:rsidRPr="00057971" w:rsidRDefault="00057971" w:rsidP="00057971">
      <w:pPr>
        <w:ind w:left="284" w:hanging="284"/>
        <w:rPr>
          <w:rFonts w:asciiTheme="majorHAnsi" w:hAnsiTheme="majorHAnsi" w:cstheme="majorHAnsi"/>
          <w:sz w:val="22"/>
          <w:szCs w:val="22"/>
          <w:lang w:val="en-US"/>
        </w:rPr>
      </w:pPr>
    </w:p>
    <w:p w14:paraId="49875DE8" w14:textId="77777777" w:rsidR="00057971" w:rsidRPr="00057971" w:rsidRDefault="00057971" w:rsidP="00057971">
      <w:pPr>
        <w:ind w:left="284" w:hanging="284"/>
        <w:rPr>
          <w:rFonts w:asciiTheme="majorHAnsi" w:hAnsiTheme="majorHAnsi" w:cstheme="majorHAnsi"/>
          <w:sz w:val="22"/>
          <w:szCs w:val="22"/>
          <w:lang w:val="en-US"/>
        </w:rPr>
      </w:pPr>
      <w:proofErr w:type="spellStart"/>
      <w:r w:rsidRPr="00057971">
        <w:rPr>
          <w:rFonts w:asciiTheme="majorHAnsi" w:hAnsiTheme="majorHAnsi" w:cstheme="majorHAnsi"/>
          <w:sz w:val="22"/>
          <w:szCs w:val="22"/>
          <w:lang w:val="en-US"/>
        </w:rPr>
        <w:t>Kubera</w:t>
      </w:r>
      <w:proofErr w:type="spellEnd"/>
      <w:r w:rsidRPr="00057971">
        <w:rPr>
          <w:rFonts w:asciiTheme="majorHAnsi" w:hAnsiTheme="majorHAnsi" w:cstheme="majorHAnsi"/>
          <w:sz w:val="22"/>
          <w:szCs w:val="22"/>
          <w:lang w:val="en-US"/>
        </w:rPr>
        <w:t xml:space="preserve">, Paulina (2019): Evaluation of Public Interventions in a Complex Environment: Developing Generalizable Knowledge from Case Studies. In: Journal of Positive Management Vol. 10 No. 2, pp. 42-55. </w:t>
      </w:r>
    </w:p>
    <w:p w14:paraId="692A7C53" w14:textId="77777777" w:rsidR="00057971" w:rsidRPr="00057971" w:rsidRDefault="00057971" w:rsidP="00057971">
      <w:pPr>
        <w:ind w:left="284" w:hanging="284"/>
        <w:rPr>
          <w:rFonts w:asciiTheme="majorHAnsi" w:hAnsiTheme="majorHAnsi" w:cstheme="majorHAnsi"/>
          <w:sz w:val="22"/>
          <w:szCs w:val="22"/>
          <w:lang w:val="en-US"/>
        </w:rPr>
      </w:pPr>
    </w:p>
    <w:p w14:paraId="1DF05D56" w14:textId="77777777" w:rsidR="00057971" w:rsidRDefault="00057971" w:rsidP="00057971">
      <w:pPr>
        <w:ind w:left="284" w:hanging="284"/>
        <w:rPr>
          <w:rFonts w:asciiTheme="majorHAnsi" w:hAnsiTheme="majorHAnsi" w:cstheme="majorHAnsi"/>
          <w:sz w:val="22"/>
          <w:szCs w:val="22"/>
          <w:lang w:val="en-US"/>
        </w:rPr>
      </w:pPr>
      <w:proofErr w:type="spellStart"/>
      <w:r w:rsidRPr="00057971">
        <w:rPr>
          <w:rFonts w:asciiTheme="majorHAnsi" w:hAnsiTheme="majorHAnsi" w:cstheme="majorHAnsi"/>
          <w:sz w:val="22"/>
          <w:szCs w:val="22"/>
          <w:lang w:val="en-US"/>
        </w:rPr>
        <w:t>Laatsit</w:t>
      </w:r>
      <w:proofErr w:type="spellEnd"/>
      <w:r w:rsidRPr="00057971">
        <w:rPr>
          <w:rFonts w:asciiTheme="majorHAnsi" w:hAnsiTheme="majorHAnsi" w:cstheme="majorHAnsi"/>
          <w:sz w:val="22"/>
          <w:szCs w:val="22"/>
          <w:lang w:val="en-US"/>
        </w:rPr>
        <w:t>, Mart (2019): Policy Learning in Innovation Policy: A Comparative Analysis of European Union Member states, PhD Series No 2/2019, https://www.econstor.eu/bitstream/10419/209096/1/cbs-phd2019-02.pdf.</w:t>
      </w:r>
    </w:p>
    <w:p w14:paraId="1F969614" w14:textId="77777777" w:rsidR="00057971" w:rsidRDefault="00057971" w:rsidP="00D83E17">
      <w:pPr>
        <w:ind w:left="284" w:hanging="284"/>
        <w:rPr>
          <w:rFonts w:asciiTheme="majorHAnsi" w:hAnsiTheme="majorHAnsi" w:cstheme="majorHAnsi"/>
          <w:sz w:val="22"/>
          <w:szCs w:val="22"/>
          <w:lang w:val="en-US"/>
        </w:rPr>
      </w:pPr>
    </w:p>
    <w:p w14:paraId="32086D17" w14:textId="4C457497" w:rsidR="00D22538" w:rsidRPr="00DE4CD2" w:rsidRDefault="00D22538" w:rsidP="00D83E17">
      <w:pPr>
        <w:ind w:left="284" w:hanging="284"/>
        <w:rPr>
          <w:rFonts w:asciiTheme="majorHAnsi" w:hAnsiTheme="majorHAnsi" w:cstheme="majorHAnsi"/>
          <w:sz w:val="22"/>
          <w:szCs w:val="22"/>
          <w:lang w:val="en-US"/>
        </w:rPr>
      </w:pPr>
      <w:proofErr w:type="spellStart"/>
      <w:r w:rsidRPr="00DE4CD2">
        <w:rPr>
          <w:rFonts w:asciiTheme="majorHAnsi" w:hAnsiTheme="majorHAnsi" w:cstheme="majorHAnsi"/>
          <w:sz w:val="22"/>
          <w:szCs w:val="22"/>
          <w:lang w:val="en-US"/>
        </w:rPr>
        <w:t>Lambrechts</w:t>
      </w:r>
      <w:proofErr w:type="spellEnd"/>
      <w:r w:rsidRPr="00DE4CD2">
        <w:rPr>
          <w:rFonts w:asciiTheme="majorHAnsi" w:hAnsiTheme="majorHAnsi" w:cstheme="majorHAnsi"/>
          <w:sz w:val="22"/>
          <w:szCs w:val="22"/>
          <w:lang w:val="en-US"/>
        </w:rPr>
        <w:t xml:space="preserve">, A.A., Cavallaro, M., Lepori, B., 2023. The European Universities initiative: between status hierarchies and diversity. </w:t>
      </w:r>
    </w:p>
    <w:p w14:paraId="61BB5181" w14:textId="77777777" w:rsidR="00D22538" w:rsidRPr="00DE4CD2" w:rsidRDefault="00D22538" w:rsidP="00D83E17">
      <w:pPr>
        <w:ind w:left="284" w:hanging="284"/>
        <w:rPr>
          <w:rFonts w:asciiTheme="majorHAnsi" w:hAnsiTheme="majorHAnsi" w:cstheme="majorHAnsi"/>
          <w:sz w:val="22"/>
          <w:szCs w:val="22"/>
          <w:lang w:val="en-US"/>
        </w:rPr>
      </w:pPr>
    </w:p>
    <w:p w14:paraId="037AA25B" w14:textId="77777777" w:rsidR="00880919" w:rsidRPr="00DE4CD2" w:rsidRDefault="00880919"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en-US"/>
        </w:rPr>
        <w:t>Lata, R., Scherngell, T. and Brenner, T. (2015): Integration Processes in European R&amp;D: A comparative spatial interaction approach using project based R&amp;D networks, co-patent networks and co-publication networks, Geographical Analysis 47, 349-375</w:t>
      </w:r>
    </w:p>
    <w:p w14:paraId="32FBDDD9" w14:textId="77777777" w:rsidR="00880919" w:rsidRPr="00DE4CD2" w:rsidRDefault="00880919" w:rsidP="00D83E17">
      <w:pPr>
        <w:ind w:left="284" w:hanging="284"/>
        <w:rPr>
          <w:rFonts w:asciiTheme="majorHAnsi" w:hAnsiTheme="majorHAnsi" w:cstheme="majorHAnsi"/>
          <w:sz w:val="22"/>
          <w:szCs w:val="22"/>
          <w:lang w:val="en-US"/>
        </w:rPr>
      </w:pPr>
    </w:p>
    <w:p w14:paraId="084DE666" w14:textId="22305364" w:rsidR="00D22538" w:rsidRPr="00DE4CD2" w:rsidRDefault="00D22538"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de-DE"/>
        </w:rPr>
        <w:t xml:space="preserve">Lepori, B., Seeber, M., Bonaccorsi, A., 2014. </w:t>
      </w:r>
      <w:r w:rsidRPr="00DE4CD2">
        <w:rPr>
          <w:rFonts w:asciiTheme="majorHAnsi" w:hAnsiTheme="majorHAnsi" w:cstheme="majorHAnsi"/>
          <w:sz w:val="22"/>
          <w:szCs w:val="22"/>
          <w:lang w:val="en-US"/>
        </w:rPr>
        <w:t xml:space="preserve">Competition for talent. Country and organizational-level effects in the internationalization of European higher education institutions. Research Policy </w:t>
      </w:r>
    </w:p>
    <w:p w14:paraId="61ED0C99" w14:textId="77777777" w:rsidR="00D22538" w:rsidRPr="00DE4CD2" w:rsidRDefault="00D22538" w:rsidP="00D83E17">
      <w:pPr>
        <w:ind w:left="284" w:hanging="284"/>
        <w:rPr>
          <w:rFonts w:asciiTheme="majorHAnsi" w:hAnsiTheme="majorHAnsi" w:cstheme="majorHAnsi"/>
          <w:sz w:val="22"/>
          <w:szCs w:val="22"/>
          <w:lang w:val="en-US"/>
        </w:rPr>
      </w:pPr>
    </w:p>
    <w:p w14:paraId="2F8C7EC5" w14:textId="422A0ACC" w:rsidR="00D22538" w:rsidRPr="00DE4CD2" w:rsidRDefault="00D22538"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en-US"/>
        </w:rPr>
        <w:lastRenderedPageBreak/>
        <w:t>Lepori, B., 2022. The heterogeneity of European Higher Education Institutions: a configurational approach. Studies in Higher Education 47(9), 1827-1843.</w:t>
      </w:r>
    </w:p>
    <w:p w14:paraId="229A75A3" w14:textId="77777777" w:rsidR="00D22538" w:rsidRPr="00DE4CD2" w:rsidRDefault="00D22538" w:rsidP="00D83E17">
      <w:pPr>
        <w:ind w:left="284" w:hanging="284"/>
        <w:rPr>
          <w:rFonts w:asciiTheme="majorHAnsi" w:hAnsiTheme="majorHAnsi" w:cstheme="majorHAnsi"/>
          <w:sz w:val="22"/>
          <w:szCs w:val="22"/>
          <w:lang w:val="en-US"/>
        </w:rPr>
      </w:pPr>
    </w:p>
    <w:p w14:paraId="3BE80962" w14:textId="5E093747" w:rsidR="00D22538" w:rsidRPr="00DE4CD2" w:rsidRDefault="00D22538"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en-US"/>
        </w:rPr>
        <w:t>Lepori, B., 2020. A register of public-sector research organizations as a tool for research policy studies and evaluation. Research Evaluation 29(4), 355-365.</w:t>
      </w:r>
    </w:p>
    <w:p w14:paraId="7C0A5270" w14:textId="77777777" w:rsidR="00D22538" w:rsidRPr="00DE4CD2" w:rsidRDefault="00D22538" w:rsidP="00D83E17">
      <w:pPr>
        <w:ind w:left="284" w:hanging="284"/>
        <w:rPr>
          <w:rFonts w:asciiTheme="majorHAnsi" w:hAnsiTheme="majorHAnsi" w:cstheme="majorHAnsi"/>
          <w:sz w:val="22"/>
          <w:szCs w:val="22"/>
          <w:lang w:val="en-US"/>
        </w:rPr>
      </w:pPr>
    </w:p>
    <w:p w14:paraId="4FBCC8D2" w14:textId="1A9FB5B3" w:rsidR="00D22538" w:rsidRPr="00DE4CD2" w:rsidRDefault="00D22538"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en-US"/>
        </w:rPr>
        <w:t xml:space="preserve">Lepori, B., </w:t>
      </w:r>
      <w:proofErr w:type="spellStart"/>
      <w:r w:rsidRPr="00DE4CD2">
        <w:rPr>
          <w:rFonts w:asciiTheme="majorHAnsi" w:hAnsiTheme="majorHAnsi" w:cstheme="majorHAnsi"/>
          <w:sz w:val="22"/>
          <w:szCs w:val="22"/>
          <w:lang w:val="en-US"/>
        </w:rPr>
        <w:t>Geuna</w:t>
      </w:r>
      <w:proofErr w:type="spellEnd"/>
      <w:r w:rsidRPr="00DE4CD2">
        <w:rPr>
          <w:rFonts w:asciiTheme="majorHAnsi" w:hAnsiTheme="majorHAnsi" w:cstheme="majorHAnsi"/>
          <w:sz w:val="22"/>
          <w:szCs w:val="22"/>
          <w:lang w:val="en-US"/>
        </w:rPr>
        <w:t xml:space="preserve">, A., Mira, A., 2019. Scientific output scales with resources. A comparison of US and European universities. </w:t>
      </w:r>
      <w:proofErr w:type="spellStart"/>
      <w:r w:rsidRPr="00DE4CD2">
        <w:rPr>
          <w:rFonts w:asciiTheme="majorHAnsi" w:hAnsiTheme="majorHAnsi" w:cstheme="majorHAnsi"/>
          <w:sz w:val="22"/>
          <w:szCs w:val="22"/>
          <w:lang w:val="en-US"/>
        </w:rPr>
        <w:t>PloS</w:t>
      </w:r>
      <w:proofErr w:type="spellEnd"/>
      <w:r w:rsidRPr="00DE4CD2">
        <w:rPr>
          <w:rFonts w:asciiTheme="majorHAnsi" w:hAnsiTheme="majorHAnsi" w:cstheme="majorHAnsi"/>
          <w:sz w:val="22"/>
          <w:szCs w:val="22"/>
          <w:lang w:val="en-US"/>
        </w:rPr>
        <w:t xml:space="preserve"> one 14(10)</w:t>
      </w:r>
    </w:p>
    <w:p w14:paraId="13185233" w14:textId="77777777" w:rsidR="00D22538" w:rsidRPr="00DE4CD2" w:rsidRDefault="00D22538" w:rsidP="00D83E17">
      <w:pPr>
        <w:ind w:left="284" w:hanging="284"/>
        <w:rPr>
          <w:rFonts w:asciiTheme="majorHAnsi" w:hAnsiTheme="majorHAnsi" w:cstheme="majorHAnsi"/>
          <w:sz w:val="22"/>
          <w:szCs w:val="22"/>
          <w:lang w:val="en-US"/>
        </w:rPr>
      </w:pPr>
    </w:p>
    <w:p w14:paraId="1871006D" w14:textId="33099EA8" w:rsidR="00D22538" w:rsidRPr="00DE4CD2" w:rsidRDefault="00D22538"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en-US"/>
        </w:rPr>
        <w:t xml:space="preserve">Lepori, B., </w:t>
      </w:r>
      <w:proofErr w:type="spellStart"/>
      <w:r w:rsidRPr="00DE4CD2">
        <w:rPr>
          <w:rFonts w:asciiTheme="majorHAnsi" w:hAnsiTheme="majorHAnsi" w:cstheme="majorHAnsi"/>
          <w:sz w:val="22"/>
          <w:szCs w:val="22"/>
          <w:lang w:val="en-US"/>
        </w:rPr>
        <w:t>Lambrechts</w:t>
      </w:r>
      <w:proofErr w:type="spellEnd"/>
      <w:r w:rsidRPr="00DE4CD2">
        <w:rPr>
          <w:rFonts w:asciiTheme="majorHAnsi" w:hAnsiTheme="majorHAnsi" w:cstheme="majorHAnsi"/>
          <w:sz w:val="22"/>
          <w:szCs w:val="22"/>
          <w:lang w:val="en-US"/>
        </w:rPr>
        <w:t>, A.A., Wagner-Schuster, D., Zahradnik, G., 2023. The European Tertiary Education Register, the reference dataset on European Higher Education Institutions. Scientific Data 10, 438.</w:t>
      </w:r>
    </w:p>
    <w:p w14:paraId="039CD0F1" w14:textId="77777777" w:rsidR="00D22538" w:rsidRPr="00DE4CD2" w:rsidRDefault="00D22538" w:rsidP="00D83E17">
      <w:pPr>
        <w:ind w:left="284" w:hanging="284"/>
        <w:rPr>
          <w:rFonts w:asciiTheme="majorHAnsi" w:hAnsiTheme="majorHAnsi" w:cstheme="majorHAnsi"/>
          <w:sz w:val="22"/>
          <w:szCs w:val="22"/>
          <w:lang w:val="en-US"/>
        </w:rPr>
      </w:pPr>
    </w:p>
    <w:p w14:paraId="3A2CFAB6" w14:textId="384D2BF9" w:rsidR="002C3BB1" w:rsidRPr="00DE4CD2" w:rsidRDefault="002C3BB1"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en-US"/>
        </w:rPr>
        <w:t>Lepori, B. (2017). Analysis of National Public Research Funding PREF. Handbook for Data Collection and indicators production, Publications Office of the European Union, ISBN: 978-92-79-71308-8.</w:t>
      </w:r>
    </w:p>
    <w:p w14:paraId="6A9AFA59" w14:textId="77777777" w:rsidR="002C3BB1" w:rsidRPr="00DE4CD2" w:rsidRDefault="002C3BB1" w:rsidP="00D83E17">
      <w:pPr>
        <w:ind w:left="284" w:hanging="284"/>
        <w:rPr>
          <w:rFonts w:asciiTheme="majorHAnsi" w:hAnsiTheme="majorHAnsi" w:cstheme="majorHAnsi"/>
          <w:sz w:val="22"/>
          <w:szCs w:val="22"/>
          <w:lang w:val="en-US"/>
        </w:rPr>
      </w:pPr>
    </w:p>
    <w:p w14:paraId="56830731" w14:textId="77777777" w:rsidR="002C3BB1" w:rsidRPr="00DE4CD2" w:rsidRDefault="002C3BB1"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en-US"/>
        </w:rPr>
        <w:t>Lepori, B., Reale, E., Spinello, A.O. (2018). Conceptualizing and measuring performance orientation of research funding systems. Research Evaluation, Vol. 27, Issue 3, pp. 171-183.</w:t>
      </w:r>
    </w:p>
    <w:p w14:paraId="7BB7BAFD" w14:textId="77777777" w:rsidR="002C3BB1" w:rsidRPr="00DE4CD2" w:rsidRDefault="002C3BB1" w:rsidP="00D83E17">
      <w:pPr>
        <w:ind w:left="284" w:hanging="284"/>
        <w:rPr>
          <w:rFonts w:asciiTheme="majorHAnsi" w:hAnsiTheme="majorHAnsi" w:cstheme="majorHAnsi"/>
          <w:sz w:val="22"/>
          <w:szCs w:val="22"/>
          <w:lang w:val="en-US"/>
        </w:rPr>
      </w:pPr>
    </w:p>
    <w:p w14:paraId="528D7418" w14:textId="77777777" w:rsidR="002C3BB1" w:rsidRPr="00DE4CD2" w:rsidRDefault="002C3BB1"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en-US"/>
        </w:rPr>
        <w:t>Lepori, B., Reale, E., Cocos, M. (2022). Managing ideational complexity in public policies: The case of public research funding. Journal of Public Policy, 43(1) 157-178</w:t>
      </w:r>
    </w:p>
    <w:p w14:paraId="17ABA40C" w14:textId="77777777" w:rsidR="002C3BB1" w:rsidRPr="00DE4CD2" w:rsidRDefault="002C3BB1" w:rsidP="00D83E17">
      <w:pPr>
        <w:ind w:left="284" w:hanging="284"/>
        <w:rPr>
          <w:rFonts w:asciiTheme="majorHAnsi" w:hAnsiTheme="majorHAnsi" w:cstheme="majorHAnsi"/>
          <w:sz w:val="22"/>
          <w:szCs w:val="22"/>
          <w:lang w:val="en-US"/>
        </w:rPr>
      </w:pPr>
    </w:p>
    <w:p w14:paraId="7A500769" w14:textId="77777777" w:rsidR="00057971" w:rsidRPr="00057971" w:rsidRDefault="00057971" w:rsidP="00057971">
      <w:pPr>
        <w:ind w:left="284" w:hanging="284"/>
        <w:rPr>
          <w:rFonts w:asciiTheme="majorHAnsi" w:hAnsiTheme="majorHAnsi" w:cstheme="majorHAnsi"/>
          <w:sz w:val="22"/>
          <w:szCs w:val="22"/>
          <w:lang w:val="en-US"/>
        </w:rPr>
      </w:pPr>
      <w:r w:rsidRPr="00057971">
        <w:rPr>
          <w:rFonts w:asciiTheme="majorHAnsi" w:hAnsiTheme="majorHAnsi" w:cstheme="majorHAnsi"/>
          <w:sz w:val="22"/>
          <w:szCs w:val="22"/>
          <w:lang w:val="en-US"/>
        </w:rPr>
        <w:t xml:space="preserve">Monguzzi, Annalisa &amp; </w:t>
      </w:r>
      <w:proofErr w:type="spellStart"/>
      <w:r w:rsidRPr="00057971">
        <w:rPr>
          <w:rFonts w:asciiTheme="majorHAnsi" w:hAnsiTheme="majorHAnsi" w:cstheme="majorHAnsi"/>
          <w:sz w:val="22"/>
          <w:szCs w:val="22"/>
          <w:lang w:val="en-US"/>
        </w:rPr>
        <w:t>Kasatkina</w:t>
      </w:r>
      <w:proofErr w:type="spellEnd"/>
      <w:r w:rsidRPr="00057971">
        <w:rPr>
          <w:rFonts w:asciiTheme="majorHAnsi" w:hAnsiTheme="majorHAnsi" w:cstheme="majorHAnsi"/>
          <w:sz w:val="22"/>
          <w:szCs w:val="22"/>
          <w:lang w:val="en-US"/>
        </w:rPr>
        <w:t xml:space="preserve">, </w:t>
      </w:r>
      <w:proofErr w:type="spellStart"/>
      <w:r w:rsidRPr="00057971">
        <w:rPr>
          <w:rFonts w:asciiTheme="majorHAnsi" w:hAnsiTheme="majorHAnsi" w:cstheme="majorHAnsi"/>
          <w:sz w:val="22"/>
          <w:szCs w:val="22"/>
          <w:lang w:val="en-US"/>
        </w:rPr>
        <w:t>Kseniia</w:t>
      </w:r>
      <w:proofErr w:type="spellEnd"/>
      <w:r w:rsidRPr="00057971">
        <w:rPr>
          <w:rFonts w:asciiTheme="majorHAnsi" w:hAnsiTheme="majorHAnsi" w:cstheme="majorHAnsi"/>
          <w:sz w:val="22"/>
          <w:szCs w:val="22"/>
          <w:lang w:val="en-US"/>
        </w:rPr>
        <w:t xml:space="preserve"> (2021): The social impact of Science, Technology, and Innovation policies: towards a meta-analytical investigation.</w:t>
      </w:r>
    </w:p>
    <w:p w14:paraId="6B393BA8" w14:textId="77777777" w:rsidR="00057971" w:rsidRPr="00057971" w:rsidRDefault="00057971" w:rsidP="00057971">
      <w:pPr>
        <w:ind w:left="284" w:hanging="284"/>
        <w:rPr>
          <w:rFonts w:asciiTheme="majorHAnsi" w:hAnsiTheme="majorHAnsi" w:cstheme="majorHAnsi"/>
          <w:sz w:val="22"/>
          <w:szCs w:val="22"/>
          <w:lang w:val="en-US"/>
        </w:rPr>
      </w:pPr>
    </w:p>
    <w:p w14:paraId="1AB427CD" w14:textId="1949978D" w:rsidR="00D83E17" w:rsidRPr="00DE4CD2" w:rsidRDefault="00D83E17"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en-US"/>
        </w:rPr>
        <w:t xml:space="preserve">Montanaro, B., </w:t>
      </w:r>
      <w:proofErr w:type="spellStart"/>
      <w:r w:rsidRPr="00DE4CD2">
        <w:rPr>
          <w:rFonts w:asciiTheme="majorHAnsi" w:hAnsiTheme="majorHAnsi" w:cstheme="majorHAnsi"/>
          <w:sz w:val="22"/>
          <w:szCs w:val="22"/>
          <w:lang w:val="en-US"/>
        </w:rPr>
        <w:t>Manigart</w:t>
      </w:r>
      <w:proofErr w:type="spellEnd"/>
      <w:r w:rsidRPr="00DE4CD2">
        <w:rPr>
          <w:rFonts w:asciiTheme="majorHAnsi" w:hAnsiTheme="majorHAnsi" w:cstheme="majorHAnsi"/>
          <w:sz w:val="22"/>
          <w:szCs w:val="22"/>
          <w:lang w:val="en-US"/>
        </w:rPr>
        <w:t xml:space="preserve">, S., &amp; </w:t>
      </w:r>
      <w:proofErr w:type="spellStart"/>
      <w:r w:rsidRPr="00DE4CD2">
        <w:rPr>
          <w:rFonts w:asciiTheme="majorHAnsi" w:hAnsiTheme="majorHAnsi" w:cstheme="majorHAnsi"/>
          <w:sz w:val="22"/>
          <w:szCs w:val="22"/>
          <w:lang w:val="en-US"/>
        </w:rPr>
        <w:t>Vanacker</w:t>
      </w:r>
      <w:proofErr w:type="spellEnd"/>
      <w:r w:rsidRPr="00DE4CD2">
        <w:rPr>
          <w:rFonts w:asciiTheme="majorHAnsi" w:hAnsiTheme="majorHAnsi" w:cstheme="majorHAnsi"/>
          <w:sz w:val="22"/>
          <w:szCs w:val="22"/>
          <w:lang w:val="en-US"/>
        </w:rPr>
        <w:t>, T. (2023). Venture Capital- Backing, the Pricing of Shares, and Post- Campaign Performance in Equity Crowdfunding. Working Paper.</w:t>
      </w:r>
    </w:p>
    <w:p w14:paraId="71FD3A58" w14:textId="77777777" w:rsidR="00D83E17" w:rsidRPr="00DE4CD2" w:rsidRDefault="00D83E17" w:rsidP="00D83E17">
      <w:pPr>
        <w:ind w:left="284" w:hanging="284"/>
        <w:rPr>
          <w:rFonts w:asciiTheme="majorHAnsi" w:hAnsiTheme="majorHAnsi" w:cstheme="majorHAnsi"/>
          <w:sz w:val="22"/>
          <w:szCs w:val="22"/>
          <w:lang w:val="en-US"/>
        </w:rPr>
      </w:pPr>
    </w:p>
    <w:p w14:paraId="1C7B3589" w14:textId="4ECEE392" w:rsidR="00065EEA" w:rsidRPr="00DE4CD2" w:rsidRDefault="00065EEA" w:rsidP="00D83E17">
      <w:pPr>
        <w:ind w:left="284" w:hanging="284"/>
        <w:rPr>
          <w:rFonts w:asciiTheme="majorHAnsi" w:hAnsiTheme="majorHAnsi" w:cstheme="majorHAnsi"/>
          <w:sz w:val="22"/>
          <w:szCs w:val="22"/>
          <w:lang w:val="en-US"/>
        </w:rPr>
      </w:pPr>
      <w:proofErr w:type="spellStart"/>
      <w:r w:rsidRPr="00DE4CD2">
        <w:rPr>
          <w:rFonts w:asciiTheme="majorHAnsi" w:hAnsiTheme="majorHAnsi" w:cstheme="majorHAnsi"/>
          <w:sz w:val="22"/>
          <w:szCs w:val="22"/>
          <w:lang w:val="en-US"/>
        </w:rPr>
        <w:t>Morettini</w:t>
      </w:r>
      <w:proofErr w:type="spellEnd"/>
      <w:r w:rsidRPr="00DE4CD2">
        <w:rPr>
          <w:rFonts w:asciiTheme="majorHAnsi" w:hAnsiTheme="majorHAnsi" w:cstheme="majorHAnsi"/>
          <w:sz w:val="22"/>
          <w:szCs w:val="22"/>
          <w:lang w:val="en-US"/>
        </w:rPr>
        <w:t xml:space="preserve">, L., </w:t>
      </w:r>
      <w:proofErr w:type="spellStart"/>
      <w:r w:rsidRPr="00DE4CD2">
        <w:rPr>
          <w:rFonts w:asciiTheme="majorHAnsi" w:hAnsiTheme="majorHAnsi" w:cstheme="majorHAnsi"/>
          <w:sz w:val="22"/>
          <w:szCs w:val="22"/>
          <w:lang w:val="en-US"/>
        </w:rPr>
        <w:t>Potì</w:t>
      </w:r>
      <w:proofErr w:type="spellEnd"/>
      <w:r w:rsidRPr="00DE4CD2">
        <w:rPr>
          <w:rFonts w:asciiTheme="majorHAnsi" w:hAnsiTheme="majorHAnsi" w:cstheme="majorHAnsi"/>
          <w:sz w:val="22"/>
          <w:szCs w:val="22"/>
          <w:lang w:val="en-US"/>
        </w:rPr>
        <w:t>, B., &amp; Gabriele, R. (2023). Process and strategies of growth in medium-sized fast-growing firms. Journal of Industrial and Business Economics, 50(1), 605–626.</w:t>
      </w:r>
    </w:p>
    <w:p w14:paraId="4FCF958D" w14:textId="77777777" w:rsidR="00D83E17" w:rsidRPr="00DE4CD2" w:rsidRDefault="00D83E17" w:rsidP="00D83E17">
      <w:pPr>
        <w:ind w:left="284" w:hanging="284"/>
        <w:rPr>
          <w:rFonts w:asciiTheme="majorHAnsi" w:hAnsiTheme="majorHAnsi" w:cstheme="majorHAnsi"/>
          <w:sz w:val="22"/>
          <w:szCs w:val="22"/>
          <w:lang w:val="en-US"/>
        </w:rPr>
      </w:pPr>
    </w:p>
    <w:p w14:paraId="4C64E0D0" w14:textId="0EC8FE47" w:rsidR="00880919" w:rsidRPr="00DE4CD2" w:rsidRDefault="00880919"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en-US"/>
        </w:rPr>
        <w:t>Neuländtner, M., &amp; Scherngell, T. (2020). Geographical or relational: What drives technology-specific R&amp;D collaboration networks?. The Annals of Regional Science, 65(3), 743-773.</w:t>
      </w:r>
    </w:p>
    <w:p w14:paraId="18195E50" w14:textId="77777777" w:rsidR="00D83E17" w:rsidRPr="00DE4CD2" w:rsidRDefault="00D83E17" w:rsidP="00D83E17">
      <w:pPr>
        <w:ind w:left="284" w:hanging="284"/>
        <w:rPr>
          <w:rFonts w:asciiTheme="majorHAnsi" w:hAnsiTheme="majorHAnsi" w:cstheme="majorHAnsi"/>
          <w:sz w:val="22"/>
          <w:szCs w:val="22"/>
          <w:lang w:val="en-US"/>
        </w:rPr>
      </w:pPr>
    </w:p>
    <w:p w14:paraId="7987BB6E" w14:textId="77777777" w:rsidR="00057971" w:rsidRPr="00057971" w:rsidRDefault="00057971" w:rsidP="00057971">
      <w:pPr>
        <w:ind w:left="284" w:hanging="284"/>
        <w:rPr>
          <w:rFonts w:asciiTheme="majorHAnsi" w:hAnsiTheme="majorHAnsi" w:cstheme="majorHAnsi"/>
          <w:sz w:val="22"/>
          <w:szCs w:val="22"/>
          <w:lang w:val="en-US"/>
        </w:rPr>
      </w:pPr>
      <w:proofErr w:type="spellStart"/>
      <w:r w:rsidRPr="00057971">
        <w:rPr>
          <w:rFonts w:asciiTheme="majorHAnsi" w:hAnsiTheme="majorHAnsi" w:cstheme="majorHAnsi"/>
          <w:sz w:val="22"/>
          <w:szCs w:val="22"/>
          <w:lang w:val="en-US"/>
        </w:rPr>
        <w:t>Peclat</w:t>
      </w:r>
      <w:proofErr w:type="spellEnd"/>
      <w:r w:rsidRPr="00057971">
        <w:rPr>
          <w:rFonts w:asciiTheme="majorHAnsi" w:hAnsiTheme="majorHAnsi" w:cstheme="majorHAnsi"/>
          <w:sz w:val="22"/>
          <w:szCs w:val="22"/>
          <w:lang w:val="en-US"/>
        </w:rPr>
        <w:t xml:space="preserve">, Rodrigo Nunes &amp; </w:t>
      </w:r>
      <w:proofErr w:type="spellStart"/>
      <w:r w:rsidRPr="00057971">
        <w:rPr>
          <w:rFonts w:asciiTheme="majorHAnsi" w:hAnsiTheme="majorHAnsi" w:cstheme="majorHAnsi"/>
          <w:sz w:val="22"/>
          <w:szCs w:val="22"/>
          <w:lang w:val="en-US"/>
        </w:rPr>
        <w:t>Rauen</w:t>
      </w:r>
      <w:proofErr w:type="spellEnd"/>
      <w:r w:rsidRPr="00057971">
        <w:rPr>
          <w:rFonts w:asciiTheme="majorHAnsi" w:hAnsiTheme="majorHAnsi" w:cstheme="majorHAnsi"/>
          <w:sz w:val="22"/>
          <w:szCs w:val="22"/>
          <w:lang w:val="en-US"/>
        </w:rPr>
        <w:t xml:space="preserve">, André </w:t>
      </w:r>
      <w:proofErr w:type="spellStart"/>
      <w:r w:rsidRPr="00057971">
        <w:rPr>
          <w:rFonts w:asciiTheme="majorHAnsi" w:hAnsiTheme="majorHAnsi" w:cstheme="majorHAnsi"/>
          <w:sz w:val="22"/>
          <w:szCs w:val="22"/>
          <w:lang w:val="en-US"/>
        </w:rPr>
        <w:t>Tortato</w:t>
      </w:r>
      <w:proofErr w:type="spellEnd"/>
      <w:r w:rsidRPr="00057971">
        <w:rPr>
          <w:rFonts w:asciiTheme="majorHAnsi" w:hAnsiTheme="majorHAnsi" w:cstheme="majorHAnsi"/>
          <w:sz w:val="22"/>
          <w:szCs w:val="22"/>
          <w:lang w:val="en-US"/>
        </w:rPr>
        <w:t xml:space="preserve"> (2019): </w:t>
      </w:r>
      <w:proofErr w:type="spellStart"/>
      <w:r w:rsidRPr="00057971">
        <w:rPr>
          <w:rFonts w:asciiTheme="majorHAnsi" w:hAnsiTheme="majorHAnsi" w:cstheme="majorHAnsi"/>
          <w:sz w:val="22"/>
          <w:szCs w:val="22"/>
          <w:lang w:val="en-US"/>
        </w:rPr>
        <w:t>Prácticas</w:t>
      </w:r>
      <w:proofErr w:type="spellEnd"/>
      <w:r w:rsidRPr="00057971">
        <w:rPr>
          <w:rFonts w:asciiTheme="majorHAnsi" w:hAnsiTheme="majorHAnsi" w:cstheme="majorHAnsi"/>
          <w:sz w:val="22"/>
          <w:szCs w:val="22"/>
          <w:lang w:val="en-US"/>
        </w:rPr>
        <w:t xml:space="preserve"> </w:t>
      </w:r>
      <w:proofErr w:type="spellStart"/>
      <w:r w:rsidRPr="00057971">
        <w:rPr>
          <w:rFonts w:asciiTheme="majorHAnsi" w:hAnsiTheme="majorHAnsi" w:cstheme="majorHAnsi"/>
          <w:sz w:val="22"/>
          <w:szCs w:val="22"/>
          <w:lang w:val="en-US"/>
        </w:rPr>
        <w:t>avaliativas</w:t>
      </w:r>
      <w:proofErr w:type="spellEnd"/>
      <w:r w:rsidRPr="00057971">
        <w:rPr>
          <w:rFonts w:asciiTheme="majorHAnsi" w:hAnsiTheme="majorHAnsi" w:cstheme="majorHAnsi"/>
          <w:sz w:val="22"/>
          <w:szCs w:val="22"/>
          <w:lang w:val="en-US"/>
        </w:rPr>
        <w:t xml:space="preserve"> </w:t>
      </w:r>
      <w:proofErr w:type="spellStart"/>
      <w:r w:rsidRPr="00057971">
        <w:rPr>
          <w:rFonts w:asciiTheme="majorHAnsi" w:hAnsiTheme="majorHAnsi" w:cstheme="majorHAnsi"/>
          <w:sz w:val="22"/>
          <w:szCs w:val="22"/>
          <w:lang w:val="en-US"/>
        </w:rPr>
        <w:t>em</w:t>
      </w:r>
      <w:proofErr w:type="spellEnd"/>
      <w:r w:rsidRPr="00057971">
        <w:rPr>
          <w:rFonts w:asciiTheme="majorHAnsi" w:hAnsiTheme="majorHAnsi" w:cstheme="majorHAnsi"/>
          <w:sz w:val="22"/>
          <w:szCs w:val="22"/>
          <w:lang w:val="en-US"/>
        </w:rPr>
        <w:t xml:space="preserve"> </w:t>
      </w:r>
      <w:proofErr w:type="spellStart"/>
      <w:r w:rsidRPr="00057971">
        <w:rPr>
          <w:rFonts w:asciiTheme="majorHAnsi" w:hAnsiTheme="majorHAnsi" w:cstheme="majorHAnsi"/>
          <w:sz w:val="22"/>
          <w:szCs w:val="22"/>
          <w:lang w:val="en-US"/>
        </w:rPr>
        <w:t>polítical</w:t>
      </w:r>
      <w:proofErr w:type="spellEnd"/>
      <w:r w:rsidRPr="00057971">
        <w:rPr>
          <w:rFonts w:asciiTheme="majorHAnsi" w:hAnsiTheme="majorHAnsi" w:cstheme="majorHAnsi"/>
          <w:sz w:val="22"/>
          <w:szCs w:val="22"/>
          <w:lang w:val="en-US"/>
        </w:rPr>
        <w:t xml:space="preserve"> de CT&amp;I: </w:t>
      </w:r>
      <w:proofErr w:type="spellStart"/>
      <w:r w:rsidRPr="00057971">
        <w:rPr>
          <w:rFonts w:asciiTheme="majorHAnsi" w:hAnsiTheme="majorHAnsi" w:cstheme="majorHAnsi"/>
          <w:sz w:val="22"/>
          <w:szCs w:val="22"/>
          <w:lang w:val="en-US"/>
        </w:rPr>
        <w:t>análise</w:t>
      </w:r>
      <w:proofErr w:type="spellEnd"/>
      <w:r w:rsidRPr="00057971">
        <w:rPr>
          <w:rFonts w:asciiTheme="majorHAnsi" w:hAnsiTheme="majorHAnsi" w:cstheme="majorHAnsi"/>
          <w:sz w:val="22"/>
          <w:szCs w:val="22"/>
          <w:lang w:val="en-US"/>
        </w:rPr>
        <w:t xml:space="preserve"> </w:t>
      </w:r>
      <w:proofErr w:type="spellStart"/>
      <w:r w:rsidRPr="00057971">
        <w:rPr>
          <w:rFonts w:asciiTheme="majorHAnsi" w:hAnsiTheme="majorHAnsi" w:cstheme="majorHAnsi"/>
          <w:sz w:val="22"/>
          <w:szCs w:val="22"/>
          <w:lang w:val="en-US"/>
        </w:rPr>
        <w:t>comparativa</w:t>
      </w:r>
      <w:proofErr w:type="spellEnd"/>
      <w:r w:rsidRPr="00057971">
        <w:rPr>
          <w:rFonts w:asciiTheme="majorHAnsi" w:hAnsiTheme="majorHAnsi" w:cstheme="majorHAnsi"/>
          <w:sz w:val="22"/>
          <w:szCs w:val="22"/>
          <w:lang w:val="en-US"/>
        </w:rPr>
        <w:t xml:space="preserve"> do </w:t>
      </w:r>
      <w:proofErr w:type="spellStart"/>
      <w:r w:rsidRPr="00057971">
        <w:rPr>
          <w:rFonts w:asciiTheme="majorHAnsi" w:hAnsiTheme="majorHAnsi" w:cstheme="majorHAnsi"/>
          <w:sz w:val="22"/>
          <w:szCs w:val="22"/>
          <w:lang w:val="en-US"/>
        </w:rPr>
        <w:t>caso</w:t>
      </w:r>
      <w:proofErr w:type="spellEnd"/>
      <w:r w:rsidRPr="00057971">
        <w:rPr>
          <w:rFonts w:asciiTheme="majorHAnsi" w:hAnsiTheme="majorHAnsi" w:cstheme="majorHAnsi"/>
          <w:sz w:val="22"/>
          <w:szCs w:val="22"/>
          <w:lang w:val="en-US"/>
        </w:rPr>
        <w:t xml:space="preserve"> </w:t>
      </w:r>
      <w:proofErr w:type="spellStart"/>
      <w:r w:rsidRPr="00057971">
        <w:rPr>
          <w:rFonts w:asciiTheme="majorHAnsi" w:hAnsiTheme="majorHAnsi" w:cstheme="majorHAnsi"/>
          <w:sz w:val="22"/>
          <w:szCs w:val="22"/>
          <w:lang w:val="en-US"/>
        </w:rPr>
        <w:t>nacional</w:t>
      </w:r>
      <w:proofErr w:type="spellEnd"/>
      <w:r w:rsidRPr="00057971">
        <w:rPr>
          <w:rFonts w:asciiTheme="majorHAnsi" w:hAnsiTheme="majorHAnsi" w:cstheme="majorHAnsi"/>
          <w:sz w:val="22"/>
          <w:szCs w:val="22"/>
          <w:lang w:val="en-US"/>
        </w:rPr>
        <w:t>.</w:t>
      </w:r>
    </w:p>
    <w:p w14:paraId="672E526F" w14:textId="77777777" w:rsidR="00057971" w:rsidRPr="00057971" w:rsidRDefault="00057971" w:rsidP="00057971">
      <w:pPr>
        <w:ind w:left="284" w:hanging="284"/>
        <w:rPr>
          <w:rFonts w:asciiTheme="majorHAnsi" w:hAnsiTheme="majorHAnsi" w:cstheme="majorHAnsi"/>
          <w:sz w:val="22"/>
          <w:szCs w:val="22"/>
          <w:lang w:val="en-US"/>
        </w:rPr>
      </w:pPr>
    </w:p>
    <w:p w14:paraId="0E0D7496" w14:textId="461521C3" w:rsidR="00D22538" w:rsidRPr="00DE4CD2" w:rsidRDefault="00D22538" w:rsidP="00D83E17">
      <w:pPr>
        <w:ind w:left="284" w:hanging="284"/>
        <w:rPr>
          <w:rFonts w:asciiTheme="majorHAnsi" w:hAnsiTheme="majorHAnsi" w:cstheme="majorHAnsi"/>
          <w:sz w:val="22"/>
          <w:szCs w:val="22"/>
          <w:lang w:val="en-US"/>
        </w:rPr>
      </w:pPr>
      <w:proofErr w:type="spellStart"/>
      <w:r w:rsidRPr="00DE4CD2">
        <w:rPr>
          <w:rFonts w:asciiTheme="majorHAnsi" w:hAnsiTheme="majorHAnsi" w:cstheme="majorHAnsi"/>
          <w:sz w:val="22"/>
          <w:szCs w:val="22"/>
          <w:lang w:val="en-US"/>
        </w:rPr>
        <w:t>Poelman</w:t>
      </w:r>
      <w:proofErr w:type="spellEnd"/>
      <w:r w:rsidRPr="00DE4CD2">
        <w:rPr>
          <w:rFonts w:asciiTheme="majorHAnsi" w:hAnsiTheme="majorHAnsi" w:cstheme="majorHAnsi"/>
          <w:sz w:val="22"/>
          <w:szCs w:val="22"/>
          <w:lang w:val="en-US"/>
        </w:rPr>
        <w:t xml:space="preserve">, H., Dijkstra, L., 2018. Access to universities in the EU: A regional and territorial analysis. </w:t>
      </w:r>
    </w:p>
    <w:p w14:paraId="791AA3DE" w14:textId="77777777" w:rsidR="00D22538" w:rsidRPr="00DE4CD2" w:rsidRDefault="00D22538" w:rsidP="00D83E17">
      <w:pPr>
        <w:ind w:left="284" w:hanging="284"/>
        <w:rPr>
          <w:rFonts w:asciiTheme="majorHAnsi" w:hAnsiTheme="majorHAnsi" w:cstheme="majorHAnsi"/>
          <w:sz w:val="22"/>
          <w:szCs w:val="22"/>
          <w:lang w:val="en-US"/>
        </w:rPr>
      </w:pPr>
    </w:p>
    <w:p w14:paraId="2EC12658" w14:textId="399A8CDC" w:rsidR="002C3BB1" w:rsidRPr="00DE4CD2" w:rsidRDefault="002C3BB1"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en-US"/>
        </w:rPr>
        <w:t>Reale, E. (2017). Analysis of National Public Research Funding (PREF) - Final Report, Publications Office of the European Union, ISBN: 978-92-79-73407-6.</w:t>
      </w:r>
    </w:p>
    <w:p w14:paraId="42E8CA78" w14:textId="77777777" w:rsidR="002C3BB1" w:rsidRPr="00DE4CD2" w:rsidRDefault="002C3BB1" w:rsidP="00D83E17">
      <w:pPr>
        <w:ind w:left="284" w:hanging="284"/>
        <w:rPr>
          <w:rFonts w:asciiTheme="majorHAnsi" w:hAnsiTheme="majorHAnsi" w:cstheme="majorHAnsi"/>
          <w:sz w:val="22"/>
          <w:szCs w:val="22"/>
          <w:lang w:val="en-US"/>
        </w:rPr>
      </w:pPr>
    </w:p>
    <w:p w14:paraId="77AC48E3" w14:textId="77777777" w:rsidR="002C3BB1" w:rsidRPr="00DE4CD2" w:rsidRDefault="002C3BB1"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en-US"/>
        </w:rPr>
        <w:t xml:space="preserve">Reale, E., </w:t>
      </w:r>
      <w:proofErr w:type="spellStart"/>
      <w:r w:rsidRPr="00DE4CD2">
        <w:rPr>
          <w:rFonts w:asciiTheme="majorHAnsi" w:hAnsiTheme="majorHAnsi" w:cstheme="majorHAnsi"/>
          <w:sz w:val="22"/>
          <w:szCs w:val="22"/>
          <w:lang w:val="en-US"/>
        </w:rPr>
        <w:t>Seeber</w:t>
      </w:r>
      <w:proofErr w:type="spellEnd"/>
      <w:r w:rsidRPr="00DE4CD2">
        <w:rPr>
          <w:rFonts w:asciiTheme="majorHAnsi" w:hAnsiTheme="majorHAnsi" w:cstheme="majorHAnsi"/>
          <w:sz w:val="22"/>
          <w:szCs w:val="22"/>
          <w:lang w:val="en-US"/>
        </w:rPr>
        <w:t>, M. (2013). Instruments as empirical evidence for the analysis of Higher Education policies. Higher Education, 65, 135-151.</w:t>
      </w:r>
    </w:p>
    <w:p w14:paraId="277530DD" w14:textId="77777777" w:rsidR="002C3BB1" w:rsidRPr="00DE4CD2" w:rsidRDefault="002C3BB1" w:rsidP="00D83E17">
      <w:pPr>
        <w:ind w:left="284" w:hanging="284"/>
        <w:rPr>
          <w:rFonts w:asciiTheme="majorHAnsi" w:hAnsiTheme="majorHAnsi" w:cstheme="majorHAnsi"/>
          <w:sz w:val="22"/>
          <w:szCs w:val="22"/>
          <w:lang w:val="en-US"/>
        </w:rPr>
      </w:pPr>
    </w:p>
    <w:p w14:paraId="55E066A0" w14:textId="77777777" w:rsidR="002C3BB1" w:rsidRPr="00DE4CD2" w:rsidRDefault="002C3BB1"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en-US"/>
        </w:rPr>
        <w:t>Reale, E., Zinilli, A., Spinello, A.O. (2022). The diversity of policy instruments for public R&amp;D funding: the role of Research Councils. Paper presented at Eu-SPRI Conference 2022, University of Utrecht, 1-3 June 2022.</w:t>
      </w:r>
    </w:p>
    <w:p w14:paraId="1CCDE7E3" w14:textId="77777777" w:rsidR="002C3BB1" w:rsidRPr="00DE4CD2" w:rsidRDefault="002C3BB1" w:rsidP="00D83E17">
      <w:pPr>
        <w:ind w:left="284" w:hanging="284"/>
        <w:rPr>
          <w:rFonts w:asciiTheme="majorHAnsi" w:hAnsiTheme="majorHAnsi" w:cstheme="majorHAnsi"/>
          <w:sz w:val="22"/>
          <w:szCs w:val="22"/>
          <w:lang w:val="en-US"/>
        </w:rPr>
      </w:pPr>
    </w:p>
    <w:p w14:paraId="46FB930B" w14:textId="77777777" w:rsidR="00FF0DED" w:rsidRPr="00DE4CD2" w:rsidRDefault="00FF0DED"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de-DE"/>
        </w:rPr>
        <w:t xml:space="preserve">Sandner, P.G., Block, J., 2011. </w:t>
      </w:r>
      <w:r w:rsidRPr="00DE4CD2">
        <w:rPr>
          <w:rFonts w:asciiTheme="majorHAnsi" w:hAnsiTheme="majorHAnsi" w:cstheme="majorHAnsi"/>
          <w:sz w:val="22"/>
          <w:szCs w:val="22"/>
          <w:lang w:val="en-US"/>
        </w:rPr>
        <w:t>The market value of R&amp;D, patents, and trademarks. Research Policy 40, 969–985.</w:t>
      </w:r>
    </w:p>
    <w:p w14:paraId="1B94FAF9" w14:textId="77777777" w:rsidR="00FF0DED" w:rsidRPr="00DE4CD2" w:rsidRDefault="00FF0DED" w:rsidP="00D83E17">
      <w:pPr>
        <w:ind w:left="284" w:hanging="284"/>
        <w:rPr>
          <w:rFonts w:asciiTheme="majorHAnsi" w:hAnsiTheme="majorHAnsi" w:cstheme="majorHAnsi"/>
          <w:sz w:val="22"/>
          <w:szCs w:val="22"/>
          <w:lang w:val="en-US"/>
        </w:rPr>
      </w:pPr>
    </w:p>
    <w:p w14:paraId="7E9A6259" w14:textId="34BA9D9B" w:rsidR="00D22538" w:rsidRPr="00DE4CD2" w:rsidRDefault="00D22538" w:rsidP="00D83E17">
      <w:pPr>
        <w:ind w:left="284" w:hanging="284"/>
        <w:rPr>
          <w:rFonts w:asciiTheme="majorHAnsi" w:hAnsiTheme="majorHAnsi" w:cstheme="majorHAnsi"/>
          <w:sz w:val="22"/>
          <w:szCs w:val="22"/>
          <w:lang w:val="en-US"/>
        </w:rPr>
      </w:pPr>
      <w:proofErr w:type="spellStart"/>
      <w:r w:rsidRPr="00DE4CD2">
        <w:rPr>
          <w:rFonts w:asciiTheme="majorHAnsi" w:hAnsiTheme="majorHAnsi" w:cstheme="majorHAnsi"/>
          <w:sz w:val="22"/>
          <w:szCs w:val="22"/>
          <w:lang w:val="en-US"/>
        </w:rPr>
        <w:lastRenderedPageBreak/>
        <w:t>Seeber</w:t>
      </w:r>
      <w:proofErr w:type="spellEnd"/>
      <w:r w:rsidRPr="00DE4CD2">
        <w:rPr>
          <w:rFonts w:asciiTheme="majorHAnsi" w:hAnsiTheme="majorHAnsi" w:cstheme="majorHAnsi"/>
          <w:sz w:val="22"/>
          <w:szCs w:val="22"/>
          <w:lang w:val="en-US"/>
        </w:rPr>
        <w:t xml:space="preserve">, M., </w:t>
      </w:r>
      <w:proofErr w:type="spellStart"/>
      <w:r w:rsidRPr="00DE4CD2">
        <w:rPr>
          <w:rFonts w:asciiTheme="majorHAnsi" w:hAnsiTheme="majorHAnsi" w:cstheme="majorHAnsi"/>
          <w:sz w:val="22"/>
          <w:szCs w:val="22"/>
          <w:lang w:val="en-US"/>
        </w:rPr>
        <w:t>Meoli</w:t>
      </w:r>
      <w:proofErr w:type="spellEnd"/>
      <w:r w:rsidRPr="00DE4CD2">
        <w:rPr>
          <w:rFonts w:asciiTheme="majorHAnsi" w:hAnsiTheme="majorHAnsi" w:cstheme="majorHAnsi"/>
          <w:sz w:val="22"/>
          <w:szCs w:val="22"/>
          <w:lang w:val="en-US"/>
        </w:rPr>
        <w:t xml:space="preserve">, M., </w:t>
      </w:r>
      <w:proofErr w:type="spellStart"/>
      <w:r w:rsidRPr="00DE4CD2">
        <w:rPr>
          <w:rFonts w:asciiTheme="majorHAnsi" w:hAnsiTheme="majorHAnsi" w:cstheme="majorHAnsi"/>
          <w:sz w:val="22"/>
          <w:szCs w:val="22"/>
          <w:lang w:val="en-US"/>
        </w:rPr>
        <w:t>Cattaneo</w:t>
      </w:r>
      <w:proofErr w:type="spellEnd"/>
      <w:r w:rsidRPr="00DE4CD2">
        <w:rPr>
          <w:rFonts w:asciiTheme="majorHAnsi" w:hAnsiTheme="majorHAnsi" w:cstheme="majorHAnsi"/>
          <w:sz w:val="22"/>
          <w:szCs w:val="22"/>
          <w:lang w:val="en-US"/>
        </w:rPr>
        <w:t>, M., 2020. How do European higher education institutions internationalize? Studies in Higher Education 45, 145-162.</w:t>
      </w:r>
    </w:p>
    <w:p w14:paraId="5E0172C1" w14:textId="77777777" w:rsidR="00D22538" w:rsidRPr="00DE4CD2" w:rsidRDefault="00D22538" w:rsidP="00D83E17">
      <w:pPr>
        <w:ind w:left="284" w:hanging="284"/>
        <w:rPr>
          <w:rFonts w:asciiTheme="majorHAnsi" w:hAnsiTheme="majorHAnsi" w:cstheme="majorHAnsi"/>
          <w:sz w:val="22"/>
          <w:szCs w:val="22"/>
          <w:lang w:val="en-US"/>
        </w:rPr>
      </w:pPr>
    </w:p>
    <w:p w14:paraId="3C44DBD2" w14:textId="03BBFDBA" w:rsidR="00FF0DED" w:rsidRPr="00DE4CD2" w:rsidRDefault="00FF0DED" w:rsidP="00D83E17">
      <w:pPr>
        <w:ind w:left="284" w:hanging="284"/>
        <w:rPr>
          <w:rFonts w:asciiTheme="majorHAnsi" w:hAnsiTheme="majorHAnsi" w:cstheme="majorHAnsi"/>
          <w:sz w:val="22"/>
          <w:szCs w:val="22"/>
          <w:lang w:val="en-US"/>
        </w:rPr>
      </w:pPr>
      <w:proofErr w:type="spellStart"/>
      <w:r w:rsidRPr="00DE4CD2">
        <w:rPr>
          <w:rFonts w:asciiTheme="majorHAnsi" w:hAnsiTheme="majorHAnsi" w:cstheme="majorHAnsi"/>
          <w:sz w:val="22"/>
          <w:szCs w:val="22"/>
          <w:lang w:val="en-US"/>
        </w:rPr>
        <w:t>Schmoch</w:t>
      </w:r>
      <w:proofErr w:type="spellEnd"/>
      <w:r w:rsidRPr="00DE4CD2">
        <w:rPr>
          <w:rFonts w:asciiTheme="majorHAnsi" w:hAnsiTheme="majorHAnsi" w:cstheme="majorHAnsi"/>
          <w:sz w:val="22"/>
          <w:szCs w:val="22"/>
          <w:lang w:val="en-US"/>
        </w:rPr>
        <w:t>, U., 2014. Knowledge transfer from German universities into the service sector as reflected by service marks. Research Evaluation 23 (2014), 341–351.</w:t>
      </w:r>
    </w:p>
    <w:p w14:paraId="0BD35F4C" w14:textId="77777777" w:rsidR="00FF0DED" w:rsidRPr="00DE4CD2" w:rsidRDefault="00FF0DED" w:rsidP="00D83E17">
      <w:pPr>
        <w:ind w:left="284" w:hanging="284"/>
        <w:rPr>
          <w:rFonts w:asciiTheme="majorHAnsi" w:hAnsiTheme="majorHAnsi" w:cstheme="majorHAnsi"/>
          <w:sz w:val="22"/>
          <w:szCs w:val="22"/>
          <w:lang w:val="en-US"/>
        </w:rPr>
      </w:pPr>
    </w:p>
    <w:p w14:paraId="2245A830" w14:textId="424DD098" w:rsidR="002C3BB1" w:rsidRPr="00DE4CD2" w:rsidRDefault="002C3BB1" w:rsidP="00D83E17">
      <w:pPr>
        <w:ind w:left="284" w:hanging="284"/>
        <w:rPr>
          <w:rFonts w:asciiTheme="majorHAnsi" w:hAnsiTheme="majorHAnsi" w:cstheme="majorHAnsi"/>
          <w:sz w:val="22"/>
          <w:szCs w:val="22"/>
          <w:lang w:val="de-DE"/>
        </w:rPr>
      </w:pPr>
      <w:r w:rsidRPr="00DE4CD2">
        <w:rPr>
          <w:rFonts w:asciiTheme="majorHAnsi" w:hAnsiTheme="majorHAnsi" w:cstheme="majorHAnsi"/>
          <w:sz w:val="22"/>
          <w:szCs w:val="22"/>
          <w:lang w:val="en-US"/>
        </w:rPr>
        <w:t xml:space="preserve">Spinello, A.O., Varinetti, E., Zinilli, A., Reale, E. (2023). Il </w:t>
      </w:r>
      <w:proofErr w:type="spellStart"/>
      <w:r w:rsidRPr="00DE4CD2">
        <w:rPr>
          <w:rFonts w:asciiTheme="majorHAnsi" w:hAnsiTheme="majorHAnsi" w:cstheme="majorHAnsi"/>
          <w:sz w:val="22"/>
          <w:szCs w:val="22"/>
          <w:lang w:val="en-US"/>
        </w:rPr>
        <w:t>finanziamento</w:t>
      </w:r>
      <w:proofErr w:type="spellEnd"/>
      <w:r w:rsidRPr="00DE4CD2">
        <w:rPr>
          <w:rFonts w:asciiTheme="majorHAnsi" w:hAnsiTheme="majorHAnsi" w:cstheme="majorHAnsi"/>
          <w:sz w:val="22"/>
          <w:szCs w:val="22"/>
          <w:lang w:val="en-US"/>
        </w:rPr>
        <w:t xml:space="preserve"> </w:t>
      </w:r>
      <w:proofErr w:type="spellStart"/>
      <w:r w:rsidRPr="00DE4CD2">
        <w:rPr>
          <w:rFonts w:asciiTheme="majorHAnsi" w:hAnsiTheme="majorHAnsi" w:cstheme="majorHAnsi"/>
          <w:sz w:val="22"/>
          <w:szCs w:val="22"/>
          <w:lang w:val="en-US"/>
        </w:rPr>
        <w:t>competitivo</w:t>
      </w:r>
      <w:proofErr w:type="spellEnd"/>
      <w:r w:rsidRPr="00DE4CD2">
        <w:rPr>
          <w:rFonts w:asciiTheme="majorHAnsi" w:hAnsiTheme="majorHAnsi" w:cstheme="majorHAnsi"/>
          <w:sz w:val="22"/>
          <w:szCs w:val="22"/>
          <w:lang w:val="en-US"/>
        </w:rPr>
        <w:t xml:space="preserve"> </w:t>
      </w:r>
      <w:proofErr w:type="spellStart"/>
      <w:r w:rsidRPr="00DE4CD2">
        <w:rPr>
          <w:rFonts w:asciiTheme="majorHAnsi" w:hAnsiTheme="majorHAnsi" w:cstheme="majorHAnsi"/>
          <w:sz w:val="22"/>
          <w:szCs w:val="22"/>
          <w:lang w:val="en-US"/>
        </w:rPr>
        <w:t>della</w:t>
      </w:r>
      <w:proofErr w:type="spellEnd"/>
      <w:r w:rsidRPr="00DE4CD2">
        <w:rPr>
          <w:rFonts w:asciiTheme="majorHAnsi" w:hAnsiTheme="majorHAnsi" w:cstheme="majorHAnsi"/>
          <w:sz w:val="22"/>
          <w:szCs w:val="22"/>
          <w:lang w:val="en-US"/>
        </w:rPr>
        <w:t xml:space="preserve"> </w:t>
      </w:r>
      <w:proofErr w:type="spellStart"/>
      <w:r w:rsidRPr="00DE4CD2">
        <w:rPr>
          <w:rFonts w:asciiTheme="majorHAnsi" w:hAnsiTheme="majorHAnsi" w:cstheme="majorHAnsi"/>
          <w:sz w:val="22"/>
          <w:szCs w:val="22"/>
          <w:lang w:val="en-US"/>
        </w:rPr>
        <w:t>Ricerca</w:t>
      </w:r>
      <w:proofErr w:type="spellEnd"/>
      <w:r w:rsidRPr="00DE4CD2">
        <w:rPr>
          <w:rFonts w:asciiTheme="majorHAnsi" w:hAnsiTheme="majorHAnsi" w:cstheme="majorHAnsi"/>
          <w:sz w:val="22"/>
          <w:szCs w:val="22"/>
          <w:lang w:val="en-US"/>
        </w:rPr>
        <w:t xml:space="preserve"> e </w:t>
      </w:r>
      <w:proofErr w:type="spellStart"/>
      <w:r w:rsidRPr="00DE4CD2">
        <w:rPr>
          <w:rFonts w:asciiTheme="majorHAnsi" w:hAnsiTheme="majorHAnsi" w:cstheme="majorHAnsi"/>
          <w:sz w:val="22"/>
          <w:szCs w:val="22"/>
          <w:lang w:val="en-US"/>
        </w:rPr>
        <w:t>Sviluppo</w:t>
      </w:r>
      <w:proofErr w:type="spellEnd"/>
      <w:r w:rsidRPr="00DE4CD2">
        <w:rPr>
          <w:rFonts w:asciiTheme="majorHAnsi" w:hAnsiTheme="majorHAnsi" w:cstheme="majorHAnsi"/>
          <w:sz w:val="22"/>
          <w:szCs w:val="22"/>
          <w:lang w:val="en-US"/>
        </w:rPr>
        <w:t xml:space="preserve"> in Italia per le </w:t>
      </w:r>
      <w:proofErr w:type="spellStart"/>
      <w:r w:rsidRPr="00DE4CD2">
        <w:rPr>
          <w:rFonts w:asciiTheme="majorHAnsi" w:hAnsiTheme="majorHAnsi" w:cstheme="majorHAnsi"/>
          <w:sz w:val="22"/>
          <w:szCs w:val="22"/>
          <w:lang w:val="en-US"/>
        </w:rPr>
        <w:t>sfide</w:t>
      </w:r>
      <w:proofErr w:type="spellEnd"/>
      <w:r w:rsidRPr="00DE4CD2">
        <w:rPr>
          <w:rFonts w:asciiTheme="majorHAnsi" w:hAnsiTheme="majorHAnsi" w:cstheme="majorHAnsi"/>
          <w:sz w:val="22"/>
          <w:szCs w:val="22"/>
          <w:lang w:val="en-US"/>
        </w:rPr>
        <w:t xml:space="preserve"> </w:t>
      </w:r>
      <w:proofErr w:type="spellStart"/>
      <w:r w:rsidRPr="00DE4CD2">
        <w:rPr>
          <w:rFonts w:asciiTheme="majorHAnsi" w:hAnsiTheme="majorHAnsi" w:cstheme="majorHAnsi"/>
          <w:sz w:val="22"/>
          <w:szCs w:val="22"/>
          <w:lang w:val="en-US"/>
        </w:rPr>
        <w:t>sociali</w:t>
      </w:r>
      <w:proofErr w:type="spellEnd"/>
      <w:r w:rsidRPr="00DE4CD2">
        <w:rPr>
          <w:rFonts w:asciiTheme="majorHAnsi" w:hAnsiTheme="majorHAnsi" w:cstheme="majorHAnsi"/>
          <w:sz w:val="22"/>
          <w:szCs w:val="22"/>
          <w:lang w:val="en-US"/>
        </w:rPr>
        <w:t xml:space="preserve"> e </w:t>
      </w:r>
      <w:proofErr w:type="spellStart"/>
      <w:r w:rsidRPr="00DE4CD2">
        <w:rPr>
          <w:rFonts w:asciiTheme="majorHAnsi" w:hAnsiTheme="majorHAnsi" w:cstheme="majorHAnsi"/>
          <w:sz w:val="22"/>
          <w:szCs w:val="22"/>
          <w:lang w:val="en-US"/>
        </w:rPr>
        <w:t>tecnologiche</w:t>
      </w:r>
      <w:proofErr w:type="spellEnd"/>
      <w:r w:rsidRPr="00DE4CD2">
        <w:rPr>
          <w:rFonts w:asciiTheme="majorHAnsi" w:hAnsiTheme="majorHAnsi" w:cstheme="majorHAnsi"/>
          <w:sz w:val="22"/>
          <w:szCs w:val="22"/>
          <w:lang w:val="en-US"/>
        </w:rPr>
        <w:t xml:space="preserve">, in </w:t>
      </w:r>
      <w:proofErr w:type="spellStart"/>
      <w:r w:rsidRPr="00DE4CD2">
        <w:rPr>
          <w:rFonts w:asciiTheme="majorHAnsi" w:hAnsiTheme="majorHAnsi" w:cstheme="majorHAnsi"/>
          <w:sz w:val="22"/>
          <w:szCs w:val="22"/>
          <w:lang w:val="en-US"/>
        </w:rPr>
        <w:t>Consiglio</w:t>
      </w:r>
      <w:proofErr w:type="spellEnd"/>
      <w:r w:rsidRPr="00DE4CD2">
        <w:rPr>
          <w:rFonts w:asciiTheme="majorHAnsi" w:hAnsiTheme="majorHAnsi" w:cstheme="majorHAnsi"/>
          <w:sz w:val="22"/>
          <w:szCs w:val="22"/>
          <w:lang w:val="en-US"/>
        </w:rPr>
        <w:t xml:space="preserve"> Nazionale </w:t>
      </w:r>
      <w:proofErr w:type="spellStart"/>
      <w:r w:rsidRPr="00DE4CD2">
        <w:rPr>
          <w:rFonts w:asciiTheme="majorHAnsi" w:hAnsiTheme="majorHAnsi" w:cstheme="majorHAnsi"/>
          <w:sz w:val="22"/>
          <w:szCs w:val="22"/>
          <w:lang w:val="en-US"/>
        </w:rPr>
        <w:t>delle</w:t>
      </w:r>
      <w:proofErr w:type="spellEnd"/>
      <w:r w:rsidRPr="00DE4CD2">
        <w:rPr>
          <w:rFonts w:asciiTheme="majorHAnsi" w:hAnsiTheme="majorHAnsi" w:cstheme="majorHAnsi"/>
          <w:sz w:val="22"/>
          <w:szCs w:val="22"/>
          <w:lang w:val="en-US"/>
        </w:rPr>
        <w:t xml:space="preserve"> </w:t>
      </w:r>
      <w:proofErr w:type="spellStart"/>
      <w:r w:rsidRPr="00DE4CD2">
        <w:rPr>
          <w:rFonts w:asciiTheme="majorHAnsi" w:hAnsiTheme="majorHAnsi" w:cstheme="majorHAnsi"/>
          <w:sz w:val="22"/>
          <w:szCs w:val="22"/>
          <w:lang w:val="en-US"/>
        </w:rPr>
        <w:t>Ricerche</w:t>
      </w:r>
      <w:proofErr w:type="spellEnd"/>
      <w:r w:rsidRPr="00DE4CD2">
        <w:rPr>
          <w:rFonts w:asciiTheme="majorHAnsi" w:hAnsiTheme="majorHAnsi" w:cstheme="majorHAnsi"/>
          <w:sz w:val="22"/>
          <w:szCs w:val="22"/>
          <w:lang w:val="en-US"/>
        </w:rPr>
        <w:t xml:space="preserve">, </w:t>
      </w:r>
      <w:proofErr w:type="spellStart"/>
      <w:r w:rsidRPr="00DE4CD2">
        <w:rPr>
          <w:rFonts w:asciiTheme="majorHAnsi" w:hAnsiTheme="majorHAnsi" w:cstheme="majorHAnsi"/>
          <w:sz w:val="22"/>
          <w:szCs w:val="22"/>
          <w:lang w:val="en-US"/>
        </w:rPr>
        <w:t>Relazione</w:t>
      </w:r>
      <w:proofErr w:type="spellEnd"/>
      <w:r w:rsidRPr="00DE4CD2">
        <w:rPr>
          <w:rFonts w:asciiTheme="majorHAnsi" w:hAnsiTheme="majorHAnsi" w:cstheme="majorHAnsi"/>
          <w:sz w:val="22"/>
          <w:szCs w:val="22"/>
          <w:lang w:val="en-US"/>
        </w:rPr>
        <w:t xml:space="preserve"> </w:t>
      </w:r>
      <w:proofErr w:type="spellStart"/>
      <w:r w:rsidRPr="00DE4CD2">
        <w:rPr>
          <w:rFonts w:asciiTheme="majorHAnsi" w:hAnsiTheme="majorHAnsi" w:cstheme="majorHAnsi"/>
          <w:sz w:val="22"/>
          <w:szCs w:val="22"/>
          <w:lang w:val="en-US"/>
        </w:rPr>
        <w:t>sulla</w:t>
      </w:r>
      <w:proofErr w:type="spellEnd"/>
      <w:r w:rsidRPr="00DE4CD2">
        <w:rPr>
          <w:rFonts w:asciiTheme="majorHAnsi" w:hAnsiTheme="majorHAnsi" w:cstheme="majorHAnsi"/>
          <w:sz w:val="22"/>
          <w:szCs w:val="22"/>
          <w:lang w:val="en-US"/>
        </w:rPr>
        <w:t xml:space="preserve"> </w:t>
      </w:r>
      <w:proofErr w:type="spellStart"/>
      <w:r w:rsidRPr="00DE4CD2">
        <w:rPr>
          <w:rFonts w:asciiTheme="majorHAnsi" w:hAnsiTheme="majorHAnsi" w:cstheme="majorHAnsi"/>
          <w:sz w:val="22"/>
          <w:szCs w:val="22"/>
          <w:lang w:val="en-US"/>
        </w:rPr>
        <w:t>ricerca</w:t>
      </w:r>
      <w:proofErr w:type="spellEnd"/>
      <w:r w:rsidRPr="00DE4CD2">
        <w:rPr>
          <w:rFonts w:asciiTheme="majorHAnsi" w:hAnsiTheme="majorHAnsi" w:cstheme="majorHAnsi"/>
          <w:sz w:val="22"/>
          <w:szCs w:val="22"/>
          <w:lang w:val="en-US"/>
        </w:rPr>
        <w:t xml:space="preserve"> e </w:t>
      </w:r>
      <w:proofErr w:type="spellStart"/>
      <w:r w:rsidRPr="00DE4CD2">
        <w:rPr>
          <w:rFonts w:asciiTheme="majorHAnsi" w:hAnsiTheme="majorHAnsi" w:cstheme="majorHAnsi"/>
          <w:sz w:val="22"/>
          <w:szCs w:val="22"/>
          <w:lang w:val="en-US"/>
        </w:rPr>
        <w:t>l'innovazione</w:t>
      </w:r>
      <w:proofErr w:type="spellEnd"/>
      <w:r w:rsidRPr="00DE4CD2">
        <w:rPr>
          <w:rFonts w:asciiTheme="majorHAnsi" w:hAnsiTheme="majorHAnsi" w:cstheme="majorHAnsi"/>
          <w:sz w:val="22"/>
          <w:szCs w:val="22"/>
          <w:lang w:val="en-US"/>
        </w:rPr>
        <w:t xml:space="preserve"> in Italia. </w:t>
      </w:r>
      <w:proofErr w:type="spellStart"/>
      <w:r w:rsidRPr="00DE4CD2">
        <w:rPr>
          <w:rFonts w:asciiTheme="majorHAnsi" w:hAnsiTheme="majorHAnsi" w:cstheme="majorHAnsi"/>
          <w:sz w:val="22"/>
          <w:szCs w:val="22"/>
          <w:lang w:val="de-DE"/>
        </w:rPr>
        <w:t>Analisi</w:t>
      </w:r>
      <w:proofErr w:type="spellEnd"/>
      <w:r w:rsidRPr="00DE4CD2">
        <w:rPr>
          <w:rFonts w:asciiTheme="majorHAnsi" w:hAnsiTheme="majorHAnsi" w:cstheme="majorHAnsi"/>
          <w:sz w:val="22"/>
          <w:szCs w:val="22"/>
          <w:lang w:val="de-DE"/>
        </w:rPr>
        <w:t xml:space="preserve"> e </w:t>
      </w:r>
      <w:proofErr w:type="spellStart"/>
      <w:r w:rsidRPr="00DE4CD2">
        <w:rPr>
          <w:rFonts w:asciiTheme="majorHAnsi" w:hAnsiTheme="majorHAnsi" w:cstheme="majorHAnsi"/>
          <w:sz w:val="22"/>
          <w:szCs w:val="22"/>
          <w:lang w:val="de-DE"/>
        </w:rPr>
        <w:t>dati</w:t>
      </w:r>
      <w:proofErr w:type="spellEnd"/>
      <w:r w:rsidRPr="00DE4CD2">
        <w:rPr>
          <w:rFonts w:asciiTheme="majorHAnsi" w:hAnsiTheme="majorHAnsi" w:cstheme="majorHAnsi"/>
          <w:sz w:val="22"/>
          <w:szCs w:val="22"/>
          <w:lang w:val="de-DE"/>
        </w:rPr>
        <w:t xml:space="preserve"> di </w:t>
      </w:r>
      <w:proofErr w:type="spellStart"/>
      <w:r w:rsidRPr="00DE4CD2">
        <w:rPr>
          <w:rFonts w:asciiTheme="majorHAnsi" w:hAnsiTheme="majorHAnsi" w:cstheme="majorHAnsi"/>
          <w:sz w:val="22"/>
          <w:szCs w:val="22"/>
          <w:lang w:val="de-DE"/>
        </w:rPr>
        <w:t>politica</w:t>
      </w:r>
      <w:proofErr w:type="spellEnd"/>
      <w:r w:rsidRPr="00DE4CD2">
        <w:rPr>
          <w:rFonts w:asciiTheme="majorHAnsi" w:hAnsiTheme="majorHAnsi" w:cstheme="majorHAnsi"/>
          <w:sz w:val="22"/>
          <w:szCs w:val="22"/>
          <w:lang w:val="de-DE"/>
        </w:rPr>
        <w:t xml:space="preserve"> della </w:t>
      </w:r>
      <w:proofErr w:type="spellStart"/>
      <w:r w:rsidRPr="00DE4CD2">
        <w:rPr>
          <w:rFonts w:asciiTheme="majorHAnsi" w:hAnsiTheme="majorHAnsi" w:cstheme="majorHAnsi"/>
          <w:sz w:val="22"/>
          <w:szCs w:val="22"/>
          <w:lang w:val="de-DE"/>
        </w:rPr>
        <w:t>scienza</w:t>
      </w:r>
      <w:proofErr w:type="spellEnd"/>
      <w:r w:rsidRPr="00DE4CD2">
        <w:rPr>
          <w:rFonts w:asciiTheme="majorHAnsi" w:hAnsiTheme="majorHAnsi" w:cstheme="majorHAnsi"/>
          <w:sz w:val="22"/>
          <w:szCs w:val="22"/>
          <w:lang w:val="de-DE"/>
        </w:rPr>
        <w:t xml:space="preserve"> e della </w:t>
      </w:r>
      <w:proofErr w:type="spellStart"/>
      <w:r w:rsidRPr="00DE4CD2">
        <w:rPr>
          <w:rFonts w:asciiTheme="majorHAnsi" w:hAnsiTheme="majorHAnsi" w:cstheme="majorHAnsi"/>
          <w:sz w:val="22"/>
          <w:szCs w:val="22"/>
          <w:lang w:val="de-DE"/>
        </w:rPr>
        <w:t>tecnologia</w:t>
      </w:r>
      <w:proofErr w:type="spellEnd"/>
      <w:r w:rsidRPr="00DE4CD2">
        <w:rPr>
          <w:rFonts w:asciiTheme="majorHAnsi" w:hAnsiTheme="majorHAnsi" w:cstheme="majorHAnsi"/>
          <w:sz w:val="22"/>
          <w:szCs w:val="22"/>
          <w:lang w:val="de-DE"/>
        </w:rPr>
        <w:t xml:space="preserve"> (</w:t>
      </w:r>
      <w:proofErr w:type="spellStart"/>
      <w:r w:rsidRPr="00DE4CD2">
        <w:rPr>
          <w:rFonts w:asciiTheme="majorHAnsi" w:hAnsiTheme="majorHAnsi" w:cstheme="majorHAnsi"/>
          <w:sz w:val="22"/>
          <w:szCs w:val="22"/>
          <w:lang w:val="de-DE"/>
        </w:rPr>
        <w:t>quarta</w:t>
      </w:r>
      <w:proofErr w:type="spellEnd"/>
      <w:r w:rsidRPr="00DE4CD2">
        <w:rPr>
          <w:rFonts w:asciiTheme="majorHAnsi" w:hAnsiTheme="majorHAnsi" w:cstheme="majorHAnsi"/>
          <w:sz w:val="22"/>
          <w:szCs w:val="22"/>
          <w:lang w:val="de-DE"/>
        </w:rPr>
        <w:t xml:space="preserve"> </w:t>
      </w:r>
      <w:proofErr w:type="spellStart"/>
      <w:r w:rsidRPr="00DE4CD2">
        <w:rPr>
          <w:rFonts w:asciiTheme="majorHAnsi" w:hAnsiTheme="majorHAnsi" w:cstheme="majorHAnsi"/>
          <w:sz w:val="22"/>
          <w:szCs w:val="22"/>
          <w:lang w:val="de-DE"/>
        </w:rPr>
        <w:t>edizione</w:t>
      </w:r>
      <w:proofErr w:type="spellEnd"/>
      <w:r w:rsidRPr="00DE4CD2">
        <w:rPr>
          <w:rFonts w:asciiTheme="majorHAnsi" w:hAnsiTheme="majorHAnsi" w:cstheme="majorHAnsi"/>
          <w:sz w:val="22"/>
          <w:szCs w:val="22"/>
          <w:lang w:val="de-DE"/>
        </w:rPr>
        <w:t xml:space="preserve">), CNR </w:t>
      </w:r>
      <w:proofErr w:type="spellStart"/>
      <w:r w:rsidRPr="00DE4CD2">
        <w:rPr>
          <w:rFonts w:asciiTheme="majorHAnsi" w:hAnsiTheme="majorHAnsi" w:cstheme="majorHAnsi"/>
          <w:sz w:val="22"/>
          <w:szCs w:val="22"/>
          <w:lang w:val="de-DE"/>
        </w:rPr>
        <w:t>Edizioni</w:t>
      </w:r>
      <w:proofErr w:type="spellEnd"/>
      <w:r w:rsidRPr="00DE4CD2">
        <w:rPr>
          <w:rFonts w:asciiTheme="majorHAnsi" w:hAnsiTheme="majorHAnsi" w:cstheme="majorHAnsi"/>
          <w:sz w:val="22"/>
          <w:szCs w:val="22"/>
          <w:lang w:val="de-DE"/>
        </w:rPr>
        <w:t>, Roma, pp. 23-58.</w:t>
      </w:r>
    </w:p>
    <w:p w14:paraId="3E482D03" w14:textId="77777777" w:rsidR="00880919" w:rsidRPr="00DE4CD2" w:rsidRDefault="00880919" w:rsidP="00D83E17">
      <w:pPr>
        <w:ind w:left="284" w:hanging="284"/>
        <w:rPr>
          <w:rFonts w:asciiTheme="majorHAnsi" w:hAnsiTheme="majorHAnsi" w:cstheme="majorHAnsi"/>
          <w:sz w:val="22"/>
          <w:szCs w:val="22"/>
          <w:lang w:val="de-DE"/>
        </w:rPr>
      </w:pPr>
    </w:p>
    <w:p w14:paraId="2D629B22" w14:textId="77777777" w:rsidR="00057971" w:rsidRPr="00057971" w:rsidRDefault="00057971" w:rsidP="00057971">
      <w:pPr>
        <w:ind w:left="284" w:hanging="284"/>
        <w:rPr>
          <w:rFonts w:asciiTheme="majorHAnsi" w:hAnsiTheme="majorHAnsi" w:cstheme="majorHAnsi"/>
          <w:sz w:val="22"/>
          <w:szCs w:val="22"/>
          <w:lang w:val="de-DE"/>
        </w:rPr>
      </w:pPr>
      <w:r w:rsidRPr="00057971">
        <w:rPr>
          <w:rFonts w:asciiTheme="majorHAnsi" w:hAnsiTheme="majorHAnsi" w:cstheme="majorHAnsi"/>
          <w:sz w:val="22"/>
          <w:szCs w:val="22"/>
          <w:lang w:val="de-DE"/>
        </w:rPr>
        <w:t xml:space="preserve">Stampfer, Michael &amp; </w:t>
      </w:r>
      <w:proofErr w:type="spellStart"/>
      <w:r w:rsidRPr="00057971">
        <w:rPr>
          <w:rFonts w:asciiTheme="majorHAnsi" w:hAnsiTheme="majorHAnsi" w:cstheme="majorHAnsi"/>
          <w:sz w:val="22"/>
          <w:szCs w:val="22"/>
          <w:lang w:val="de-DE"/>
        </w:rPr>
        <w:t>Strassnig</w:t>
      </w:r>
      <w:proofErr w:type="spellEnd"/>
      <w:r w:rsidRPr="00057971">
        <w:rPr>
          <w:rFonts w:asciiTheme="majorHAnsi" w:hAnsiTheme="majorHAnsi" w:cstheme="majorHAnsi"/>
          <w:sz w:val="22"/>
          <w:szCs w:val="22"/>
          <w:lang w:val="de-DE"/>
        </w:rPr>
        <w:t>, Michael (2020): Evaluierung neu denken. Zusammenfassung der Ergebnisse internationaler Beispiele, ttps://repository.fteval.at/id/eprint/585/1/Evaluierung%20neu%20denken%20_1105_internationale%20Beispiele.pdf.</w:t>
      </w:r>
    </w:p>
    <w:p w14:paraId="6C8E626B" w14:textId="77777777" w:rsidR="00057971" w:rsidRDefault="00057971" w:rsidP="00D83E17">
      <w:pPr>
        <w:ind w:left="284" w:hanging="284"/>
        <w:rPr>
          <w:rFonts w:asciiTheme="majorHAnsi" w:hAnsiTheme="majorHAnsi" w:cstheme="majorHAnsi"/>
          <w:sz w:val="22"/>
          <w:szCs w:val="22"/>
          <w:lang w:val="de-DE"/>
        </w:rPr>
      </w:pPr>
    </w:p>
    <w:p w14:paraId="4053F398" w14:textId="17532A67" w:rsidR="00880919" w:rsidRPr="00DE4CD2" w:rsidRDefault="00880919"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de-DE"/>
        </w:rPr>
        <w:t xml:space="preserve">Uhlbach, W. H., Balland, P. A., &amp; Scherngell, T. (2022). </w:t>
      </w:r>
      <w:r w:rsidRPr="00DE4CD2">
        <w:rPr>
          <w:rFonts w:asciiTheme="majorHAnsi" w:hAnsiTheme="majorHAnsi" w:cstheme="majorHAnsi"/>
          <w:sz w:val="22"/>
          <w:szCs w:val="22"/>
          <w:lang w:val="en-US"/>
        </w:rPr>
        <w:t xml:space="preserve">Public R&amp;D funding and new regional </w:t>
      </w:r>
      <w:proofErr w:type="spellStart"/>
      <w:r w:rsidRPr="00DE4CD2">
        <w:rPr>
          <w:rFonts w:asciiTheme="majorHAnsi" w:hAnsiTheme="majorHAnsi" w:cstheme="majorHAnsi"/>
          <w:sz w:val="22"/>
          <w:szCs w:val="22"/>
          <w:lang w:val="en-US"/>
        </w:rPr>
        <w:t>specialisations</w:t>
      </w:r>
      <w:proofErr w:type="spellEnd"/>
      <w:r w:rsidRPr="00DE4CD2">
        <w:rPr>
          <w:rFonts w:asciiTheme="majorHAnsi" w:hAnsiTheme="majorHAnsi" w:cstheme="majorHAnsi"/>
          <w:sz w:val="22"/>
          <w:szCs w:val="22"/>
          <w:lang w:val="en-US"/>
        </w:rPr>
        <w:t>: The contingent role of technological relatedness. Industry and Innovation, 1-22</w:t>
      </w:r>
    </w:p>
    <w:p w14:paraId="6983D005" w14:textId="77777777" w:rsidR="00D83E17" w:rsidRPr="00DE4CD2" w:rsidRDefault="00D83E17" w:rsidP="00D83E17">
      <w:pPr>
        <w:ind w:left="284" w:hanging="284"/>
        <w:rPr>
          <w:rFonts w:asciiTheme="majorHAnsi" w:hAnsiTheme="majorHAnsi" w:cstheme="majorHAnsi"/>
          <w:sz w:val="22"/>
          <w:szCs w:val="22"/>
          <w:lang w:val="en-US"/>
        </w:rPr>
      </w:pPr>
    </w:p>
    <w:p w14:paraId="6FB4E8F4" w14:textId="2043F111" w:rsidR="00880919" w:rsidRPr="00DE4CD2" w:rsidRDefault="00880919"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en-US"/>
        </w:rPr>
        <w:t xml:space="preserve">Uhlbach, W.-H., Balland, P.-A. and Scherngell, T. (2017): R&amp;D Policy and Technological Trajectories of Regions: Evidence from the EU Framework </w:t>
      </w:r>
      <w:proofErr w:type="spellStart"/>
      <w:r w:rsidRPr="00DE4CD2">
        <w:rPr>
          <w:rFonts w:asciiTheme="majorHAnsi" w:hAnsiTheme="majorHAnsi" w:cstheme="majorHAnsi"/>
          <w:sz w:val="22"/>
          <w:szCs w:val="22"/>
          <w:lang w:val="en-US"/>
        </w:rPr>
        <w:t>Programmes</w:t>
      </w:r>
      <w:proofErr w:type="spellEnd"/>
      <w:r w:rsidRPr="00DE4CD2">
        <w:rPr>
          <w:rFonts w:asciiTheme="majorHAnsi" w:hAnsiTheme="majorHAnsi" w:cstheme="majorHAnsi"/>
          <w:sz w:val="22"/>
          <w:szCs w:val="22"/>
          <w:lang w:val="en-US"/>
        </w:rPr>
        <w:t xml:space="preserve">. STI 2017, Paris [Fr], 6-8 September </w:t>
      </w:r>
    </w:p>
    <w:p w14:paraId="0A59D793" w14:textId="77777777" w:rsidR="00880919" w:rsidRPr="00DE4CD2" w:rsidRDefault="00880919"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en-US"/>
        </w:rPr>
        <w:t xml:space="preserve">Villard, L., Perruchas, F., Scherngell, T., Barber M. and Laredo, P. (2017): The role of European </w:t>
      </w:r>
      <w:proofErr w:type="spellStart"/>
      <w:r w:rsidRPr="00DE4CD2">
        <w:rPr>
          <w:rFonts w:asciiTheme="majorHAnsi" w:hAnsiTheme="majorHAnsi" w:cstheme="majorHAnsi"/>
          <w:sz w:val="22"/>
          <w:szCs w:val="22"/>
          <w:lang w:val="en-US"/>
        </w:rPr>
        <w:t>Programmes</w:t>
      </w:r>
      <w:proofErr w:type="spellEnd"/>
      <w:r w:rsidRPr="00DE4CD2">
        <w:rPr>
          <w:rFonts w:asciiTheme="majorHAnsi" w:hAnsiTheme="majorHAnsi" w:cstheme="majorHAnsi"/>
          <w:sz w:val="22"/>
          <w:szCs w:val="22"/>
          <w:lang w:val="en-US"/>
        </w:rPr>
        <w:t xml:space="preserve"> in the European distribution of knowledge, the case of nanoscience and technology. STI 2017, Paris [Fr], 6-8 September</w:t>
      </w:r>
    </w:p>
    <w:p w14:paraId="52612413" w14:textId="77777777" w:rsidR="00D83E17" w:rsidRPr="00DE4CD2" w:rsidRDefault="00D83E17" w:rsidP="00D83E17">
      <w:pPr>
        <w:ind w:left="284" w:hanging="284"/>
        <w:rPr>
          <w:rFonts w:asciiTheme="majorHAnsi" w:hAnsiTheme="majorHAnsi" w:cstheme="majorHAnsi"/>
          <w:sz w:val="22"/>
          <w:szCs w:val="22"/>
          <w:lang w:val="en-US"/>
        </w:rPr>
      </w:pPr>
    </w:p>
    <w:p w14:paraId="33AFCA7D" w14:textId="00D04E86" w:rsidR="00880919" w:rsidRPr="00DE4CD2" w:rsidRDefault="00880919"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en-US"/>
        </w:rPr>
        <w:t>Wanzenböck, I., Scherngell, T. and Brenner, T. (2014): Embeddedness of regions in European knowledge networks. A comparative analysis of inter-regional R&amp;D collaborations, co-patents and co- publications, The Annals of Regional Science 53, 337-368</w:t>
      </w:r>
    </w:p>
    <w:p w14:paraId="06EB7B1C" w14:textId="77777777" w:rsidR="00D83E17" w:rsidRPr="00DE4CD2" w:rsidRDefault="00D83E17" w:rsidP="00D83E17">
      <w:pPr>
        <w:ind w:left="284" w:hanging="284"/>
        <w:rPr>
          <w:rFonts w:asciiTheme="majorHAnsi" w:hAnsiTheme="majorHAnsi" w:cstheme="majorHAnsi"/>
          <w:sz w:val="22"/>
          <w:szCs w:val="22"/>
          <w:lang w:val="en-US"/>
        </w:rPr>
      </w:pPr>
    </w:p>
    <w:p w14:paraId="79F7FE10" w14:textId="73B1CBFC" w:rsidR="00880919" w:rsidRPr="00DE4CD2" w:rsidRDefault="00880919"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en-US"/>
        </w:rPr>
        <w:t>Wanzenböck, I., Scherngell, T. and Lata, R. (2015): Embeddedness of European regions in EU funded R&amp;D networks: A spatial econometric perspective, Regional Studies 49, 1685-1705</w:t>
      </w:r>
    </w:p>
    <w:p w14:paraId="017AA4A7" w14:textId="77777777" w:rsidR="00D83E17" w:rsidRPr="00DE4CD2" w:rsidRDefault="00D83E17" w:rsidP="00D83E17">
      <w:pPr>
        <w:ind w:left="284" w:hanging="284"/>
        <w:rPr>
          <w:rFonts w:asciiTheme="majorHAnsi" w:hAnsiTheme="majorHAnsi" w:cstheme="majorHAnsi"/>
          <w:sz w:val="22"/>
          <w:szCs w:val="22"/>
          <w:lang w:val="en-US"/>
        </w:rPr>
      </w:pPr>
    </w:p>
    <w:p w14:paraId="39DAB827" w14:textId="12DE9EB1" w:rsidR="00880919" w:rsidRPr="00DE4CD2" w:rsidRDefault="00880919"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en-US"/>
        </w:rPr>
        <w:t>Wanzenböck, I. and Piribauer, P. (2017): R&amp;D networks and regional knowledge production in Europe. Evidence from a space-time model. Papers in Regional Science [</w:t>
      </w:r>
      <w:proofErr w:type="spellStart"/>
      <w:r w:rsidRPr="00DE4CD2">
        <w:rPr>
          <w:rFonts w:asciiTheme="majorHAnsi" w:hAnsiTheme="majorHAnsi" w:cstheme="majorHAnsi"/>
          <w:sz w:val="22"/>
          <w:szCs w:val="22"/>
          <w:lang w:val="en-US"/>
        </w:rPr>
        <w:t>doi</w:t>
      </w:r>
      <w:proofErr w:type="spellEnd"/>
      <w:r w:rsidRPr="00DE4CD2">
        <w:rPr>
          <w:rFonts w:asciiTheme="majorHAnsi" w:hAnsiTheme="majorHAnsi" w:cstheme="majorHAnsi"/>
          <w:sz w:val="22"/>
          <w:szCs w:val="22"/>
          <w:lang w:val="en-US"/>
        </w:rPr>
        <w:t xml:space="preserve"> 10.1111/pirs.12236] from the 7th EU Framework </w:t>
      </w:r>
      <w:proofErr w:type="spellStart"/>
      <w:r w:rsidRPr="00DE4CD2">
        <w:rPr>
          <w:rFonts w:asciiTheme="majorHAnsi" w:hAnsiTheme="majorHAnsi" w:cstheme="majorHAnsi"/>
          <w:sz w:val="22"/>
          <w:szCs w:val="22"/>
          <w:lang w:val="en-US"/>
        </w:rPr>
        <w:t>Programme</w:t>
      </w:r>
      <w:proofErr w:type="spellEnd"/>
      <w:r w:rsidRPr="00DE4CD2">
        <w:rPr>
          <w:rFonts w:asciiTheme="majorHAnsi" w:hAnsiTheme="majorHAnsi" w:cstheme="majorHAnsi"/>
          <w:sz w:val="22"/>
          <w:szCs w:val="22"/>
          <w:lang w:val="en-US"/>
        </w:rPr>
        <w:t>. 2017 Annual Conference of the EU-SPRI Forum, June 7-9, Vienna Austria</w:t>
      </w:r>
    </w:p>
    <w:p w14:paraId="1F6BCE04" w14:textId="77777777" w:rsidR="00D83E17" w:rsidRPr="00DE4CD2" w:rsidRDefault="00D83E17" w:rsidP="00D83E17">
      <w:pPr>
        <w:ind w:left="284" w:hanging="284"/>
        <w:rPr>
          <w:rFonts w:asciiTheme="majorHAnsi" w:hAnsiTheme="majorHAnsi" w:cstheme="majorHAnsi"/>
          <w:sz w:val="22"/>
          <w:szCs w:val="22"/>
          <w:lang w:val="en-US"/>
        </w:rPr>
      </w:pPr>
    </w:p>
    <w:p w14:paraId="16D79240" w14:textId="590B3E8F" w:rsidR="00880919" w:rsidRPr="00DE4CD2" w:rsidRDefault="00880919"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en-US"/>
        </w:rPr>
        <w:t>Wanzenböck, I., Neuländtner, M., &amp; Scherngell, T. (2020). Impacts of EU funded R&amp;D networks on the generation of key enabling technologies: Empirical evidence from a regional perspective. Papers in Regional Science, 99(1), 3-24</w:t>
      </w:r>
    </w:p>
    <w:p w14:paraId="60A84C5C" w14:textId="77777777" w:rsidR="00D83E17" w:rsidRPr="00DE4CD2" w:rsidRDefault="00D83E17" w:rsidP="00D83E17">
      <w:pPr>
        <w:ind w:left="284" w:hanging="284"/>
        <w:rPr>
          <w:rFonts w:asciiTheme="majorHAnsi" w:hAnsiTheme="majorHAnsi" w:cstheme="majorHAnsi"/>
          <w:sz w:val="22"/>
          <w:szCs w:val="22"/>
          <w:lang w:val="en-US"/>
        </w:rPr>
      </w:pPr>
    </w:p>
    <w:p w14:paraId="15DD5D72" w14:textId="05CB3B22" w:rsidR="002C3BB1" w:rsidRPr="00DE4CD2" w:rsidRDefault="002C3BB1" w:rsidP="00D83E17">
      <w:pPr>
        <w:ind w:left="284" w:hanging="284"/>
        <w:rPr>
          <w:rFonts w:asciiTheme="majorHAnsi" w:hAnsiTheme="majorHAnsi" w:cstheme="majorHAnsi"/>
          <w:sz w:val="22"/>
          <w:szCs w:val="22"/>
          <w:lang w:val="en-US"/>
        </w:rPr>
      </w:pPr>
      <w:proofErr w:type="spellStart"/>
      <w:r w:rsidRPr="00DE4CD2">
        <w:rPr>
          <w:rFonts w:asciiTheme="majorHAnsi" w:hAnsiTheme="majorHAnsi" w:cstheme="majorHAnsi"/>
          <w:sz w:val="22"/>
          <w:szCs w:val="22"/>
          <w:lang w:val="en-US"/>
        </w:rPr>
        <w:t>Zacharewicz</w:t>
      </w:r>
      <w:proofErr w:type="spellEnd"/>
      <w:r w:rsidRPr="00DE4CD2">
        <w:rPr>
          <w:rFonts w:asciiTheme="majorHAnsi" w:hAnsiTheme="majorHAnsi" w:cstheme="majorHAnsi"/>
          <w:sz w:val="22"/>
          <w:szCs w:val="22"/>
          <w:lang w:val="en-US"/>
        </w:rPr>
        <w:t>, T., Lepori, B., Reale, E., Jonkers, K. (2018). Performance-based research funding in EU Member States a comparative assessment. Science and Public Policy, 46(1):105-115</w:t>
      </w:r>
    </w:p>
    <w:p w14:paraId="6856A080" w14:textId="77777777" w:rsidR="002C3BB1" w:rsidRPr="00DE4CD2" w:rsidRDefault="002C3BB1" w:rsidP="00D83E17">
      <w:pPr>
        <w:ind w:left="284" w:hanging="284"/>
        <w:rPr>
          <w:rFonts w:asciiTheme="majorHAnsi" w:hAnsiTheme="majorHAnsi" w:cstheme="majorHAnsi"/>
          <w:sz w:val="22"/>
          <w:szCs w:val="22"/>
          <w:lang w:val="en-US"/>
        </w:rPr>
      </w:pPr>
    </w:p>
    <w:p w14:paraId="43F679A5" w14:textId="7D53CD52" w:rsidR="00D22538" w:rsidRPr="00DE4CD2" w:rsidRDefault="002C3BB1" w:rsidP="00D83E17">
      <w:pPr>
        <w:ind w:left="284" w:hanging="284"/>
        <w:rPr>
          <w:rFonts w:asciiTheme="majorHAnsi" w:hAnsiTheme="majorHAnsi" w:cstheme="majorHAnsi"/>
          <w:sz w:val="22"/>
          <w:szCs w:val="22"/>
          <w:lang w:val="en-US"/>
        </w:rPr>
      </w:pPr>
      <w:r w:rsidRPr="00DE4CD2">
        <w:rPr>
          <w:rFonts w:asciiTheme="majorHAnsi" w:hAnsiTheme="majorHAnsi" w:cstheme="majorHAnsi"/>
          <w:sz w:val="22"/>
          <w:szCs w:val="22"/>
          <w:lang w:val="en-US"/>
        </w:rPr>
        <w:t xml:space="preserve">Zinilli, A., Reale, E., Spinello, A. O., Varinetti, E. (2022). Diversification vs. specialization from the perspective of research </w:t>
      </w:r>
      <w:proofErr w:type="spellStart"/>
      <w:r w:rsidRPr="00DE4CD2">
        <w:rPr>
          <w:rFonts w:asciiTheme="majorHAnsi" w:hAnsiTheme="majorHAnsi" w:cstheme="majorHAnsi"/>
          <w:sz w:val="22"/>
          <w:szCs w:val="22"/>
          <w:lang w:val="en-US"/>
        </w:rPr>
        <w:t>programmes</w:t>
      </w:r>
      <w:proofErr w:type="spellEnd"/>
      <w:r w:rsidRPr="00DE4CD2">
        <w:rPr>
          <w:rFonts w:asciiTheme="majorHAnsi" w:hAnsiTheme="majorHAnsi" w:cstheme="majorHAnsi"/>
          <w:sz w:val="22"/>
          <w:szCs w:val="22"/>
          <w:lang w:val="en-US"/>
        </w:rPr>
        <w:t>: a complexity approach, in N. Robinson-Garcia, D. Torres-Salinas, &amp; W. Arroyo-Machado (Eds.), Proceedings of the 26th International Conference on Science and Technology Indicators, STI 2022(sti2256)</w:t>
      </w:r>
    </w:p>
    <w:p w14:paraId="12F8ADF1" w14:textId="212246A8" w:rsidR="00065EEA" w:rsidRPr="00DE4CD2" w:rsidRDefault="00065EEA" w:rsidP="00880919">
      <w:pPr>
        <w:ind w:left="284" w:hanging="284"/>
        <w:rPr>
          <w:rFonts w:asciiTheme="majorHAnsi" w:hAnsiTheme="majorHAnsi" w:cstheme="majorHAnsi"/>
          <w:sz w:val="20"/>
          <w:szCs w:val="20"/>
          <w:lang w:val="en-US"/>
        </w:rPr>
      </w:pPr>
    </w:p>
    <w:p w14:paraId="3AFD5FF7" w14:textId="255764C4" w:rsidR="00D83E17" w:rsidRPr="00DE4CD2" w:rsidRDefault="00D83E17" w:rsidP="00880919">
      <w:pPr>
        <w:ind w:left="284" w:hanging="284"/>
        <w:rPr>
          <w:rFonts w:asciiTheme="majorHAnsi" w:hAnsiTheme="majorHAnsi" w:cstheme="majorHAnsi"/>
          <w:sz w:val="20"/>
          <w:szCs w:val="20"/>
          <w:lang w:val="en-US"/>
        </w:rPr>
      </w:pPr>
    </w:p>
    <w:p w14:paraId="65F10071" w14:textId="2884CF21" w:rsidR="00065EEA" w:rsidRPr="00DE4CD2" w:rsidRDefault="00065EEA" w:rsidP="00065EEA">
      <w:pPr>
        <w:ind w:left="284" w:hanging="284"/>
        <w:rPr>
          <w:rFonts w:asciiTheme="majorHAnsi" w:hAnsiTheme="majorHAnsi" w:cstheme="majorHAnsi"/>
          <w:sz w:val="20"/>
          <w:szCs w:val="20"/>
          <w:lang w:val="en-US"/>
        </w:rPr>
      </w:pPr>
    </w:p>
    <w:p w14:paraId="0A0AE3C8" w14:textId="5ED12B5F" w:rsidR="00065EEA" w:rsidRPr="00DE4CD2" w:rsidRDefault="00065EEA" w:rsidP="00065EEA">
      <w:pPr>
        <w:ind w:left="284" w:hanging="284"/>
        <w:rPr>
          <w:rFonts w:asciiTheme="majorHAnsi" w:hAnsiTheme="majorHAnsi" w:cstheme="majorHAnsi"/>
          <w:sz w:val="20"/>
          <w:szCs w:val="20"/>
          <w:lang w:val="en-US"/>
        </w:rPr>
      </w:pPr>
    </w:p>
    <w:p w14:paraId="1979D2CD" w14:textId="77777777" w:rsidR="00065EEA" w:rsidRPr="00DE4CD2" w:rsidRDefault="00065EEA" w:rsidP="00065EEA">
      <w:pPr>
        <w:ind w:left="284" w:hanging="284"/>
        <w:rPr>
          <w:rFonts w:asciiTheme="majorHAnsi" w:hAnsiTheme="majorHAnsi" w:cstheme="majorHAnsi"/>
          <w:sz w:val="20"/>
          <w:szCs w:val="20"/>
          <w:lang w:val="en-US"/>
        </w:rPr>
      </w:pPr>
    </w:p>
    <w:p w14:paraId="7CA73FE4" w14:textId="77777777" w:rsidR="00D22538" w:rsidRPr="00DE4CD2" w:rsidRDefault="00D22538" w:rsidP="002C3BB1">
      <w:pPr>
        <w:pStyle w:val="ECVSectionBullet"/>
        <w:autoSpaceDN/>
        <w:spacing w:line="100" w:lineRule="atLeast"/>
        <w:ind w:left="284" w:hanging="284"/>
        <w:textAlignment w:val="auto"/>
        <w:outlineLvl w:val="9"/>
        <w:rPr>
          <w:rFonts w:asciiTheme="majorHAnsi" w:hAnsiTheme="majorHAnsi" w:cstheme="majorHAnsi"/>
          <w:color w:val="auto"/>
          <w:sz w:val="20"/>
          <w:szCs w:val="20"/>
          <w:lang w:val="en-US"/>
        </w:rPr>
      </w:pPr>
    </w:p>
    <w:p w14:paraId="54DC9188" w14:textId="2CC7F429" w:rsidR="00FF0DED" w:rsidRPr="00DE4CD2" w:rsidRDefault="00FF0DED" w:rsidP="002C3BB1">
      <w:pPr>
        <w:pStyle w:val="ECVSectionBullet"/>
        <w:autoSpaceDN/>
        <w:spacing w:line="100" w:lineRule="atLeast"/>
        <w:ind w:left="284" w:hanging="284"/>
        <w:textAlignment w:val="auto"/>
        <w:outlineLvl w:val="9"/>
        <w:rPr>
          <w:rFonts w:asciiTheme="majorHAnsi" w:hAnsiTheme="majorHAnsi" w:cstheme="majorHAnsi"/>
          <w:color w:val="auto"/>
          <w:sz w:val="20"/>
          <w:szCs w:val="20"/>
          <w:lang w:val="en-US"/>
        </w:rPr>
      </w:pPr>
    </w:p>
    <w:p w14:paraId="0DEE9600" w14:textId="14FD2DF5" w:rsidR="00FF0DED" w:rsidRPr="00DE4CD2" w:rsidRDefault="00FF0DED" w:rsidP="002C3BB1">
      <w:pPr>
        <w:pStyle w:val="ECVSectionBullet"/>
        <w:autoSpaceDN/>
        <w:spacing w:line="100" w:lineRule="atLeast"/>
        <w:ind w:left="284" w:hanging="284"/>
        <w:textAlignment w:val="auto"/>
        <w:outlineLvl w:val="9"/>
        <w:rPr>
          <w:rFonts w:asciiTheme="majorHAnsi" w:hAnsiTheme="majorHAnsi" w:cstheme="majorHAnsi"/>
          <w:color w:val="auto"/>
          <w:sz w:val="20"/>
          <w:szCs w:val="20"/>
          <w:lang w:val="en-US"/>
        </w:rPr>
      </w:pPr>
    </w:p>
    <w:p w14:paraId="7419CFF2" w14:textId="5FA6F40F" w:rsidR="002C3BB1" w:rsidRPr="00DE4CD2" w:rsidRDefault="002C3BB1" w:rsidP="002C3BB1">
      <w:pPr>
        <w:rPr>
          <w:rFonts w:asciiTheme="majorHAnsi" w:hAnsiTheme="majorHAnsi" w:cstheme="majorHAnsi"/>
        </w:rPr>
      </w:pPr>
    </w:p>
    <w:bookmarkEnd w:id="18"/>
    <w:p w14:paraId="6B1E233E" w14:textId="77777777" w:rsidR="007133AA" w:rsidRPr="00DE4CD2" w:rsidRDefault="007133AA" w:rsidP="00ED6220">
      <w:pPr>
        <w:rPr>
          <w:rFonts w:asciiTheme="majorHAnsi" w:hAnsiTheme="majorHAnsi" w:cstheme="majorHAnsi"/>
          <w:lang w:val="en-US"/>
        </w:rPr>
      </w:pPr>
    </w:p>
    <w:sectPr w:rsidR="007133AA" w:rsidRPr="00DE4CD2" w:rsidSect="00B90855">
      <w:headerReference w:type="default" r:id="rId85"/>
      <w:footerReference w:type="default" r:id="rId86"/>
      <w:headerReference w:type="first" r:id="rId87"/>
      <w:footerReference w:type="first" r:id="rId88"/>
      <w:pgSz w:w="11900" w:h="16840"/>
      <w:pgMar w:top="1843" w:right="1134" w:bottom="1134" w:left="1134" w:header="709" w:footer="709"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B191F7" w14:textId="77777777" w:rsidR="005B4899" w:rsidRDefault="005B4899">
      <w:r>
        <w:separator/>
      </w:r>
    </w:p>
  </w:endnote>
  <w:endnote w:type="continuationSeparator" w:id="0">
    <w:p w14:paraId="3CBE4D24" w14:textId="77777777" w:rsidR="005B4899" w:rsidRDefault="005B48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w Cen MT">
    <w:panose1 w:val="020B0602020104020603"/>
    <w:charset w:val="00"/>
    <w:family w:val="swiss"/>
    <w:pitch w:val="variable"/>
    <w:sig w:usb0="00000007" w:usb1="00000000" w:usb2="00000000" w:usb3="00000000" w:csb0="00000003"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crosoft Sans Serif">
    <w:panose1 w:val="020B0604020202020204"/>
    <w:charset w:val="00"/>
    <w:family w:val="swiss"/>
    <w:pitch w:val="variable"/>
    <w:sig w:usb0="E5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66180791"/>
      <w:docPartObj>
        <w:docPartGallery w:val="Page Numbers (Bottom of Page)"/>
        <w:docPartUnique/>
      </w:docPartObj>
    </w:sdtPr>
    <w:sdtEndPr/>
    <w:sdtContent>
      <w:p w14:paraId="1269B294" w14:textId="640FB004" w:rsidR="00263372" w:rsidRDefault="00263372">
        <w:pPr>
          <w:pStyle w:val="Fuzeile"/>
          <w:jc w:val="center"/>
          <w:rPr>
            <w:sz w:val="18"/>
            <w:szCs w:val="18"/>
          </w:rPr>
        </w:pPr>
        <w:r>
          <w:rPr>
            <w:sz w:val="18"/>
            <w:szCs w:val="18"/>
          </w:rPr>
          <w:fldChar w:fldCharType="begin"/>
        </w:r>
        <w:r>
          <w:rPr>
            <w:sz w:val="18"/>
            <w:szCs w:val="18"/>
          </w:rPr>
          <w:instrText>PAGE   \* MERGEFORMAT</w:instrText>
        </w:r>
        <w:r>
          <w:rPr>
            <w:sz w:val="18"/>
            <w:szCs w:val="18"/>
          </w:rPr>
          <w:fldChar w:fldCharType="separate"/>
        </w:r>
        <w:r w:rsidR="00D045C6" w:rsidRPr="00D045C6">
          <w:rPr>
            <w:noProof/>
            <w:sz w:val="18"/>
            <w:szCs w:val="18"/>
            <w:lang w:val="de-DE"/>
          </w:rPr>
          <w:t>3</w:t>
        </w:r>
        <w:r>
          <w:rPr>
            <w:sz w:val="18"/>
            <w:szCs w:val="18"/>
          </w:rPr>
          <w:fldChar w:fldCharType="end"/>
        </w:r>
      </w:p>
    </w:sdtContent>
  </w:sdt>
  <w:p w14:paraId="7BF4902F" w14:textId="77777777" w:rsidR="00263372" w:rsidRDefault="00263372">
    <w:pPr>
      <w:pStyle w:val="Fuzeile"/>
      <w:ind w:right="-568"/>
      <w:rPr>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53279443"/>
      <w:docPartObj>
        <w:docPartGallery w:val="Page Numbers (Bottom of Page)"/>
        <w:docPartUnique/>
      </w:docPartObj>
    </w:sdtPr>
    <w:sdtEndPr/>
    <w:sdtContent>
      <w:p w14:paraId="433A548A" w14:textId="77777777" w:rsidR="00263372" w:rsidRDefault="00263372">
        <w:pPr>
          <w:pStyle w:val="Fuzeile"/>
          <w:ind w:left="1416" w:right="-568"/>
          <w:rPr>
            <w:b/>
            <w:sz w:val="40"/>
          </w:rPr>
        </w:pPr>
        <w:r>
          <w:rPr>
            <w:b/>
            <w:noProof/>
            <w:sz w:val="20"/>
            <w:lang w:val="en-US" w:eastAsia="en-US"/>
          </w:rPr>
          <w:drawing>
            <wp:anchor distT="0" distB="0" distL="114300" distR="114300" simplePos="0" relativeHeight="251674112" behindDoc="0" locked="0" layoutInCell="1" allowOverlap="1" wp14:anchorId="0E6B5A71" wp14:editId="47795161">
              <wp:simplePos x="0" y="0"/>
              <wp:positionH relativeFrom="column">
                <wp:posOffset>4444</wp:posOffset>
              </wp:positionH>
              <wp:positionV relativeFrom="page">
                <wp:posOffset>9806304</wp:posOffset>
              </wp:positionV>
              <wp:extent cx="731520" cy="487679"/>
              <wp:effectExtent l="0" t="0" r="0" b="7619"/>
              <wp:wrapNone/>
              <wp:docPr id="58" name="Grafi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pic:cNvPicPr>
                        <a:picLocks noChangeAspect="1"/>
                      </pic:cNvPicPr>
                    </pic:nvPicPr>
                    <pic:blipFill>
                      <a:blip r:embed="rId1"/>
                      <a:stretch/>
                    </pic:blipFill>
                    <pic:spPr bwMode="auto">
                      <a:xfrm>
                        <a:off x="0" y="0"/>
                        <a:ext cx="731520" cy="487680"/>
                      </a:xfrm>
                      <a:prstGeom prst="rect">
                        <a:avLst/>
                      </a:prstGeom>
                      <a:noFill/>
                      <a:ln>
                        <a:noFill/>
                      </a:ln>
                    </pic:spPr>
                  </pic:pic>
                </a:graphicData>
              </a:graphic>
              <wp14:sizeRelH relativeFrom="page">
                <wp14:pctWidth>0</wp14:pctWidth>
              </wp14:sizeRelH>
              <wp14:sizeRelV relativeFrom="page">
                <wp14:pctHeight>0</wp14:pctHeight>
              </wp14:sizeRelV>
            </wp:anchor>
          </w:drawing>
        </w:r>
        <w:r>
          <w:rPr>
            <w:b/>
            <w:sz w:val="20"/>
          </w:rPr>
          <w:t xml:space="preserve">This project has received funding from the European Union's Horizon 2020 research and innovation programme under grant agreement N° </w:t>
        </w:r>
        <w:r>
          <w:rPr>
            <w:b/>
            <w:noProof/>
            <w:sz w:val="40"/>
            <w:lang w:val="en-US" w:eastAsia="en-US"/>
          </w:rPr>
          <w:drawing>
            <wp:anchor distT="0" distB="0" distL="114300" distR="114300" simplePos="0" relativeHeight="251643392" behindDoc="0" locked="0" layoutInCell="1" allowOverlap="1" wp14:anchorId="1433D626" wp14:editId="23AB3677">
              <wp:simplePos x="0" y="0"/>
              <wp:positionH relativeFrom="column">
                <wp:posOffset>168274</wp:posOffset>
              </wp:positionH>
              <wp:positionV relativeFrom="paragraph">
                <wp:posOffset>10094594</wp:posOffset>
              </wp:positionV>
              <wp:extent cx="838834" cy="433704"/>
              <wp:effectExtent l="0" t="0" r="0" b="4444"/>
              <wp:wrapNone/>
              <wp:docPr id="59" name="Grafik 59" descr="\\AGORA\communication\COM\TRAVAUX PAO FINAL\--CHARTE GRAPHIQUE--\LOGOS\UPEM\UPEM_LOGO_EDITION_V2\UPEM_LOGO_EDITION300D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2" descr="\\AGORA\communication\COM\TRAVAUX PAO FINAL\--CHARTE GRAPHIQUE--\LOGOS\UPEM\UPEM_LOGO_EDITION_V2\UPEM_LOGO_EDITION300DPI.png"/>
                      <pic:cNvPicPr>
                        <a:picLocks noChangeAspect="1"/>
                      </pic:cNvPicPr>
                    </pic:nvPicPr>
                    <pic:blipFill>
                      <a:blip r:embed="rId2"/>
                      <a:stretch/>
                    </pic:blipFill>
                    <pic:spPr bwMode="auto">
                      <a:xfrm>
                        <a:off x="0" y="0"/>
                        <a:ext cx="838835" cy="43370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 w:val="40"/>
            <w:lang w:val="en-US" w:eastAsia="en-US"/>
          </w:rPr>
          <w:drawing>
            <wp:anchor distT="0" distB="0" distL="114300" distR="114300" simplePos="0" relativeHeight="251645440" behindDoc="0" locked="0" layoutInCell="1" allowOverlap="1" wp14:anchorId="7A5531B8" wp14:editId="31614C6B">
              <wp:simplePos x="0" y="0"/>
              <wp:positionH relativeFrom="column">
                <wp:posOffset>1151254</wp:posOffset>
              </wp:positionH>
              <wp:positionV relativeFrom="paragraph">
                <wp:posOffset>10048874</wp:posOffset>
              </wp:positionV>
              <wp:extent cx="1124584" cy="548004"/>
              <wp:effectExtent l="0" t="0" r="0" b="4444"/>
              <wp:wrapNone/>
              <wp:docPr id="60" name="Grafik 60"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 descr="Afficher l'image d'origine"/>
                      <pic:cNvPicPr>
                        <a:picLocks noChangeAspect="1"/>
                      </pic:cNvPicPr>
                    </pic:nvPicPr>
                    <pic:blipFill>
                      <a:blip r:embed="rId3"/>
                      <a:stretch/>
                    </pic:blipFill>
                    <pic:spPr bwMode="auto">
                      <a:xfrm>
                        <a:off x="0" y="0"/>
                        <a:ext cx="1124585" cy="54800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 w:val="40"/>
            <w:lang w:val="en-US" w:eastAsia="en-US"/>
          </w:rPr>
          <w:drawing>
            <wp:anchor distT="0" distB="0" distL="114300" distR="114300" simplePos="0" relativeHeight="251647488" behindDoc="0" locked="0" layoutInCell="1" allowOverlap="1" wp14:anchorId="7CBD5FFC" wp14:editId="081852D1">
              <wp:simplePos x="0" y="0"/>
              <wp:positionH relativeFrom="column">
                <wp:posOffset>2494914</wp:posOffset>
              </wp:positionH>
              <wp:positionV relativeFrom="paragraph">
                <wp:posOffset>10027284</wp:posOffset>
              </wp:positionV>
              <wp:extent cx="1028064" cy="630554"/>
              <wp:effectExtent l="0" t="0" r="634" b="0"/>
              <wp:wrapNone/>
              <wp:docPr id="61" name="Grafik 61"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8" descr="Afficher l'image d'origine"/>
                      <pic:cNvPicPr>
                        <a:picLocks noChangeAspect="1"/>
                      </pic:cNvPicPr>
                    </pic:nvPicPr>
                    <pic:blipFill>
                      <a:blip r:embed="rId4"/>
                      <a:stretch/>
                    </pic:blipFill>
                    <pic:spPr bwMode="auto">
                      <a:xfrm>
                        <a:off x="0" y="0"/>
                        <a:ext cx="1028065" cy="63055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 w:val="40"/>
            <w:lang w:val="en-US" w:eastAsia="en-US"/>
          </w:rPr>
          <w:drawing>
            <wp:anchor distT="0" distB="0" distL="114300" distR="114300" simplePos="0" relativeHeight="251649536" behindDoc="0" locked="0" layoutInCell="1" allowOverlap="1" wp14:anchorId="282DD09A" wp14:editId="00A87206">
              <wp:simplePos x="0" y="0"/>
              <wp:positionH relativeFrom="column">
                <wp:posOffset>3667124</wp:posOffset>
              </wp:positionH>
              <wp:positionV relativeFrom="paragraph">
                <wp:posOffset>10153649</wp:posOffset>
              </wp:positionV>
              <wp:extent cx="912494" cy="408939"/>
              <wp:effectExtent l="0" t="0" r="1904" b="0"/>
              <wp:wrapNone/>
              <wp:docPr id="62" name="Grafik 62"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3" descr="Afficher l'image d'origine"/>
                      <pic:cNvPicPr>
                        <a:picLocks noChangeAspect="1"/>
                      </pic:cNvPicPr>
                    </pic:nvPicPr>
                    <pic:blipFill>
                      <a:blip r:embed="rId5"/>
                      <a:stretch/>
                    </pic:blipFill>
                    <pic:spPr bwMode="auto">
                      <a:xfrm>
                        <a:off x="0" y="0"/>
                        <a:ext cx="912495" cy="408940"/>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 w:val="40"/>
            <w:lang w:val="en-US" w:eastAsia="en-US"/>
          </w:rPr>
          <w:drawing>
            <wp:anchor distT="0" distB="0" distL="114300" distR="114300" simplePos="0" relativeHeight="251651584" behindDoc="0" locked="0" layoutInCell="1" allowOverlap="1" wp14:anchorId="592B0DFF" wp14:editId="63C4C3DB">
              <wp:simplePos x="0" y="0"/>
              <wp:positionH relativeFrom="column">
                <wp:posOffset>4721859</wp:posOffset>
              </wp:positionH>
              <wp:positionV relativeFrom="paragraph">
                <wp:posOffset>10096499</wp:posOffset>
              </wp:positionV>
              <wp:extent cx="1242694" cy="485775"/>
              <wp:effectExtent l="0" t="0" r="0" b="9524"/>
              <wp:wrapNone/>
              <wp:docPr id="63" name="Grafik 63"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5" descr="Afficher l'image d'origine"/>
                      <pic:cNvPicPr>
                        <a:picLocks noChangeAspect="1"/>
                      </pic:cNvPicPr>
                    </pic:nvPicPr>
                    <pic:blipFill>
                      <a:blip r:embed="rId6"/>
                      <a:stretch/>
                    </pic:blipFill>
                    <pic:spPr bwMode="auto">
                      <a:xfrm>
                        <a:off x="0" y="0"/>
                        <a:ext cx="1242695" cy="48577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 w:val="40"/>
            <w:lang w:val="en-US" w:eastAsia="en-US"/>
          </w:rPr>
          <w:drawing>
            <wp:anchor distT="0" distB="0" distL="114300" distR="114300" simplePos="0" relativeHeight="251653632" behindDoc="0" locked="0" layoutInCell="1" allowOverlap="1" wp14:anchorId="0E9A9429" wp14:editId="5B329613">
              <wp:simplePos x="0" y="0"/>
              <wp:positionH relativeFrom="column">
                <wp:posOffset>6732270</wp:posOffset>
              </wp:positionH>
              <wp:positionV relativeFrom="paragraph">
                <wp:posOffset>10024744</wp:posOffset>
              </wp:positionV>
              <wp:extent cx="491490" cy="554989"/>
              <wp:effectExtent l="0" t="0" r="3809" b="0"/>
              <wp:wrapNone/>
              <wp:docPr id="1296601536" name="Grafik 1296601536"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6" descr="Afficher l'image d'origine"/>
                      <pic:cNvPicPr>
                        <a:picLocks noChangeAspect="1"/>
                      </pic:cNvPicPr>
                    </pic:nvPicPr>
                    <pic:blipFill>
                      <a:blip r:embed="rId7"/>
                      <a:stretch/>
                    </pic:blipFill>
                    <pic:spPr bwMode="auto">
                      <a:xfrm>
                        <a:off x="0" y="0"/>
                        <a:ext cx="491490" cy="554990"/>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 w:val="40"/>
            <w:lang w:val="en-US" w:eastAsia="en-US"/>
          </w:rPr>
          <w:drawing>
            <wp:anchor distT="0" distB="0" distL="114300" distR="114300" simplePos="0" relativeHeight="251655680" behindDoc="0" locked="0" layoutInCell="1" allowOverlap="1" wp14:anchorId="3EB4450C" wp14:editId="24C9B7A6">
              <wp:simplePos x="0" y="0"/>
              <wp:positionH relativeFrom="column">
                <wp:posOffset>6044564</wp:posOffset>
              </wp:positionH>
              <wp:positionV relativeFrom="paragraph">
                <wp:posOffset>10019664</wp:posOffset>
              </wp:positionV>
              <wp:extent cx="556894" cy="523239"/>
              <wp:effectExtent l="0" t="0" r="0" b="0"/>
              <wp:wrapNone/>
              <wp:docPr id="1296601538" name="Grafik 1296601538"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 7" descr="Afficher l'image d'origine"/>
                      <pic:cNvPicPr>
                        <a:picLocks noChangeAspect="1"/>
                      </pic:cNvPicPr>
                    </pic:nvPicPr>
                    <pic:blipFill>
                      <a:blip r:embed="rId8"/>
                      <a:stretch/>
                    </pic:blipFill>
                    <pic:spPr bwMode="auto">
                      <a:xfrm>
                        <a:off x="0" y="0"/>
                        <a:ext cx="556895" cy="523240"/>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 w:val="40"/>
            <w:lang w:val="en-US" w:eastAsia="en-US"/>
          </w:rPr>
          <w:drawing>
            <wp:anchor distT="0" distB="0" distL="114300" distR="114300" simplePos="0" relativeHeight="251657728" behindDoc="0" locked="0" layoutInCell="1" allowOverlap="1" wp14:anchorId="6997306C" wp14:editId="68298642">
              <wp:simplePos x="0" y="0"/>
              <wp:positionH relativeFrom="column">
                <wp:posOffset>168274</wp:posOffset>
              </wp:positionH>
              <wp:positionV relativeFrom="paragraph">
                <wp:posOffset>10094594</wp:posOffset>
              </wp:positionV>
              <wp:extent cx="838834" cy="433704"/>
              <wp:effectExtent l="0" t="0" r="0" b="4444"/>
              <wp:wrapNone/>
              <wp:docPr id="1296601539" name="Grafik 1296601539" descr="\\AGORA\communication\COM\TRAVAUX PAO FINAL\--CHARTE GRAPHIQUE--\LOGOS\UPEM\UPEM_LOGO_EDITION_V2\UPEM_LOGO_EDITION300D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2" descr="\\AGORA\communication\COM\TRAVAUX PAO FINAL\--CHARTE GRAPHIQUE--\LOGOS\UPEM\UPEM_LOGO_EDITION_V2\UPEM_LOGO_EDITION300DPI.png"/>
                      <pic:cNvPicPr>
                        <a:picLocks noChangeAspect="1"/>
                      </pic:cNvPicPr>
                    </pic:nvPicPr>
                    <pic:blipFill>
                      <a:blip r:embed="rId2"/>
                      <a:stretch/>
                    </pic:blipFill>
                    <pic:spPr bwMode="auto">
                      <a:xfrm>
                        <a:off x="0" y="0"/>
                        <a:ext cx="838835" cy="43370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 w:val="40"/>
            <w:lang w:val="en-US" w:eastAsia="en-US"/>
          </w:rPr>
          <w:drawing>
            <wp:anchor distT="0" distB="0" distL="114300" distR="114300" simplePos="0" relativeHeight="251659776" behindDoc="0" locked="0" layoutInCell="1" allowOverlap="1" wp14:anchorId="1C1088D1" wp14:editId="415D708C">
              <wp:simplePos x="0" y="0"/>
              <wp:positionH relativeFrom="column">
                <wp:posOffset>1151254</wp:posOffset>
              </wp:positionH>
              <wp:positionV relativeFrom="paragraph">
                <wp:posOffset>10048874</wp:posOffset>
              </wp:positionV>
              <wp:extent cx="1124584" cy="548004"/>
              <wp:effectExtent l="0" t="0" r="0" b="4444"/>
              <wp:wrapNone/>
              <wp:docPr id="1296601540" name="Grafik 1296601540"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 1" descr="Afficher l'image d'origine"/>
                      <pic:cNvPicPr>
                        <a:picLocks noChangeAspect="1"/>
                      </pic:cNvPicPr>
                    </pic:nvPicPr>
                    <pic:blipFill>
                      <a:blip r:embed="rId3"/>
                      <a:stretch/>
                    </pic:blipFill>
                    <pic:spPr bwMode="auto">
                      <a:xfrm>
                        <a:off x="0" y="0"/>
                        <a:ext cx="1124585" cy="54800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 w:val="40"/>
            <w:lang w:val="en-US" w:eastAsia="en-US"/>
          </w:rPr>
          <w:drawing>
            <wp:anchor distT="0" distB="0" distL="114300" distR="114300" simplePos="0" relativeHeight="251661824" behindDoc="0" locked="0" layoutInCell="1" allowOverlap="1" wp14:anchorId="38B394A9" wp14:editId="5C5ADD27">
              <wp:simplePos x="0" y="0"/>
              <wp:positionH relativeFrom="column">
                <wp:posOffset>2494914</wp:posOffset>
              </wp:positionH>
              <wp:positionV relativeFrom="paragraph">
                <wp:posOffset>10027284</wp:posOffset>
              </wp:positionV>
              <wp:extent cx="1028064" cy="630554"/>
              <wp:effectExtent l="0" t="0" r="634" b="0"/>
              <wp:wrapNone/>
              <wp:docPr id="1296601541" name="Grafik 1296601541"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 18" descr="Afficher l'image d'origine"/>
                      <pic:cNvPicPr>
                        <a:picLocks noChangeAspect="1"/>
                      </pic:cNvPicPr>
                    </pic:nvPicPr>
                    <pic:blipFill>
                      <a:blip r:embed="rId4"/>
                      <a:stretch/>
                    </pic:blipFill>
                    <pic:spPr bwMode="auto">
                      <a:xfrm>
                        <a:off x="0" y="0"/>
                        <a:ext cx="1028065" cy="63055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 w:val="40"/>
            <w:lang w:val="en-US" w:eastAsia="en-US"/>
          </w:rPr>
          <w:drawing>
            <wp:anchor distT="0" distB="0" distL="114300" distR="114300" simplePos="0" relativeHeight="251663872" behindDoc="0" locked="0" layoutInCell="1" allowOverlap="1" wp14:anchorId="24E2FF21" wp14:editId="33626649">
              <wp:simplePos x="0" y="0"/>
              <wp:positionH relativeFrom="column">
                <wp:posOffset>3667124</wp:posOffset>
              </wp:positionH>
              <wp:positionV relativeFrom="paragraph">
                <wp:posOffset>10153649</wp:posOffset>
              </wp:positionV>
              <wp:extent cx="912494" cy="408939"/>
              <wp:effectExtent l="0" t="0" r="1904" b="0"/>
              <wp:wrapNone/>
              <wp:docPr id="1296601542" name="Grafik 1296601542"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 13" descr="Afficher l'image d'origine"/>
                      <pic:cNvPicPr>
                        <a:picLocks noChangeAspect="1"/>
                      </pic:cNvPicPr>
                    </pic:nvPicPr>
                    <pic:blipFill>
                      <a:blip r:embed="rId5"/>
                      <a:stretch/>
                    </pic:blipFill>
                    <pic:spPr bwMode="auto">
                      <a:xfrm>
                        <a:off x="0" y="0"/>
                        <a:ext cx="912495" cy="408940"/>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 w:val="40"/>
            <w:lang w:val="en-US" w:eastAsia="en-US"/>
          </w:rPr>
          <w:drawing>
            <wp:anchor distT="0" distB="0" distL="114300" distR="114300" simplePos="0" relativeHeight="251665920" behindDoc="0" locked="0" layoutInCell="1" allowOverlap="1" wp14:anchorId="60FADB6E" wp14:editId="12C0EDCB">
              <wp:simplePos x="0" y="0"/>
              <wp:positionH relativeFrom="column">
                <wp:posOffset>4721859</wp:posOffset>
              </wp:positionH>
              <wp:positionV relativeFrom="paragraph">
                <wp:posOffset>10096499</wp:posOffset>
              </wp:positionV>
              <wp:extent cx="1242694" cy="485775"/>
              <wp:effectExtent l="0" t="0" r="0" b="9524"/>
              <wp:wrapNone/>
              <wp:docPr id="1296601543" name="Grafik 1296601543"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 5" descr="Afficher l'image d'origine"/>
                      <pic:cNvPicPr>
                        <a:picLocks noChangeAspect="1"/>
                      </pic:cNvPicPr>
                    </pic:nvPicPr>
                    <pic:blipFill>
                      <a:blip r:embed="rId6"/>
                      <a:stretch/>
                    </pic:blipFill>
                    <pic:spPr bwMode="auto">
                      <a:xfrm>
                        <a:off x="0" y="0"/>
                        <a:ext cx="1242695" cy="48577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 w:val="40"/>
            <w:lang w:val="en-US" w:eastAsia="en-US"/>
          </w:rPr>
          <w:drawing>
            <wp:anchor distT="0" distB="0" distL="114300" distR="114300" simplePos="0" relativeHeight="251667968" behindDoc="0" locked="0" layoutInCell="1" allowOverlap="1" wp14:anchorId="0E6F4EA1" wp14:editId="5F282DB5">
              <wp:simplePos x="0" y="0"/>
              <wp:positionH relativeFrom="column">
                <wp:posOffset>6732270</wp:posOffset>
              </wp:positionH>
              <wp:positionV relativeFrom="paragraph">
                <wp:posOffset>10024744</wp:posOffset>
              </wp:positionV>
              <wp:extent cx="491490" cy="554989"/>
              <wp:effectExtent l="0" t="0" r="3809" b="0"/>
              <wp:wrapNone/>
              <wp:docPr id="1296601544" name="Grafik 1296601544"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6" descr="Afficher l'image d'origine"/>
                      <pic:cNvPicPr>
                        <a:picLocks noChangeAspect="1"/>
                      </pic:cNvPicPr>
                    </pic:nvPicPr>
                    <pic:blipFill>
                      <a:blip r:embed="rId7"/>
                      <a:stretch/>
                    </pic:blipFill>
                    <pic:spPr bwMode="auto">
                      <a:xfrm>
                        <a:off x="0" y="0"/>
                        <a:ext cx="491490" cy="554990"/>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 w:val="40"/>
            <w:lang w:val="en-US" w:eastAsia="en-US"/>
          </w:rPr>
          <w:drawing>
            <wp:anchor distT="0" distB="0" distL="114300" distR="114300" simplePos="0" relativeHeight="251670016" behindDoc="0" locked="0" layoutInCell="1" allowOverlap="1" wp14:anchorId="236E73F0" wp14:editId="5F628957">
              <wp:simplePos x="0" y="0"/>
              <wp:positionH relativeFrom="column">
                <wp:posOffset>6044564</wp:posOffset>
              </wp:positionH>
              <wp:positionV relativeFrom="paragraph">
                <wp:posOffset>10019664</wp:posOffset>
              </wp:positionV>
              <wp:extent cx="556894" cy="523239"/>
              <wp:effectExtent l="0" t="0" r="0" b="0"/>
              <wp:wrapNone/>
              <wp:docPr id="1296601545" name="Grafik 1296601545"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 7" descr="Afficher l'image d'origine"/>
                      <pic:cNvPicPr>
                        <a:picLocks noChangeAspect="1"/>
                      </pic:cNvPicPr>
                    </pic:nvPicPr>
                    <pic:blipFill>
                      <a:blip r:embed="rId8"/>
                      <a:stretch/>
                    </pic:blipFill>
                    <pic:spPr bwMode="auto">
                      <a:xfrm>
                        <a:off x="0" y="0"/>
                        <a:ext cx="556895" cy="523240"/>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 w:val="40"/>
            <w:lang w:val="en-US" w:eastAsia="en-US"/>
          </w:rPr>
          <mc:AlternateContent>
            <mc:Choice Requires="wpg">
              <w:drawing>
                <wp:anchor distT="0" distB="0" distL="114300" distR="114300" simplePos="0" relativeHeight="251672064" behindDoc="0" locked="0" layoutInCell="1" allowOverlap="1" wp14:anchorId="623BAF90" wp14:editId="26CB02CD">
                  <wp:simplePos x="0" y="0"/>
                  <wp:positionH relativeFrom="column">
                    <wp:posOffset>173989</wp:posOffset>
                  </wp:positionH>
                  <wp:positionV relativeFrom="paragraph">
                    <wp:posOffset>10026649</wp:posOffset>
                  </wp:positionV>
                  <wp:extent cx="7047229" cy="630554"/>
                  <wp:effectExtent l="0" t="0" r="1269" b="0"/>
                  <wp:wrapNone/>
                  <wp:docPr id="19" name="Group 1"/>
                  <wp:cNvGraphicFramePr/>
                  <a:graphic xmlns:a="http://schemas.openxmlformats.org/drawingml/2006/main">
                    <a:graphicData uri="http://schemas.microsoft.com/office/word/2010/wordprocessingGroup">
                      <wpg:wgp>
                        <wpg:cNvGrpSpPr/>
                        <wpg:grpSpPr bwMode="auto">
                          <a:xfrm>
                            <a:off x="0" y="0"/>
                            <a:ext cx="7047230" cy="630555"/>
                            <a:chOff x="0" y="0"/>
                            <a:chExt cx="7047186" cy="630621"/>
                          </a:xfrm>
                        </wpg:grpSpPr>
                        <pic:pic xmlns:pic="http://schemas.openxmlformats.org/drawingml/2006/picture">
                          <pic:nvPicPr>
                            <pic:cNvPr id="23" name="Picture 2" descr="\\AGORA\communication\COM\TRAVAUX PAO FINAL\--CHARTE GRAPHIQUE--\LOGOS\UPEM\UPEM_LOGO_EDITION_V2\UPEM_LOGO_EDITION300DPI.png"/>
                            <pic:cNvPicPr>
                              <a:picLocks noChangeAspect="1"/>
                            </pic:cNvPicPr>
                          </pic:nvPicPr>
                          <pic:blipFill>
                            <a:blip r:embed="rId2"/>
                            <a:stretch/>
                          </pic:blipFill>
                          <pic:spPr bwMode="auto">
                            <a:xfrm>
                              <a:off x="0" y="63062"/>
                              <a:ext cx="835572" cy="441435"/>
                            </a:xfrm>
                            <a:prstGeom prst="rect">
                              <a:avLst/>
                            </a:prstGeom>
                            <a:noFill/>
                            <a:ln>
                              <a:noFill/>
                            </a:ln>
                          </pic:spPr>
                        </pic:pic>
                        <pic:pic xmlns:pic="http://schemas.openxmlformats.org/drawingml/2006/picture">
                          <pic:nvPicPr>
                            <pic:cNvPr id="24" name="Image 1" descr="Afficher l'image d'origine"/>
                            <pic:cNvPicPr>
                              <a:picLocks noChangeAspect="1"/>
                            </pic:cNvPicPr>
                          </pic:nvPicPr>
                          <pic:blipFill>
                            <a:blip r:embed="rId3"/>
                            <a:stretch/>
                          </pic:blipFill>
                          <pic:spPr bwMode="auto">
                            <a:xfrm>
                              <a:off x="977462" y="15765"/>
                              <a:ext cx="1119351" cy="536028"/>
                            </a:xfrm>
                            <a:prstGeom prst="rect">
                              <a:avLst/>
                            </a:prstGeom>
                            <a:noFill/>
                            <a:ln>
                              <a:noFill/>
                            </a:ln>
                          </pic:spPr>
                        </pic:pic>
                        <pic:pic xmlns:pic="http://schemas.openxmlformats.org/drawingml/2006/picture">
                          <pic:nvPicPr>
                            <pic:cNvPr id="25" name="Image 18" descr="Afficher l'image d'origine"/>
                            <pic:cNvPicPr>
                              <a:picLocks noChangeAspect="1"/>
                            </pic:cNvPicPr>
                          </pic:nvPicPr>
                          <pic:blipFill>
                            <a:blip r:embed="rId4"/>
                            <a:stretch/>
                          </pic:blipFill>
                          <pic:spPr bwMode="auto">
                            <a:xfrm>
                              <a:off x="2317531" y="0"/>
                              <a:ext cx="1024758" cy="630621"/>
                            </a:xfrm>
                            <a:prstGeom prst="rect">
                              <a:avLst/>
                            </a:prstGeom>
                            <a:noFill/>
                            <a:ln>
                              <a:noFill/>
                            </a:ln>
                          </pic:spPr>
                        </pic:pic>
                        <pic:pic xmlns:pic="http://schemas.openxmlformats.org/drawingml/2006/picture">
                          <pic:nvPicPr>
                            <pic:cNvPr id="26" name="Image 13" descr="Afficher l'image d'origine"/>
                            <pic:cNvPicPr>
                              <a:picLocks noChangeAspect="1"/>
                            </pic:cNvPicPr>
                          </pic:nvPicPr>
                          <pic:blipFill>
                            <a:blip r:embed="rId5"/>
                            <a:stretch/>
                          </pic:blipFill>
                          <pic:spPr bwMode="auto">
                            <a:xfrm>
                              <a:off x="3499945" y="126124"/>
                              <a:ext cx="914400" cy="409904"/>
                            </a:xfrm>
                            <a:prstGeom prst="rect">
                              <a:avLst/>
                            </a:prstGeom>
                            <a:noFill/>
                            <a:ln>
                              <a:noFill/>
                            </a:ln>
                          </pic:spPr>
                        </pic:pic>
                        <pic:pic xmlns:pic="http://schemas.openxmlformats.org/drawingml/2006/picture">
                          <pic:nvPicPr>
                            <pic:cNvPr id="27" name="Image 5" descr="Afficher l'image d'origine"/>
                            <pic:cNvPicPr>
                              <a:picLocks noChangeAspect="1"/>
                            </pic:cNvPicPr>
                          </pic:nvPicPr>
                          <pic:blipFill>
                            <a:blip r:embed="rId6"/>
                            <a:stretch/>
                          </pic:blipFill>
                          <pic:spPr bwMode="auto">
                            <a:xfrm>
                              <a:off x="4556234" y="63062"/>
                              <a:ext cx="1245476" cy="488731"/>
                            </a:xfrm>
                            <a:prstGeom prst="rect">
                              <a:avLst/>
                            </a:prstGeom>
                            <a:noFill/>
                            <a:ln>
                              <a:noFill/>
                            </a:ln>
                          </pic:spPr>
                        </pic:pic>
                        <pic:pic xmlns:pic="http://schemas.openxmlformats.org/drawingml/2006/picture">
                          <pic:nvPicPr>
                            <pic:cNvPr id="28" name="Image 6" descr="Afficher l'image d'origine"/>
                            <pic:cNvPicPr>
                              <a:picLocks noChangeAspect="1"/>
                            </pic:cNvPicPr>
                          </pic:nvPicPr>
                          <pic:blipFill>
                            <a:blip r:embed="rId7"/>
                            <a:stretch/>
                          </pic:blipFill>
                          <pic:spPr bwMode="auto">
                            <a:xfrm>
                              <a:off x="6558455" y="0"/>
                              <a:ext cx="488731" cy="551793"/>
                            </a:xfrm>
                            <a:prstGeom prst="rect">
                              <a:avLst/>
                            </a:prstGeom>
                            <a:noFill/>
                            <a:ln>
                              <a:noFill/>
                            </a:ln>
                          </pic:spPr>
                        </pic:pic>
                        <pic:pic xmlns:pic="http://schemas.openxmlformats.org/drawingml/2006/picture">
                          <pic:nvPicPr>
                            <pic:cNvPr id="29" name="Image 7" descr="Afficher l'image d'origine"/>
                            <pic:cNvPicPr>
                              <a:picLocks noChangeAspect="1"/>
                            </pic:cNvPicPr>
                          </pic:nvPicPr>
                          <pic:blipFill>
                            <a:blip r:embed="rId8"/>
                            <a:stretch/>
                          </pic:blipFill>
                          <pic:spPr bwMode="auto">
                            <a:xfrm>
                              <a:off x="5864772" y="0"/>
                              <a:ext cx="551793" cy="520262"/>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xmlns:a="http://schemas.openxmlformats.org/drawingml/2006/main">
              <w:pict>
                <v:group id="group 0" o:spid="_x0000_s0000" style="position:absolute;mso-wrap-distance-left:9.0pt;mso-wrap-distance-top:0.0pt;mso-wrap-distance-right:9.0pt;mso-wrap-distance-bottom:0.0pt;z-index:251672064;o:allowoverlap:true;o:allowincell:true;mso-position-horizontal-relative:text;margin-left:13.7pt;mso-position-horizontal:absolute;mso-position-vertical-relative:text;margin-top:789.5pt;mso-position-vertical:absolute;width:554.9pt;height:49.6pt;" coordorigin="0,0" coordsize="70471,6306">
                  <w:pict>
                    <v:rect id="_x0000_i1" o:spid="_x0000_s1" style="position:absolute;left:0;top:630;width:8355;height:4414;">
                      <v:imagedata r:id="rId9" o:title=""/>
                    </v:rect>
                  </w:pict>
                  <w:pict>
                    <v:rect id="_x0000_i2" o:spid="_x0000_s2" style="position:absolute;left:9774;top:157;width:11193;height:5360;">
                      <v:imagedata r:id="rId10" o:title=""/>
                    </v:rect>
                  </w:pict>
                  <w:pict>
                    <v:rect id="_x0000_i3" o:spid="_x0000_s3" style="position:absolute;left:23175;top:0;width:10247;height:6306;">
                      <v:imagedata r:id="rId11" o:title=""/>
                    </v:rect>
                  </w:pict>
                  <w:pict>
                    <v:rect id="_x0000_i4" o:spid="_x0000_s4" style="position:absolute;left:34999;top:1261;width:9144;height:4099;">
                      <v:imagedata r:id="rId12" o:title=""/>
                    </v:rect>
                  </w:pict>
                  <w:pict>
                    <v:rect id="_x0000_i5" o:spid="_x0000_s5" style="position:absolute;left:45562;top:630;width:12454;height:4887;">
                      <v:imagedata r:id="rId13" o:title=""/>
                    </v:rect>
                  </w:pict>
                  <w:pict>
                    <v:rect id="_x0000_i6" o:spid="_x0000_s6" style="position:absolute;left:65584;top:0;width:4887;height:5517;">
                      <v:imagedata r:id="rId14" o:title=""/>
                    </v:rect>
                  </w:pict>
                  <w:pict>
                    <v:rect id="_x0000_i7" o:spid="_x0000_s7" style="position:absolute;left:58647;top:0;width:5517;height:5202;">
                      <v:imagedata r:id="rId15" o:title=""/>
                    </v:rect>
                  </w:pict>
                </v:group>
              </w:pict>
            </mc:Fallback>
          </mc:AlternateContent>
        </w:r>
        <w:r>
          <w:rPr>
            <w:b/>
            <w:sz w:val="20"/>
          </w:rPr>
          <w:t>824091</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81203E" w14:textId="77777777" w:rsidR="005B4899" w:rsidRDefault="005B4899">
      <w:r>
        <w:separator/>
      </w:r>
    </w:p>
  </w:footnote>
  <w:footnote w:type="continuationSeparator" w:id="0">
    <w:p w14:paraId="25356455" w14:textId="77777777" w:rsidR="005B4899" w:rsidRDefault="005B48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5EF4AD" w14:textId="77777777" w:rsidR="00263372" w:rsidRDefault="00263372">
    <w:pPr>
      <w:spacing w:line="276" w:lineRule="auto"/>
      <w:jc w:val="right"/>
      <w:rPr>
        <w:b/>
      </w:rPr>
    </w:pPr>
    <w:r>
      <w:rPr>
        <w:b/>
        <w:noProof/>
        <w:lang w:val="en-US" w:eastAsia="en-US"/>
      </w:rPr>
      <w:drawing>
        <wp:anchor distT="0" distB="0" distL="114300" distR="114300" simplePos="0" relativeHeight="251678208" behindDoc="0" locked="0" layoutInCell="1" allowOverlap="1" wp14:anchorId="69A327C9" wp14:editId="333A280E">
          <wp:simplePos x="0" y="0"/>
          <wp:positionH relativeFrom="column">
            <wp:posOffset>4324349</wp:posOffset>
          </wp:positionH>
          <wp:positionV relativeFrom="paragraph">
            <wp:posOffset>98424</wp:posOffset>
          </wp:positionV>
          <wp:extent cx="1706244" cy="502920"/>
          <wp:effectExtent l="0" t="0" r="8254" b="0"/>
          <wp:wrapNone/>
          <wp:docPr id="55" name="Grafi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U Agreement HIGH.jpg"/>
                  <pic:cNvPicPr>
                    <a:picLocks noChangeAspect="1"/>
                  </pic:cNvPicPr>
                </pic:nvPicPr>
                <pic:blipFill>
                  <a:blip r:embed="rId1"/>
                  <a:srcRect t="12413" b="12412"/>
                  <a:stretch/>
                </pic:blipFill>
                <pic:spPr bwMode="auto">
                  <a:xfrm>
                    <a:off x="0" y="0"/>
                    <a:ext cx="1706245" cy="502920"/>
                  </a:xfrm>
                  <a:prstGeom prst="rect">
                    <a:avLst/>
                  </a:prstGeom>
                  <a:ln>
                    <a:noFill/>
                  </a:ln>
                </pic:spPr>
              </pic:pic>
            </a:graphicData>
          </a:graphic>
          <wp14:sizeRelH relativeFrom="page">
            <wp14:pctWidth>0</wp14:pctWidth>
          </wp14:sizeRelH>
          <wp14:sizeRelV relativeFrom="page">
            <wp14:pctHeight>0</wp14:pctHeight>
          </wp14:sizeRelV>
        </wp:anchor>
      </w:drawing>
    </w:r>
    <w:r>
      <w:rPr>
        <w:b/>
        <w:noProof/>
        <w:lang w:val="en-US" w:eastAsia="en-US"/>
      </w:rPr>
      <w:drawing>
        <wp:anchor distT="0" distB="0" distL="114300" distR="114300" simplePos="0" relativeHeight="251677184" behindDoc="0" locked="0" layoutInCell="1" allowOverlap="1" wp14:anchorId="591F795A" wp14:editId="277F4A7D">
          <wp:simplePos x="0" y="0"/>
          <wp:positionH relativeFrom="column">
            <wp:posOffset>140969</wp:posOffset>
          </wp:positionH>
          <wp:positionV relativeFrom="paragraph">
            <wp:posOffset>-90442</wp:posOffset>
          </wp:positionV>
          <wp:extent cx="1798319" cy="673372"/>
          <wp:effectExtent l="0" t="0" r="0" b="0"/>
          <wp:wrapNone/>
          <wp:docPr id="56" name="Grafi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RISIS Tagline C.png"/>
                  <pic:cNvPicPr>
                    <a:picLocks noChangeAspect="1"/>
                  </pic:cNvPicPr>
                </pic:nvPicPr>
                <pic:blipFill>
                  <a:blip r:embed="rId2"/>
                  <a:stretch/>
                </pic:blipFill>
                <pic:spPr bwMode="auto">
                  <a:xfrm>
                    <a:off x="0" y="0"/>
                    <a:ext cx="1802731" cy="675025"/>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0BF357" w14:textId="77777777" w:rsidR="00263372" w:rsidRDefault="00263372">
    <w:pPr>
      <w:pStyle w:val="Kopfzeile"/>
    </w:pPr>
    <w:r>
      <w:rPr>
        <w:noProof/>
        <w:lang w:val="en-US" w:eastAsia="en-US"/>
      </w:rPr>
      <w:drawing>
        <wp:anchor distT="0" distB="0" distL="114300" distR="114300" simplePos="0" relativeHeight="251679232" behindDoc="0" locked="0" layoutInCell="1" allowOverlap="1" wp14:anchorId="59595A40" wp14:editId="53E835F8">
          <wp:simplePos x="0" y="0"/>
          <wp:positionH relativeFrom="column">
            <wp:posOffset>-712470</wp:posOffset>
          </wp:positionH>
          <wp:positionV relativeFrom="paragraph">
            <wp:posOffset>-442596</wp:posOffset>
          </wp:positionV>
          <wp:extent cx="7528560" cy="1366271"/>
          <wp:effectExtent l="0" t="0" r="0" b="5715"/>
          <wp:wrapNone/>
          <wp:docPr id="57" name="Grafi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Banner loghi partner.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92426" cy="1377861"/>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8339C"/>
    <w:multiLevelType w:val="hybridMultilevel"/>
    <w:tmpl w:val="51E2CEEA"/>
    <w:lvl w:ilvl="0" w:tplc="7EA4F99C">
      <w:start w:val="1"/>
      <w:numFmt w:val="bullet"/>
      <w:lvlText w:val="•"/>
      <w:lvlJc w:val="left"/>
      <w:pPr>
        <w:tabs>
          <w:tab w:val="num" w:pos="720"/>
        </w:tabs>
        <w:ind w:left="720" w:hanging="360"/>
      </w:pPr>
      <w:rPr>
        <w:rFonts w:ascii="Arial" w:hAnsi="Arial" w:hint="default"/>
      </w:rPr>
    </w:lvl>
    <w:lvl w:ilvl="1" w:tplc="6922B5FA" w:tentative="1">
      <w:start w:val="1"/>
      <w:numFmt w:val="bullet"/>
      <w:lvlText w:val="•"/>
      <w:lvlJc w:val="left"/>
      <w:pPr>
        <w:tabs>
          <w:tab w:val="num" w:pos="1440"/>
        </w:tabs>
        <w:ind w:left="1440" w:hanging="360"/>
      </w:pPr>
      <w:rPr>
        <w:rFonts w:ascii="Arial" w:hAnsi="Arial" w:hint="default"/>
      </w:rPr>
    </w:lvl>
    <w:lvl w:ilvl="2" w:tplc="A55A04E6" w:tentative="1">
      <w:start w:val="1"/>
      <w:numFmt w:val="bullet"/>
      <w:lvlText w:val="•"/>
      <w:lvlJc w:val="left"/>
      <w:pPr>
        <w:tabs>
          <w:tab w:val="num" w:pos="2160"/>
        </w:tabs>
        <w:ind w:left="2160" w:hanging="360"/>
      </w:pPr>
      <w:rPr>
        <w:rFonts w:ascii="Arial" w:hAnsi="Arial" w:hint="default"/>
      </w:rPr>
    </w:lvl>
    <w:lvl w:ilvl="3" w:tplc="64244CE2" w:tentative="1">
      <w:start w:val="1"/>
      <w:numFmt w:val="bullet"/>
      <w:lvlText w:val="•"/>
      <w:lvlJc w:val="left"/>
      <w:pPr>
        <w:tabs>
          <w:tab w:val="num" w:pos="2880"/>
        </w:tabs>
        <w:ind w:left="2880" w:hanging="360"/>
      </w:pPr>
      <w:rPr>
        <w:rFonts w:ascii="Arial" w:hAnsi="Arial" w:hint="default"/>
      </w:rPr>
    </w:lvl>
    <w:lvl w:ilvl="4" w:tplc="CFA22F22" w:tentative="1">
      <w:start w:val="1"/>
      <w:numFmt w:val="bullet"/>
      <w:lvlText w:val="•"/>
      <w:lvlJc w:val="left"/>
      <w:pPr>
        <w:tabs>
          <w:tab w:val="num" w:pos="3600"/>
        </w:tabs>
        <w:ind w:left="3600" w:hanging="360"/>
      </w:pPr>
      <w:rPr>
        <w:rFonts w:ascii="Arial" w:hAnsi="Arial" w:hint="default"/>
      </w:rPr>
    </w:lvl>
    <w:lvl w:ilvl="5" w:tplc="8D628044" w:tentative="1">
      <w:start w:val="1"/>
      <w:numFmt w:val="bullet"/>
      <w:lvlText w:val="•"/>
      <w:lvlJc w:val="left"/>
      <w:pPr>
        <w:tabs>
          <w:tab w:val="num" w:pos="4320"/>
        </w:tabs>
        <w:ind w:left="4320" w:hanging="360"/>
      </w:pPr>
      <w:rPr>
        <w:rFonts w:ascii="Arial" w:hAnsi="Arial" w:hint="default"/>
      </w:rPr>
    </w:lvl>
    <w:lvl w:ilvl="6" w:tplc="51EE8EA6" w:tentative="1">
      <w:start w:val="1"/>
      <w:numFmt w:val="bullet"/>
      <w:lvlText w:val="•"/>
      <w:lvlJc w:val="left"/>
      <w:pPr>
        <w:tabs>
          <w:tab w:val="num" w:pos="5040"/>
        </w:tabs>
        <w:ind w:left="5040" w:hanging="360"/>
      </w:pPr>
      <w:rPr>
        <w:rFonts w:ascii="Arial" w:hAnsi="Arial" w:hint="default"/>
      </w:rPr>
    </w:lvl>
    <w:lvl w:ilvl="7" w:tplc="103408AE" w:tentative="1">
      <w:start w:val="1"/>
      <w:numFmt w:val="bullet"/>
      <w:lvlText w:val="•"/>
      <w:lvlJc w:val="left"/>
      <w:pPr>
        <w:tabs>
          <w:tab w:val="num" w:pos="5760"/>
        </w:tabs>
        <w:ind w:left="5760" w:hanging="360"/>
      </w:pPr>
      <w:rPr>
        <w:rFonts w:ascii="Arial" w:hAnsi="Arial" w:hint="default"/>
      </w:rPr>
    </w:lvl>
    <w:lvl w:ilvl="8" w:tplc="442E021E"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13C1887"/>
    <w:multiLevelType w:val="hybridMultilevel"/>
    <w:tmpl w:val="05746F10"/>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9D74F3"/>
    <w:multiLevelType w:val="hybridMultilevel"/>
    <w:tmpl w:val="88362756"/>
    <w:lvl w:ilvl="0" w:tplc="0407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0A5C11D6"/>
    <w:multiLevelType w:val="multilevel"/>
    <w:tmpl w:val="9488BE88"/>
    <w:lvl w:ilvl="0">
      <w:start w:val="1"/>
      <w:numFmt w:val="decimal"/>
      <w:pStyle w:val="berschrift1"/>
      <w:lvlText w:val="%1"/>
      <w:lvlJc w:val="left"/>
      <w:pPr>
        <w:ind w:left="792" w:hanging="431"/>
      </w:pPr>
    </w:lvl>
    <w:lvl w:ilvl="1">
      <w:start w:val="1"/>
      <w:numFmt w:val="decimal"/>
      <w:pStyle w:val="berschrift2"/>
      <w:lvlText w:val="%1.%2"/>
      <w:lvlJc w:val="left"/>
      <w:pPr>
        <w:ind w:left="936" w:hanging="575"/>
      </w:pPr>
    </w:lvl>
    <w:lvl w:ilvl="2">
      <w:start w:val="1"/>
      <w:numFmt w:val="decimal"/>
      <w:pStyle w:val="berschrift3"/>
      <w:lvlText w:val="%1.%2.%3"/>
      <w:lvlJc w:val="left"/>
      <w:pPr>
        <w:ind w:left="1080" w:hanging="719"/>
      </w:pPr>
    </w:lvl>
    <w:lvl w:ilvl="3">
      <w:start w:val="1"/>
      <w:numFmt w:val="decimal"/>
      <w:pStyle w:val="berschrift4"/>
      <w:lvlText w:val="%1.%2.%3.%4"/>
      <w:lvlJc w:val="left"/>
      <w:pPr>
        <w:ind w:left="1224" w:hanging="863"/>
      </w:pPr>
    </w:lvl>
    <w:lvl w:ilvl="4">
      <w:start w:val="1"/>
      <w:numFmt w:val="decimal"/>
      <w:pStyle w:val="berschrift5"/>
      <w:lvlText w:val="%1.%2.%3.%4.%5"/>
      <w:lvlJc w:val="left"/>
      <w:pPr>
        <w:ind w:left="1368" w:hanging="1007"/>
      </w:pPr>
    </w:lvl>
    <w:lvl w:ilvl="5">
      <w:start w:val="1"/>
      <w:numFmt w:val="decimal"/>
      <w:pStyle w:val="berschrift6"/>
      <w:lvlText w:val="%1.%2.%3.%4.%5.%6"/>
      <w:lvlJc w:val="left"/>
      <w:pPr>
        <w:ind w:left="1512" w:hanging="1151"/>
      </w:pPr>
    </w:lvl>
    <w:lvl w:ilvl="6">
      <w:start w:val="1"/>
      <w:numFmt w:val="decimal"/>
      <w:pStyle w:val="berschrift7"/>
      <w:lvlText w:val="%1.%2.%3.%4.%5.%6.%7"/>
      <w:lvlJc w:val="left"/>
      <w:pPr>
        <w:ind w:left="1656" w:hanging="1295"/>
      </w:pPr>
    </w:lvl>
    <w:lvl w:ilvl="7">
      <w:start w:val="1"/>
      <w:numFmt w:val="decimal"/>
      <w:pStyle w:val="berschrift8"/>
      <w:lvlText w:val="%1.%2.%3.%4.%5.%6.%7.%8"/>
      <w:lvlJc w:val="left"/>
      <w:pPr>
        <w:ind w:left="1800" w:hanging="1439"/>
      </w:pPr>
    </w:lvl>
    <w:lvl w:ilvl="8">
      <w:start w:val="1"/>
      <w:numFmt w:val="decimal"/>
      <w:pStyle w:val="berschrift9"/>
      <w:lvlText w:val="%1.%2.%3.%4.%5.%6.%7.%8.%9"/>
      <w:lvlJc w:val="left"/>
      <w:pPr>
        <w:ind w:left="1944" w:hanging="1583"/>
      </w:pPr>
    </w:lvl>
  </w:abstractNum>
  <w:abstractNum w:abstractNumId="4" w15:restartNumberingAfterBreak="0">
    <w:nsid w:val="0EA50FE8"/>
    <w:multiLevelType w:val="hybridMultilevel"/>
    <w:tmpl w:val="DBCCE472"/>
    <w:lvl w:ilvl="0" w:tplc="040C0019">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0FB0061E"/>
    <w:multiLevelType w:val="hybridMultilevel"/>
    <w:tmpl w:val="C36A3A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3BE08B6"/>
    <w:multiLevelType w:val="hybridMultilevel"/>
    <w:tmpl w:val="24AADAA6"/>
    <w:lvl w:ilvl="0" w:tplc="0414000F">
      <w:start w:val="1"/>
      <w:numFmt w:val="decimal"/>
      <w:lvlText w:val="%1."/>
      <w:lvlJc w:val="left"/>
      <w:pPr>
        <w:ind w:left="1081" w:hanging="360"/>
      </w:pPr>
      <w:rPr>
        <w:rFonts w:hint="default"/>
      </w:rPr>
    </w:lvl>
    <w:lvl w:ilvl="1" w:tplc="04140003">
      <w:start w:val="1"/>
      <w:numFmt w:val="bullet"/>
      <w:lvlText w:val="o"/>
      <w:lvlJc w:val="left"/>
      <w:pPr>
        <w:ind w:left="1801" w:hanging="360"/>
      </w:pPr>
      <w:rPr>
        <w:rFonts w:ascii="Courier New" w:hAnsi="Courier New" w:cs="Courier New" w:hint="default"/>
      </w:rPr>
    </w:lvl>
    <w:lvl w:ilvl="2" w:tplc="04140005" w:tentative="1">
      <w:start w:val="1"/>
      <w:numFmt w:val="bullet"/>
      <w:lvlText w:val=""/>
      <w:lvlJc w:val="left"/>
      <w:pPr>
        <w:ind w:left="2521" w:hanging="360"/>
      </w:pPr>
      <w:rPr>
        <w:rFonts w:ascii="Wingdings" w:hAnsi="Wingdings" w:hint="default"/>
      </w:rPr>
    </w:lvl>
    <w:lvl w:ilvl="3" w:tplc="04140001" w:tentative="1">
      <w:start w:val="1"/>
      <w:numFmt w:val="bullet"/>
      <w:lvlText w:val=""/>
      <w:lvlJc w:val="left"/>
      <w:pPr>
        <w:ind w:left="3241" w:hanging="360"/>
      </w:pPr>
      <w:rPr>
        <w:rFonts w:ascii="Symbol" w:hAnsi="Symbol" w:hint="default"/>
      </w:rPr>
    </w:lvl>
    <w:lvl w:ilvl="4" w:tplc="04140003" w:tentative="1">
      <w:start w:val="1"/>
      <w:numFmt w:val="bullet"/>
      <w:lvlText w:val="o"/>
      <w:lvlJc w:val="left"/>
      <w:pPr>
        <w:ind w:left="3961" w:hanging="360"/>
      </w:pPr>
      <w:rPr>
        <w:rFonts w:ascii="Courier New" w:hAnsi="Courier New" w:cs="Courier New" w:hint="default"/>
      </w:rPr>
    </w:lvl>
    <w:lvl w:ilvl="5" w:tplc="04140005" w:tentative="1">
      <w:start w:val="1"/>
      <w:numFmt w:val="bullet"/>
      <w:lvlText w:val=""/>
      <w:lvlJc w:val="left"/>
      <w:pPr>
        <w:ind w:left="4681" w:hanging="360"/>
      </w:pPr>
      <w:rPr>
        <w:rFonts w:ascii="Wingdings" w:hAnsi="Wingdings" w:hint="default"/>
      </w:rPr>
    </w:lvl>
    <w:lvl w:ilvl="6" w:tplc="04140001" w:tentative="1">
      <w:start w:val="1"/>
      <w:numFmt w:val="bullet"/>
      <w:lvlText w:val=""/>
      <w:lvlJc w:val="left"/>
      <w:pPr>
        <w:ind w:left="5401" w:hanging="360"/>
      </w:pPr>
      <w:rPr>
        <w:rFonts w:ascii="Symbol" w:hAnsi="Symbol" w:hint="default"/>
      </w:rPr>
    </w:lvl>
    <w:lvl w:ilvl="7" w:tplc="04140003" w:tentative="1">
      <w:start w:val="1"/>
      <w:numFmt w:val="bullet"/>
      <w:lvlText w:val="o"/>
      <w:lvlJc w:val="left"/>
      <w:pPr>
        <w:ind w:left="6121" w:hanging="360"/>
      </w:pPr>
      <w:rPr>
        <w:rFonts w:ascii="Courier New" w:hAnsi="Courier New" w:cs="Courier New" w:hint="default"/>
      </w:rPr>
    </w:lvl>
    <w:lvl w:ilvl="8" w:tplc="04140005" w:tentative="1">
      <w:start w:val="1"/>
      <w:numFmt w:val="bullet"/>
      <w:lvlText w:val=""/>
      <w:lvlJc w:val="left"/>
      <w:pPr>
        <w:ind w:left="6841" w:hanging="360"/>
      </w:pPr>
      <w:rPr>
        <w:rFonts w:ascii="Wingdings" w:hAnsi="Wingdings" w:hint="default"/>
      </w:rPr>
    </w:lvl>
  </w:abstractNum>
  <w:abstractNum w:abstractNumId="7" w15:restartNumberingAfterBreak="0">
    <w:nsid w:val="19446F1F"/>
    <w:multiLevelType w:val="hybridMultilevel"/>
    <w:tmpl w:val="7CDEBD5E"/>
    <w:lvl w:ilvl="0" w:tplc="41BAD5E4">
      <w:start w:val="1"/>
      <w:numFmt w:val="decimal"/>
      <w:lvlText w:val="%1."/>
      <w:lvlJc w:val="left"/>
      <w:pPr>
        <w:ind w:left="720" w:hanging="359"/>
      </w:pPr>
      <w:rPr>
        <w:b/>
        <w:sz w:val="32"/>
      </w:rPr>
    </w:lvl>
    <w:lvl w:ilvl="1" w:tplc="429CC508">
      <w:start w:val="1"/>
      <w:numFmt w:val="lowerLetter"/>
      <w:lvlText w:val="%2."/>
      <w:lvlJc w:val="left"/>
      <w:pPr>
        <w:ind w:left="1440" w:hanging="359"/>
      </w:pPr>
    </w:lvl>
    <w:lvl w:ilvl="2" w:tplc="4262F6DE">
      <w:start w:val="1"/>
      <w:numFmt w:val="lowerRoman"/>
      <w:lvlText w:val="%3."/>
      <w:lvlJc w:val="right"/>
      <w:pPr>
        <w:ind w:left="2160" w:hanging="179"/>
      </w:pPr>
    </w:lvl>
    <w:lvl w:ilvl="3" w:tplc="5332041A">
      <w:start w:val="1"/>
      <w:numFmt w:val="decimal"/>
      <w:lvlText w:val="%4."/>
      <w:lvlJc w:val="left"/>
      <w:pPr>
        <w:ind w:left="2880" w:hanging="359"/>
      </w:pPr>
    </w:lvl>
    <w:lvl w:ilvl="4" w:tplc="92F8A45E">
      <w:start w:val="1"/>
      <w:numFmt w:val="lowerLetter"/>
      <w:lvlText w:val="%5."/>
      <w:lvlJc w:val="left"/>
      <w:pPr>
        <w:ind w:left="3600" w:hanging="359"/>
      </w:pPr>
    </w:lvl>
    <w:lvl w:ilvl="5" w:tplc="289C7062">
      <w:start w:val="1"/>
      <w:numFmt w:val="lowerRoman"/>
      <w:lvlText w:val="%6."/>
      <w:lvlJc w:val="right"/>
      <w:pPr>
        <w:ind w:left="4320" w:hanging="179"/>
      </w:pPr>
    </w:lvl>
    <w:lvl w:ilvl="6" w:tplc="C45EEECA">
      <w:start w:val="1"/>
      <w:numFmt w:val="decimal"/>
      <w:lvlText w:val="%7."/>
      <w:lvlJc w:val="left"/>
      <w:pPr>
        <w:ind w:left="5040" w:hanging="359"/>
      </w:pPr>
    </w:lvl>
    <w:lvl w:ilvl="7" w:tplc="65062F8C">
      <w:start w:val="1"/>
      <w:numFmt w:val="lowerLetter"/>
      <w:lvlText w:val="%8."/>
      <w:lvlJc w:val="left"/>
      <w:pPr>
        <w:ind w:left="5760" w:hanging="359"/>
      </w:pPr>
    </w:lvl>
    <w:lvl w:ilvl="8" w:tplc="9CC82AFA">
      <w:start w:val="1"/>
      <w:numFmt w:val="lowerRoman"/>
      <w:lvlText w:val="%9."/>
      <w:lvlJc w:val="right"/>
      <w:pPr>
        <w:ind w:left="6480" w:hanging="179"/>
      </w:pPr>
    </w:lvl>
  </w:abstractNum>
  <w:abstractNum w:abstractNumId="8" w15:restartNumberingAfterBreak="0">
    <w:nsid w:val="1BCE551D"/>
    <w:multiLevelType w:val="hybridMultilevel"/>
    <w:tmpl w:val="047EA44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0354585"/>
    <w:multiLevelType w:val="hybridMultilevel"/>
    <w:tmpl w:val="6EAC5CD0"/>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0" w15:restartNumberingAfterBreak="0">
    <w:nsid w:val="24AA4356"/>
    <w:multiLevelType w:val="hybridMultilevel"/>
    <w:tmpl w:val="DADA76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78E2818"/>
    <w:multiLevelType w:val="hybridMultilevel"/>
    <w:tmpl w:val="24AADAA6"/>
    <w:lvl w:ilvl="0" w:tplc="FFFFFFFF">
      <w:start w:val="1"/>
      <w:numFmt w:val="decimal"/>
      <w:lvlText w:val="%1."/>
      <w:lvlJc w:val="left"/>
      <w:pPr>
        <w:ind w:left="1081" w:hanging="360"/>
      </w:pPr>
      <w:rPr>
        <w:rFonts w:hint="default"/>
      </w:rPr>
    </w:lvl>
    <w:lvl w:ilvl="1" w:tplc="FFFFFFFF">
      <w:start w:val="1"/>
      <w:numFmt w:val="bullet"/>
      <w:lvlText w:val="o"/>
      <w:lvlJc w:val="left"/>
      <w:pPr>
        <w:ind w:left="1801" w:hanging="360"/>
      </w:pPr>
      <w:rPr>
        <w:rFonts w:ascii="Courier New" w:hAnsi="Courier New" w:cs="Courier New" w:hint="default"/>
      </w:rPr>
    </w:lvl>
    <w:lvl w:ilvl="2" w:tplc="FFFFFFFF" w:tentative="1">
      <w:start w:val="1"/>
      <w:numFmt w:val="bullet"/>
      <w:lvlText w:val=""/>
      <w:lvlJc w:val="left"/>
      <w:pPr>
        <w:ind w:left="2521" w:hanging="360"/>
      </w:pPr>
      <w:rPr>
        <w:rFonts w:ascii="Wingdings" w:hAnsi="Wingdings" w:hint="default"/>
      </w:rPr>
    </w:lvl>
    <w:lvl w:ilvl="3" w:tplc="FFFFFFFF" w:tentative="1">
      <w:start w:val="1"/>
      <w:numFmt w:val="bullet"/>
      <w:lvlText w:val=""/>
      <w:lvlJc w:val="left"/>
      <w:pPr>
        <w:ind w:left="3241" w:hanging="360"/>
      </w:pPr>
      <w:rPr>
        <w:rFonts w:ascii="Symbol" w:hAnsi="Symbol" w:hint="default"/>
      </w:rPr>
    </w:lvl>
    <w:lvl w:ilvl="4" w:tplc="FFFFFFFF" w:tentative="1">
      <w:start w:val="1"/>
      <w:numFmt w:val="bullet"/>
      <w:lvlText w:val="o"/>
      <w:lvlJc w:val="left"/>
      <w:pPr>
        <w:ind w:left="3961" w:hanging="360"/>
      </w:pPr>
      <w:rPr>
        <w:rFonts w:ascii="Courier New" w:hAnsi="Courier New" w:cs="Courier New" w:hint="default"/>
      </w:rPr>
    </w:lvl>
    <w:lvl w:ilvl="5" w:tplc="FFFFFFFF" w:tentative="1">
      <w:start w:val="1"/>
      <w:numFmt w:val="bullet"/>
      <w:lvlText w:val=""/>
      <w:lvlJc w:val="left"/>
      <w:pPr>
        <w:ind w:left="4681" w:hanging="360"/>
      </w:pPr>
      <w:rPr>
        <w:rFonts w:ascii="Wingdings" w:hAnsi="Wingdings" w:hint="default"/>
      </w:rPr>
    </w:lvl>
    <w:lvl w:ilvl="6" w:tplc="FFFFFFFF" w:tentative="1">
      <w:start w:val="1"/>
      <w:numFmt w:val="bullet"/>
      <w:lvlText w:val=""/>
      <w:lvlJc w:val="left"/>
      <w:pPr>
        <w:ind w:left="5401" w:hanging="360"/>
      </w:pPr>
      <w:rPr>
        <w:rFonts w:ascii="Symbol" w:hAnsi="Symbol" w:hint="default"/>
      </w:rPr>
    </w:lvl>
    <w:lvl w:ilvl="7" w:tplc="FFFFFFFF" w:tentative="1">
      <w:start w:val="1"/>
      <w:numFmt w:val="bullet"/>
      <w:lvlText w:val="o"/>
      <w:lvlJc w:val="left"/>
      <w:pPr>
        <w:ind w:left="6121" w:hanging="360"/>
      </w:pPr>
      <w:rPr>
        <w:rFonts w:ascii="Courier New" w:hAnsi="Courier New" w:cs="Courier New" w:hint="default"/>
      </w:rPr>
    </w:lvl>
    <w:lvl w:ilvl="8" w:tplc="FFFFFFFF" w:tentative="1">
      <w:start w:val="1"/>
      <w:numFmt w:val="bullet"/>
      <w:lvlText w:val=""/>
      <w:lvlJc w:val="left"/>
      <w:pPr>
        <w:ind w:left="6841" w:hanging="360"/>
      </w:pPr>
      <w:rPr>
        <w:rFonts w:ascii="Wingdings" w:hAnsi="Wingdings" w:hint="default"/>
      </w:rPr>
    </w:lvl>
  </w:abstractNum>
  <w:abstractNum w:abstractNumId="12" w15:restartNumberingAfterBreak="0">
    <w:nsid w:val="289924B7"/>
    <w:multiLevelType w:val="hybridMultilevel"/>
    <w:tmpl w:val="24AADAA6"/>
    <w:lvl w:ilvl="0" w:tplc="FFFFFFFF">
      <w:start w:val="1"/>
      <w:numFmt w:val="decimal"/>
      <w:lvlText w:val="%1."/>
      <w:lvlJc w:val="left"/>
      <w:pPr>
        <w:ind w:left="1081" w:hanging="360"/>
      </w:pPr>
      <w:rPr>
        <w:rFonts w:hint="default"/>
      </w:rPr>
    </w:lvl>
    <w:lvl w:ilvl="1" w:tplc="FFFFFFFF">
      <w:start w:val="1"/>
      <w:numFmt w:val="bullet"/>
      <w:lvlText w:val="o"/>
      <w:lvlJc w:val="left"/>
      <w:pPr>
        <w:ind w:left="1801" w:hanging="360"/>
      </w:pPr>
      <w:rPr>
        <w:rFonts w:ascii="Courier New" w:hAnsi="Courier New" w:cs="Courier New" w:hint="default"/>
      </w:rPr>
    </w:lvl>
    <w:lvl w:ilvl="2" w:tplc="FFFFFFFF">
      <w:start w:val="1"/>
      <w:numFmt w:val="bullet"/>
      <w:lvlText w:val=""/>
      <w:lvlJc w:val="left"/>
      <w:pPr>
        <w:ind w:left="2521" w:hanging="360"/>
      </w:pPr>
      <w:rPr>
        <w:rFonts w:ascii="Wingdings" w:hAnsi="Wingdings" w:hint="default"/>
      </w:rPr>
    </w:lvl>
    <w:lvl w:ilvl="3" w:tplc="FFFFFFFF" w:tentative="1">
      <w:start w:val="1"/>
      <w:numFmt w:val="bullet"/>
      <w:lvlText w:val=""/>
      <w:lvlJc w:val="left"/>
      <w:pPr>
        <w:ind w:left="3241" w:hanging="360"/>
      </w:pPr>
      <w:rPr>
        <w:rFonts w:ascii="Symbol" w:hAnsi="Symbol" w:hint="default"/>
      </w:rPr>
    </w:lvl>
    <w:lvl w:ilvl="4" w:tplc="FFFFFFFF" w:tentative="1">
      <w:start w:val="1"/>
      <w:numFmt w:val="bullet"/>
      <w:lvlText w:val="o"/>
      <w:lvlJc w:val="left"/>
      <w:pPr>
        <w:ind w:left="3961" w:hanging="360"/>
      </w:pPr>
      <w:rPr>
        <w:rFonts w:ascii="Courier New" w:hAnsi="Courier New" w:cs="Courier New" w:hint="default"/>
      </w:rPr>
    </w:lvl>
    <w:lvl w:ilvl="5" w:tplc="FFFFFFFF" w:tentative="1">
      <w:start w:val="1"/>
      <w:numFmt w:val="bullet"/>
      <w:lvlText w:val=""/>
      <w:lvlJc w:val="left"/>
      <w:pPr>
        <w:ind w:left="4681" w:hanging="360"/>
      </w:pPr>
      <w:rPr>
        <w:rFonts w:ascii="Wingdings" w:hAnsi="Wingdings" w:hint="default"/>
      </w:rPr>
    </w:lvl>
    <w:lvl w:ilvl="6" w:tplc="FFFFFFFF" w:tentative="1">
      <w:start w:val="1"/>
      <w:numFmt w:val="bullet"/>
      <w:lvlText w:val=""/>
      <w:lvlJc w:val="left"/>
      <w:pPr>
        <w:ind w:left="5401" w:hanging="360"/>
      </w:pPr>
      <w:rPr>
        <w:rFonts w:ascii="Symbol" w:hAnsi="Symbol" w:hint="default"/>
      </w:rPr>
    </w:lvl>
    <w:lvl w:ilvl="7" w:tplc="FFFFFFFF" w:tentative="1">
      <w:start w:val="1"/>
      <w:numFmt w:val="bullet"/>
      <w:lvlText w:val="o"/>
      <w:lvlJc w:val="left"/>
      <w:pPr>
        <w:ind w:left="6121" w:hanging="360"/>
      </w:pPr>
      <w:rPr>
        <w:rFonts w:ascii="Courier New" w:hAnsi="Courier New" w:cs="Courier New" w:hint="default"/>
      </w:rPr>
    </w:lvl>
    <w:lvl w:ilvl="8" w:tplc="FFFFFFFF" w:tentative="1">
      <w:start w:val="1"/>
      <w:numFmt w:val="bullet"/>
      <w:lvlText w:val=""/>
      <w:lvlJc w:val="left"/>
      <w:pPr>
        <w:ind w:left="6841" w:hanging="360"/>
      </w:pPr>
      <w:rPr>
        <w:rFonts w:ascii="Wingdings" w:hAnsi="Wingdings" w:hint="default"/>
      </w:rPr>
    </w:lvl>
  </w:abstractNum>
  <w:abstractNum w:abstractNumId="13" w15:restartNumberingAfterBreak="0">
    <w:nsid w:val="2E802B52"/>
    <w:multiLevelType w:val="hybridMultilevel"/>
    <w:tmpl w:val="3CCEFED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33C66027"/>
    <w:multiLevelType w:val="hybridMultilevel"/>
    <w:tmpl w:val="00D8A7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3D24459"/>
    <w:multiLevelType w:val="hybridMultilevel"/>
    <w:tmpl w:val="7E9474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8555D39"/>
    <w:multiLevelType w:val="hybridMultilevel"/>
    <w:tmpl w:val="2D1633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9966EC0"/>
    <w:multiLevelType w:val="hybridMultilevel"/>
    <w:tmpl w:val="19647C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C1E1121"/>
    <w:multiLevelType w:val="hybridMultilevel"/>
    <w:tmpl w:val="7F44C0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CA4174E"/>
    <w:multiLevelType w:val="hybridMultilevel"/>
    <w:tmpl w:val="64E6348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4DA31EC4"/>
    <w:multiLevelType w:val="hybridMultilevel"/>
    <w:tmpl w:val="F77272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3397978"/>
    <w:multiLevelType w:val="hybridMultilevel"/>
    <w:tmpl w:val="A32A296E"/>
    <w:lvl w:ilvl="0" w:tplc="040C0001">
      <w:start w:val="1"/>
      <w:numFmt w:val="bullet"/>
      <w:lvlText w:val=""/>
      <w:lvlJc w:val="left"/>
      <w:pPr>
        <w:ind w:left="1068"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8CF4A03"/>
    <w:multiLevelType w:val="hybridMultilevel"/>
    <w:tmpl w:val="8C925F08"/>
    <w:lvl w:ilvl="0" w:tplc="040C0001">
      <w:start w:val="1"/>
      <w:numFmt w:val="bullet"/>
      <w:lvlText w:val=""/>
      <w:lvlJc w:val="left"/>
      <w:pPr>
        <w:ind w:left="1068" w:hanging="360"/>
      </w:pPr>
      <w:rPr>
        <w:rFonts w:ascii="Symbol" w:hAnsi="Symbol"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23" w15:restartNumberingAfterBreak="0">
    <w:nsid w:val="5A3318CC"/>
    <w:multiLevelType w:val="hybridMultilevel"/>
    <w:tmpl w:val="1F126BF4"/>
    <w:lvl w:ilvl="0" w:tplc="E48ED2AA">
      <w:start w:val="1"/>
      <w:numFmt w:val="bullet"/>
      <w:lvlText w:val="•"/>
      <w:lvlJc w:val="left"/>
      <w:pPr>
        <w:tabs>
          <w:tab w:val="num" w:pos="720"/>
        </w:tabs>
        <w:ind w:left="720" w:hanging="360"/>
      </w:pPr>
      <w:rPr>
        <w:rFonts w:ascii="Arial" w:hAnsi="Arial" w:hint="default"/>
      </w:rPr>
    </w:lvl>
    <w:lvl w:ilvl="1" w:tplc="7CF8AC0C" w:tentative="1">
      <w:start w:val="1"/>
      <w:numFmt w:val="bullet"/>
      <w:lvlText w:val="•"/>
      <w:lvlJc w:val="left"/>
      <w:pPr>
        <w:tabs>
          <w:tab w:val="num" w:pos="1440"/>
        </w:tabs>
        <w:ind w:left="1440" w:hanging="360"/>
      </w:pPr>
      <w:rPr>
        <w:rFonts w:ascii="Arial" w:hAnsi="Arial" w:hint="default"/>
      </w:rPr>
    </w:lvl>
    <w:lvl w:ilvl="2" w:tplc="CCF0B5AA" w:tentative="1">
      <w:start w:val="1"/>
      <w:numFmt w:val="bullet"/>
      <w:lvlText w:val="•"/>
      <w:lvlJc w:val="left"/>
      <w:pPr>
        <w:tabs>
          <w:tab w:val="num" w:pos="2160"/>
        </w:tabs>
        <w:ind w:left="2160" w:hanging="360"/>
      </w:pPr>
      <w:rPr>
        <w:rFonts w:ascii="Arial" w:hAnsi="Arial" w:hint="default"/>
      </w:rPr>
    </w:lvl>
    <w:lvl w:ilvl="3" w:tplc="AE602322" w:tentative="1">
      <w:start w:val="1"/>
      <w:numFmt w:val="bullet"/>
      <w:lvlText w:val="•"/>
      <w:lvlJc w:val="left"/>
      <w:pPr>
        <w:tabs>
          <w:tab w:val="num" w:pos="2880"/>
        </w:tabs>
        <w:ind w:left="2880" w:hanging="360"/>
      </w:pPr>
      <w:rPr>
        <w:rFonts w:ascii="Arial" w:hAnsi="Arial" w:hint="default"/>
      </w:rPr>
    </w:lvl>
    <w:lvl w:ilvl="4" w:tplc="174C148A" w:tentative="1">
      <w:start w:val="1"/>
      <w:numFmt w:val="bullet"/>
      <w:lvlText w:val="•"/>
      <w:lvlJc w:val="left"/>
      <w:pPr>
        <w:tabs>
          <w:tab w:val="num" w:pos="3600"/>
        </w:tabs>
        <w:ind w:left="3600" w:hanging="360"/>
      </w:pPr>
      <w:rPr>
        <w:rFonts w:ascii="Arial" w:hAnsi="Arial" w:hint="default"/>
      </w:rPr>
    </w:lvl>
    <w:lvl w:ilvl="5" w:tplc="4C908A22" w:tentative="1">
      <w:start w:val="1"/>
      <w:numFmt w:val="bullet"/>
      <w:lvlText w:val="•"/>
      <w:lvlJc w:val="left"/>
      <w:pPr>
        <w:tabs>
          <w:tab w:val="num" w:pos="4320"/>
        </w:tabs>
        <w:ind w:left="4320" w:hanging="360"/>
      </w:pPr>
      <w:rPr>
        <w:rFonts w:ascii="Arial" w:hAnsi="Arial" w:hint="default"/>
      </w:rPr>
    </w:lvl>
    <w:lvl w:ilvl="6" w:tplc="DE3C27F8" w:tentative="1">
      <w:start w:val="1"/>
      <w:numFmt w:val="bullet"/>
      <w:lvlText w:val="•"/>
      <w:lvlJc w:val="left"/>
      <w:pPr>
        <w:tabs>
          <w:tab w:val="num" w:pos="5040"/>
        </w:tabs>
        <w:ind w:left="5040" w:hanging="360"/>
      </w:pPr>
      <w:rPr>
        <w:rFonts w:ascii="Arial" w:hAnsi="Arial" w:hint="default"/>
      </w:rPr>
    </w:lvl>
    <w:lvl w:ilvl="7" w:tplc="AB72AEE0" w:tentative="1">
      <w:start w:val="1"/>
      <w:numFmt w:val="bullet"/>
      <w:lvlText w:val="•"/>
      <w:lvlJc w:val="left"/>
      <w:pPr>
        <w:tabs>
          <w:tab w:val="num" w:pos="5760"/>
        </w:tabs>
        <w:ind w:left="5760" w:hanging="360"/>
      </w:pPr>
      <w:rPr>
        <w:rFonts w:ascii="Arial" w:hAnsi="Arial" w:hint="default"/>
      </w:rPr>
    </w:lvl>
    <w:lvl w:ilvl="8" w:tplc="56F43F80"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5B581923"/>
    <w:multiLevelType w:val="hybridMultilevel"/>
    <w:tmpl w:val="E87C5FB4"/>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15:restartNumberingAfterBreak="0">
    <w:nsid w:val="60B70CA7"/>
    <w:multiLevelType w:val="hybridMultilevel"/>
    <w:tmpl w:val="BD7256D8"/>
    <w:lvl w:ilvl="0" w:tplc="7512A134">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60D92549"/>
    <w:multiLevelType w:val="hybridMultilevel"/>
    <w:tmpl w:val="B5BA468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B457272"/>
    <w:multiLevelType w:val="hybridMultilevel"/>
    <w:tmpl w:val="9472412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8" w15:restartNumberingAfterBreak="0">
    <w:nsid w:val="6CC75D5D"/>
    <w:multiLevelType w:val="hybridMultilevel"/>
    <w:tmpl w:val="5BA6680A"/>
    <w:lvl w:ilvl="0" w:tplc="D0921ABE">
      <w:numFmt w:val="bullet"/>
      <w:lvlText w:val="-"/>
      <w:lvlJc w:val="left"/>
      <w:pPr>
        <w:ind w:left="720" w:hanging="360"/>
      </w:pPr>
      <w:rPr>
        <w:rFonts w:ascii="Cambria" w:eastAsia="Times New Roman" w:hAnsi="Cambria" w:cs="Cambri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2253A1D"/>
    <w:multiLevelType w:val="hybridMultilevel"/>
    <w:tmpl w:val="453EAAB0"/>
    <w:lvl w:ilvl="0" w:tplc="04070001">
      <w:start w:val="1"/>
      <w:numFmt w:val="bullet"/>
      <w:lvlText w:val=""/>
      <w:lvlJc w:val="left"/>
      <w:pPr>
        <w:ind w:left="1420" w:hanging="360"/>
      </w:pPr>
      <w:rPr>
        <w:rFonts w:ascii="Symbol" w:hAnsi="Symbol" w:hint="default"/>
      </w:rPr>
    </w:lvl>
    <w:lvl w:ilvl="1" w:tplc="04070003" w:tentative="1">
      <w:start w:val="1"/>
      <w:numFmt w:val="bullet"/>
      <w:lvlText w:val="o"/>
      <w:lvlJc w:val="left"/>
      <w:pPr>
        <w:ind w:left="2140" w:hanging="360"/>
      </w:pPr>
      <w:rPr>
        <w:rFonts w:ascii="Courier New" w:hAnsi="Courier New" w:cs="Courier New" w:hint="default"/>
      </w:rPr>
    </w:lvl>
    <w:lvl w:ilvl="2" w:tplc="04070005" w:tentative="1">
      <w:start w:val="1"/>
      <w:numFmt w:val="bullet"/>
      <w:lvlText w:val=""/>
      <w:lvlJc w:val="left"/>
      <w:pPr>
        <w:ind w:left="2860" w:hanging="360"/>
      </w:pPr>
      <w:rPr>
        <w:rFonts w:ascii="Wingdings" w:hAnsi="Wingdings" w:hint="default"/>
      </w:rPr>
    </w:lvl>
    <w:lvl w:ilvl="3" w:tplc="04070001" w:tentative="1">
      <w:start w:val="1"/>
      <w:numFmt w:val="bullet"/>
      <w:lvlText w:val=""/>
      <w:lvlJc w:val="left"/>
      <w:pPr>
        <w:ind w:left="3580" w:hanging="360"/>
      </w:pPr>
      <w:rPr>
        <w:rFonts w:ascii="Symbol" w:hAnsi="Symbol" w:hint="default"/>
      </w:rPr>
    </w:lvl>
    <w:lvl w:ilvl="4" w:tplc="04070003" w:tentative="1">
      <w:start w:val="1"/>
      <w:numFmt w:val="bullet"/>
      <w:lvlText w:val="o"/>
      <w:lvlJc w:val="left"/>
      <w:pPr>
        <w:ind w:left="4300" w:hanging="360"/>
      </w:pPr>
      <w:rPr>
        <w:rFonts w:ascii="Courier New" w:hAnsi="Courier New" w:cs="Courier New" w:hint="default"/>
      </w:rPr>
    </w:lvl>
    <w:lvl w:ilvl="5" w:tplc="04070005" w:tentative="1">
      <w:start w:val="1"/>
      <w:numFmt w:val="bullet"/>
      <w:lvlText w:val=""/>
      <w:lvlJc w:val="left"/>
      <w:pPr>
        <w:ind w:left="5020" w:hanging="360"/>
      </w:pPr>
      <w:rPr>
        <w:rFonts w:ascii="Wingdings" w:hAnsi="Wingdings" w:hint="default"/>
      </w:rPr>
    </w:lvl>
    <w:lvl w:ilvl="6" w:tplc="04070001" w:tentative="1">
      <w:start w:val="1"/>
      <w:numFmt w:val="bullet"/>
      <w:lvlText w:val=""/>
      <w:lvlJc w:val="left"/>
      <w:pPr>
        <w:ind w:left="5740" w:hanging="360"/>
      </w:pPr>
      <w:rPr>
        <w:rFonts w:ascii="Symbol" w:hAnsi="Symbol" w:hint="default"/>
      </w:rPr>
    </w:lvl>
    <w:lvl w:ilvl="7" w:tplc="04070003" w:tentative="1">
      <w:start w:val="1"/>
      <w:numFmt w:val="bullet"/>
      <w:lvlText w:val="o"/>
      <w:lvlJc w:val="left"/>
      <w:pPr>
        <w:ind w:left="6460" w:hanging="360"/>
      </w:pPr>
      <w:rPr>
        <w:rFonts w:ascii="Courier New" w:hAnsi="Courier New" w:cs="Courier New" w:hint="default"/>
      </w:rPr>
    </w:lvl>
    <w:lvl w:ilvl="8" w:tplc="04070005" w:tentative="1">
      <w:start w:val="1"/>
      <w:numFmt w:val="bullet"/>
      <w:lvlText w:val=""/>
      <w:lvlJc w:val="left"/>
      <w:pPr>
        <w:ind w:left="7180" w:hanging="360"/>
      </w:pPr>
      <w:rPr>
        <w:rFonts w:ascii="Wingdings" w:hAnsi="Wingdings" w:hint="default"/>
      </w:rPr>
    </w:lvl>
  </w:abstractNum>
  <w:abstractNum w:abstractNumId="30" w15:restartNumberingAfterBreak="0">
    <w:nsid w:val="7CA1723E"/>
    <w:multiLevelType w:val="hybridMultilevel"/>
    <w:tmpl w:val="FFFFFFFF"/>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734819040">
    <w:abstractNumId w:val="7"/>
  </w:num>
  <w:num w:numId="2" w16cid:durableId="2106226043">
    <w:abstractNumId w:val="3"/>
  </w:num>
  <w:num w:numId="3" w16cid:durableId="1710258025">
    <w:abstractNumId w:val="4"/>
  </w:num>
  <w:num w:numId="4" w16cid:durableId="1354919597">
    <w:abstractNumId w:val="2"/>
  </w:num>
  <w:num w:numId="5" w16cid:durableId="2110159562">
    <w:abstractNumId w:val="29"/>
  </w:num>
  <w:num w:numId="6" w16cid:durableId="525027015">
    <w:abstractNumId w:val="22"/>
  </w:num>
  <w:num w:numId="7" w16cid:durableId="1638148127">
    <w:abstractNumId w:val="24"/>
  </w:num>
  <w:num w:numId="8" w16cid:durableId="672490605">
    <w:abstractNumId w:val="23"/>
  </w:num>
  <w:num w:numId="9" w16cid:durableId="2097751810">
    <w:abstractNumId w:val="6"/>
  </w:num>
  <w:num w:numId="10" w16cid:durableId="511451404">
    <w:abstractNumId w:val="11"/>
  </w:num>
  <w:num w:numId="11" w16cid:durableId="59865846">
    <w:abstractNumId w:val="12"/>
  </w:num>
  <w:num w:numId="12" w16cid:durableId="171533217">
    <w:abstractNumId w:val="21"/>
  </w:num>
  <w:num w:numId="13" w16cid:durableId="1157720340">
    <w:abstractNumId w:val="19"/>
  </w:num>
  <w:num w:numId="14" w16cid:durableId="1987590395">
    <w:abstractNumId w:val="10"/>
  </w:num>
  <w:num w:numId="15" w16cid:durableId="393313715">
    <w:abstractNumId w:val="13"/>
  </w:num>
  <w:num w:numId="16" w16cid:durableId="734818126">
    <w:abstractNumId w:val="9"/>
  </w:num>
  <w:num w:numId="17" w16cid:durableId="1565681518">
    <w:abstractNumId w:val="0"/>
  </w:num>
  <w:num w:numId="18" w16cid:durableId="1443068527">
    <w:abstractNumId w:val="25"/>
  </w:num>
  <w:num w:numId="19" w16cid:durableId="321081008">
    <w:abstractNumId w:val="17"/>
  </w:num>
  <w:num w:numId="20" w16cid:durableId="242296290">
    <w:abstractNumId w:val="20"/>
  </w:num>
  <w:num w:numId="21" w16cid:durableId="2018648905">
    <w:abstractNumId w:val="16"/>
  </w:num>
  <w:num w:numId="22" w16cid:durableId="940381103">
    <w:abstractNumId w:val="26"/>
  </w:num>
  <w:num w:numId="23" w16cid:durableId="1382829170">
    <w:abstractNumId w:val="1"/>
  </w:num>
  <w:num w:numId="24" w16cid:durableId="2120955365">
    <w:abstractNumId w:val="14"/>
  </w:num>
  <w:num w:numId="25" w16cid:durableId="1429347837">
    <w:abstractNumId w:val="27"/>
  </w:num>
  <w:num w:numId="26" w16cid:durableId="588928340">
    <w:abstractNumId w:val="18"/>
  </w:num>
  <w:num w:numId="27" w16cid:durableId="1034648587">
    <w:abstractNumId w:val="8"/>
  </w:num>
  <w:num w:numId="28" w16cid:durableId="992952142">
    <w:abstractNumId w:val="5"/>
  </w:num>
  <w:num w:numId="29" w16cid:durableId="1188713588">
    <w:abstractNumId w:val="15"/>
  </w:num>
  <w:num w:numId="30" w16cid:durableId="666858909">
    <w:abstractNumId w:val="30"/>
  </w:num>
  <w:num w:numId="31" w16cid:durableId="1754202507">
    <w:abstractNumId w:val="2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defaultTabStop w:val="708"/>
  <w:hyphenationZone w:val="283"/>
  <w:characterSpacingControl w:val="doNotCompress"/>
  <w:hdrShapeDefaults>
    <o:shapedefaults v:ext="edit" spidmax="368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80E4A"/>
    <w:rsid w:val="000218D0"/>
    <w:rsid w:val="0004283C"/>
    <w:rsid w:val="00050782"/>
    <w:rsid w:val="00051D04"/>
    <w:rsid w:val="0005649E"/>
    <w:rsid w:val="00057971"/>
    <w:rsid w:val="00065EEA"/>
    <w:rsid w:val="00067182"/>
    <w:rsid w:val="000921C9"/>
    <w:rsid w:val="000A1ED9"/>
    <w:rsid w:val="000A4AF3"/>
    <w:rsid w:val="000E4EBC"/>
    <w:rsid w:val="000F5911"/>
    <w:rsid w:val="000F7D33"/>
    <w:rsid w:val="001073B0"/>
    <w:rsid w:val="0011467A"/>
    <w:rsid w:val="0012427E"/>
    <w:rsid w:val="00132C96"/>
    <w:rsid w:val="0015071D"/>
    <w:rsid w:val="00170352"/>
    <w:rsid w:val="0017098C"/>
    <w:rsid w:val="0017564F"/>
    <w:rsid w:val="00183313"/>
    <w:rsid w:val="00187996"/>
    <w:rsid w:val="00194FD7"/>
    <w:rsid w:val="001B4B7C"/>
    <w:rsid w:val="001B4EF2"/>
    <w:rsid w:val="001C51C2"/>
    <w:rsid w:val="001D5553"/>
    <w:rsid w:val="001D55AA"/>
    <w:rsid w:val="001F42EF"/>
    <w:rsid w:val="00215716"/>
    <w:rsid w:val="0021651F"/>
    <w:rsid w:val="0021668D"/>
    <w:rsid w:val="002309C6"/>
    <w:rsid w:val="00237EBE"/>
    <w:rsid w:val="00261191"/>
    <w:rsid w:val="00263372"/>
    <w:rsid w:val="0027075C"/>
    <w:rsid w:val="002905CC"/>
    <w:rsid w:val="002C3BB1"/>
    <w:rsid w:val="00301856"/>
    <w:rsid w:val="00330E20"/>
    <w:rsid w:val="003310B6"/>
    <w:rsid w:val="00332010"/>
    <w:rsid w:val="00337BF5"/>
    <w:rsid w:val="00387695"/>
    <w:rsid w:val="003D2BC9"/>
    <w:rsid w:val="004029A8"/>
    <w:rsid w:val="00406CE0"/>
    <w:rsid w:val="00423697"/>
    <w:rsid w:val="0043128F"/>
    <w:rsid w:val="00435E9E"/>
    <w:rsid w:val="004502BC"/>
    <w:rsid w:val="004540C6"/>
    <w:rsid w:val="00462963"/>
    <w:rsid w:val="004654FE"/>
    <w:rsid w:val="0047332D"/>
    <w:rsid w:val="0048292B"/>
    <w:rsid w:val="00482CDB"/>
    <w:rsid w:val="004842AF"/>
    <w:rsid w:val="00485ACD"/>
    <w:rsid w:val="0048705E"/>
    <w:rsid w:val="004929E1"/>
    <w:rsid w:val="004A00EB"/>
    <w:rsid w:val="004B278D"/>
    <w:rsid w:val="004C505B"/>
    <w:rsid w:val="004D5191"/>
    <w:rsid w:val="00510071"/>
    <w:rsid w:val="0051413F"/>
    <w:rsid w:val="00514903"/>
    <w:rsid w:val="00515B72"/>
    <w:rsid w:val="00540F92"/>
    <w:rsid w:val="00551FF9"/>
    <w:rsid w:val="00562660"/>
    <w:rsid w:val="00567BE9"/>
    <w:rsid w:val="005971A2"/>
    <w:rsid w:val="005A1CC7"/>
    <w:rsid w:val="005B3E1A"/>
    <w:rsid w:val="005B4899"/>
    <w:rsid w:val="005C3960"/>
    <w:rsid w:val="005E1138"/>
    <w:rsid w:val="005F38F1"/>
    <w:rsid w:val="006156E0"/>
    <w:rsid w:val="006304DD"/>
    <w:rsid w:val="0063329C"/>
    <w:rsid w:val="0064613B"/>
    <w:rsid w:val="00663490"/>
    <w:rsid w:val="00664AD0"/>
    <w:rsid w:val="00666865"/>
    <w:rsid w:val="00681B8B"/>
    <w:rsid w:val="006820B4"/>
    <w:rsid w:val="00683FC7"/>
    <w:rsid w:val="00695CB7"/>
    <w:rsid w:val="00696397"/>
    <w:rsid w:val="006A1757"/>
    <w:rsid w:val="006A28AA"/>
    <w:rsid w:val="006B02C9"/>
    <w:rsid w:val="006D206A"/>
    <w:rsid w:val="006E07F4"/>
    <w:rsid w:val="006E27F4"/>
    <w:rsid w:val="007133AA"/>
    <w:rsid w:val="00716256"/>
    <w:rsid w:val="007172A8"/>
    <w:rsid w:val="00722A60"/>
    <w:rsid w:val="00723E3E"/>
    <w:rsid w:val="00737232"/>
    <w:rsid w:val="00742DAF"/>
    <w:rsid w:val="007455BA"/>
    <w:rsid w:val="007530D3"/>
    <w:rsid w:val="00774D4C"/>
    <w:rsid w:val="00777CE4"/>
    <w:rsid w:val="00780E4A"/>
    <w:rsid w:val="007853DB"/>
    <w:rsid w:val="007858CE"/>
    <w:rsid w:val="007A28F0"/>
    <w:rsid w:val="007C4B09"/>
    <w:rsid w:val="007C68EA"/>
    <w:rsid w:val="007D12C9"/>
    <w:rsid w:val="007E1A47"/>
    <w:rsid w:val="007E6598"/>
    <w:rsid w:val="007F38F8"/>
    <w:rsid w:val="00801252"/>
    <w:rsid w:val="00821D78"/>
    <w:rsid w:val="00835C5B"/>
    <w:rsid w:val="00851A0D"/>
    <w:rsid w:val="008672BE"/>
    <w:rsid w:val="00872D25"/>
    <w:rsid w:val="00880919"/>
    <w:rsid w:val="00896AB1"/>
    <w:rsid w:val="008A0ED7"/>
    <w:rsid w:val="008A4E4C"/>
    <w:rsid w:val="008B32BB"/>
    <w:rsid w:val="008C52E9"/>
    <w:rsid w:val="008E13E7"/>
    <w:rsid w:val="008F44B7"/>
    <w:rsid w:val="00911598"/>
    <w:rsid w:val="00922D80"/>
    <w:rsid w:val="00930CD1"/>
    <w:rsid w:val="009442D4"/>
    <w:rsid w:val="00946DAC"/>
    <w:rsid w:val="009837B8"/>
    <w:rsid w:val="009912D5"/>
    <w:rsid w:val="009B4D4C"/>
    <w:rsid w:val="009E18AF"/>
    <w:rsid w:val="009F0C79"/>
    <w:rsid w:val="00A16FCC"/>
    <w:rsid w:val="00A2270A"/>
    <w:rsid w:val="00A45B98"/>
    <w:rsid w:val="00A47D1D"/>
    <w:rsid w:val="00A507B2"/>
    <w:rsid w:val="00A6027F"/>
    <w:rsid w:val="00A72A84"/>
    <w:rsid w:val="00AB6FDD"/>
    <w:rsid w:val="00AD1AC7"/>
    <w:rsid w:val="00AF203D"/>
    <w:rsid w:val="00B111B1"/>
    <w:rsid w:val="00B250DD"/>
    <w:rsid w:val="00B31E32"/>
    <w:rsid w:val="00B34277"/>
    <w:rsid w:val="00B427B7"/>
    <w:rsid w:val="00B51834"/>
    <w:rsid w:val="00B5602A"/>
    <w:rsid w:val="00B6100D"/>
    <w:rsid w:val="00B65CE5"/>
    <w:rsid w:val="00B674CA"/>
    <w:rsid w:val="00B67E6E"/>
    <w:rsid w:val="00B90855"/>
    <w:rsid w:val="00B94B80"/>
    <w:rsid w:val="00B9782C"/>
    <w:rsid w:val="00BA76B2"/>
    <w:rsid w:val="00BB004A"/>
    <w:rsid w:val="00BC7F33"/>
    <w:rsid w:val="00BD41DF"/>
    <w:rsid w:val="00BE5CE4"/>
    <w:rsid w:val="00C07D3E"/>
    <w:rsid w:val="00C305CA"/>
    <w:rsid w:val="00C342DD"/>
    <w:rsid w:val="00C37761"/>
    <w:rsid w:val="00C42EBE"/>
    <w:rsid w:val="00C80F08"/>
    <w:rsid w:val="00C87267"/>
    <w:rsid w:val="00C90F51"/>
    <w:rsid w:val="00C93507"/>
    <w:rsid w:val="00C97F32"/>
    <w:rsid w:val="00CD3EBC"/>
    <w:rsid w:val="00CF2500"/>
    <w:rsid w:val="00D045C6"/>
    <w:rsid w:val="00D04683"/>
    <w:rsid w:val="00D22538"/>
    <w:rsid w:val="00D32776"/>
    <w:rsid w:val="00D651B9"/>
    <w:rsid w:val="00D83E17"/>
    <w:rsid w:val="00DA0658"/>
    <w:rsid w:val="00DB318E"/>
    <w:rsid w:val="00DE4CD2"/>
    <w:rsid w:val="00DF41BA"/>
    <w:rsid w:val="00E0662D"/>
    <w:rsid w:val="00E26B86"/>
    <w:rsid w:val="00E33FCC"/>
    <w:rsid w:val="00E53DD8"/>
    <w:rsid w:val="00E61A36"/>
    <w:rsid w:val="00E7583D"/>
    <w:rsid w:val="00EA0078"/>
    <w:rsid w:val="00EA1A09"/>
    <w:rsid w:val="00EB36BE"/>
    <w:rsid w:val="00EC5F73"/>
    <w:rsid w:val="00ED398E"/>
    <w:rsid w:val="00ED6220"/>
    <w:rsid w:val="00EF6290"/>
    <w:rsid w:val="00F15FFA"/>
    <w:rsid w:val="00F21524"/>
    <w:rsid w:val="00F67F1F"/>
    <w:rsid w:val="00FB374A"/>
    <w:rsid w:val="00FC3526"/>
    <w:rsid w:val="00FD042E"/>
    <w:rsid w:val="00FE6AC1"/>
    <w:rsid w:val="00FF0B92"/>
    <w:rsid w:val="00FF0DE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6865"/>
    <o:shapelayout v:ext="edit">
      <o:idmap v:ext="edit" data="1"/>
    </o:shapelayout>
  </w:shapeDefaults>
  <w:decimalSymbol w:val=","/>
  <w:listSeparator w:val=";"/>
  <w14:docId w14:val="02117642"/>
  <w15:docId w15:val="{68C3623E-6325-4036-926E-31F4A26C1B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mbria" w:eastAsia="Cambria" w:hAnsi="Cambria" w:cs="Cambria"/>
        <w:sz w:val="24"/>
        <w:szCs w:val="24"/>
        <w:lang w:val="fr-FR" w:eastAsia="fr-FR" w:bidi="ar-SA"/>
      </w:rPr>
    </w:rPrDefault>
    <w:pPrDefault>
      <w:pPr>
        <w:pBdr>
          <w:top w:val="none" w:sz="4" w:space="0" w:color="000000"/>
          <w:left w:val="none" w:sz="4" w:space="0" w:color="000000"/>
          <w:bottom w:val="none" w:sz="4" w:space="0" w:color="000000"/>
          <w:right w:val="none" w:sz="4" w:space="0" w:color="000000"/>
          <w:between w:val="none" w:sz="4" w:space="0" w:color="000000"/>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Pr>
      <w:lang w:val="en-GB"/>
    </w:rPr>
  </w:style>
  <w:style w:type="paragraph" w:styleId="berschrift1">
    <w:name w:val="heading 1"/>
    <w:basedOn w:val="Standard"/>
    <w:next w:val="Standard"/>
    <w:link w:val="berschrift1Zchn"/>
    <w:uiPriority w:val="9"/>
    <w:qFormat/>
    <w:rsid w:val="00ED6220"/>
    <w:pPr>
      <w:keepNext/>
      <w:keepLines/>
      <w:numPr>
        <w:numId w:val="2"/>
      </w:numPr>
      <w:spacing w:before="480"/>
      <w:ind w:left="284" w:hanging="283"/>
      <w:outlineLvl w:val="0"/>
    </w:pPr>
    <w:rPr>
      <w:rFonts w:ascii="Tw Cen MT" w:eastAsia="Calibri" w:hAnsi="Tw Cen MT" w:cs="Calibri"/>
      <w:b/>
      <w:bCs/>
      <w:color w:val="4F81BD" w:themeColor="accent1"/>
      <w:sz w:val="32"/>
      <w:szCs w:val="32"/>
    </w:rPr>
  </w:style>
  <w:style w:type="paragraph" w:styleId="berschrift2">
    <w:name w:val="heading 2"/>
    <w:basedOn w:val="Standard"/>
    <w:next w:val="Standard"/>
    <w:link w:val="berschrift2Zchn"/>
    <w:uiPriority w:val="9"/>
    <w:unhideWhenUsed/>
    <w:qFormat/>
    <w:rsid w:val="00ED6220"/>
    <w:pPr>
      <w:keepNext/>
      <w:keepLines/>
      <w:numPr>
        <w:ilvl w:val="1"/>
        <w:numId w:val="2"/>
      </w:numPr>
      <w:spacing w:before="200"/>
      <w:ind w:left="575"/>
      <w:outlineLvl w:val="1"/>
    </w:pPr>
    <w:rPr>
      <w:rFonts w:ascii="Calibri" w:eastAsia="Calibri" w:hAnsi="Calibri" w:cs="Calibri"/>
      <w:b/>
      <w:bCs/>
      <w:color w:val="4F81BD" w:themeColor="accent1"/>
      <w:sz w:val="26"/>
      <w:szCs w:val="26"/>
    </w:rPr>
  </w:style>
  <w:style w:type="paragraph" w:styleId="berschrift3">
    <w:name w:val="heading 3"/>
    <w:basedOn w:val="Standard"/>
    <w:next w:val="Standard"/>
    <w:link w:val="berschrift3Zchn"/>
    <w:uiPriority w:val="9"/>
    <w:unhideWhenUsed/>
    <w:qFormat/>
    <w:rsid w:val="004502BC"/>
    <w:pPr>
      <w:keepNext/>
      <w:keepLines/>
      <w:numPr>
        <w:ilvl w:val="2"/>
        <w:numId w:val="2"/>
      </w:numPr>
      <w:spacing w:before="200"/>
      <w:ind w:left="719"/>
      <w:outlineLvl w:val="2"/>
    </w:pPr>
    <w:rPr>
      <w:rFonts w:ascii="Calibri" w:eastAsia="Calibri" w:hAnsi="Calibri" w:cs="Calibri"/>
      <w:b/>
      <w:bCs/>
      <w:color w:val="4F81BD" w:themeColor="accent1"/>
    </w:rPr>
  </w:style>
  <w:style w:type="paragraph" w:styleId="berschrift4">
    <w:name w:val="heading 4"/>
    <w:basedOn w:val="Standard"/>
    <w:next w:val="Standard"/>
    <w:link w:val="berschrift4Zchn"/>
    <w:uiPriority w:val="9"/>
    <w:unhideWhenUsed/>
    <w:qFormat/>
    <w:rsid w:val="004502BC"/>
    <w:pPr>
      <w:keepNext/>
      <w:keepLines/>
      <w:numPr>
        <w:ilvl w:val="3"/>
        <w:numId w:val="2"/>
      </w:numPr>
      <w:spacing w:before="200"/>
      <w:ind w:left="863"/>
      <w:outlineLvl w:val="3"/>
    </w:pPr>
    <w:rPr>
      <w:rFonts w:ascii="Calibri" w:eastAsia="Calibri" w:hAnsi="Calibri" w:cs="Calibri"/>
      <w:b/>
      <w:bCs/>
      <w:i/>
      <w:iCs/>
      <w:color w:val="4F81BD" w:themeColor="accent1"/>
    </w:rPr>
  </w:style>
  <w:style w:type="paragraph" w:styleId="berschrift5">
    <w:name w:val="heading 5"/>
    <w:basedOn w:val="Standard"/>
    <w:next w:val="Standard"/>
    <w:link w:val="berschrift5Zchn"/>
    <w:uiPriority w:val="9"/>
    <w:semiHidden/>
    <w:unhideWhenUsed/>
    <w:qFormat/>
    <w:pPr>
      <w:keepNext/>
      <w:keepLines/>
      <w:numPr>
        <w:ilvl w:val="4"/>
        <w:numId w:val="2"/>
      </w:numPr>
      <w:spacing w:before="200"/>
      <w:outlineLvl w:val="4"/>
    </w:pPr>
    <w:rPr>
      <w:rFonts w:ascii="Calibri" w:eastAsia="Calibri" w:hAnsi="Calibri" w:cs="Calibri"/>
      <w:color w:val="243F60" w:themeColor="accent1" w:themeShade="7F"/>
    </w:rPr>
  </w:style>
  <w:style w:type="paragraph" w:styleId="berschrift6">
    <w:name w:val="heading 6"/>
    <w:basedOn w:val="Standard"/>
    <w:next w:val="Standard"/>
    <w:link w:val="berschrift6Zchn"/>
    <w:uiPriority w:val="9"/>
    <w:semiHidden/>
    <w:unhideWhenUsed/>
    <w:qFormat/>
    <w:pPr>
      <w:keepNext/>
      <w:keepLines/>
      <w:numPr>
        <w:ilvl w:val="5"/>
        <w:numId w:val="2"/>
      </w:numPr>
      <w:spacing w:before="200"/>
      <w:outlineLvl w:val="5"/>
    </w:pPr>
    <w:rPr>
      <w:rFonts w:ascii="Calibri" w:eastAsia="Calibri" w:hAnsi="Calibri" w:cs="Calibri"/>
      <w:i/>
      <w:iCs/>
      <w:color w:val="243F60" w:themeColor="accent1" w:themeShade="7F"/>
    </w:rPr>
  </w:style>
  <w:style w:type="paragraph" w:styleId="berschrift7">
    <w:name w:val="heading 7"/>
    <w:basedOn w:val="Standard"/>
    <w:next w:val="Standard"/>
    <w:link w:val="berschrift7Zchn"/>
    <w:uiPriority w:val="9"/>
    <w:semiHidden/>
    <w:unhideWhenUsed/>
    <w:qFormat/>
    <w:pPr>
      <w:keepNext/>
      <w:keepLines/>
      <w:numPr>
        <w:ilvl w:val="6"/>
        <w:numId w:val="2"/>
      </w:numPr>
      <w:spacing w:before="200"/>
      <w:outlineLvl w:val="6"/>
    </w:pPr>
    <w:rPr>
      <w:rFonts w:ascii="Calibri" w:eastAsia="Calibri" w:hAnsi="Calibri" w:cs="Calibri"/>
      <w:i/>
      <w:iCs/>
      <w:color w:val="404040" w:themeColor="text1" w:themeTint="BF"/>
    </w:rPr>
  </w:style>
  <w:style w:type="paragraph" w:styleId="berschrift8">
    <w:name w:val="heading 8"/>
    <w:basedOn w:val="Standard"/>
    <w:next w:val="Standard"/>
    <w:link w:val="berschrift8Zchn"/>
    <w:uiPriority w:val="9"/>
    <w:semiHidden/>
    <w:unhideWhenUsed/>
    <w:qFormat/>
    <w:pPr>
      <w:keepNext/>
      <w:keepLines/>
      <w:numPr>
        <w:ilvl w:val="7"/>
        <w:numId w:val="2"/>
      </w:numPr>
      <w:spacing w:before="200"/>
      <w:outlineLvl w:val="7"/>
    </w:pPr>
    <w:rPr>
      <w:rFonts w:ascii="Calibri" w:eastAsia="Calibri" w:hAnsi="Calibri" w:cs="Calibri"/>
      <w:color w:val="404040" w:themeColor="text1" w:themeTint="BF"/>
      <w:sz w:val="20"/>
      <w:szCs w:val="20"/>
    </w:rPr>
  </w:style>
  <w:style w:type="paragraph" w:styleId="berschrift9">
    <w:name w:val="heading 9"/>
    <w:basedOn w:val="Standard"/>
    <w:next w:val="Standard"/>
    <w:link w:val="berschrift9Zchn"/>
    <w:uiPriority w:val="9"/>
    <w:semiHidden/>
    <w:unhideWhenUsed/>
    <w:qFormat/>
    <w:pPr>
      <w:keepNext/>
      <w:keepLines/>
      <w:numPr>
        <w:ilvl w:val="8"/>
        <w:numId w:val="2"/>
      </w:numPr>
      <w:spacing w:before="200"/>
      <w:outlineLvl w:val="8"/>
    </w:pPr>
    <w:rPr>
      <w:rFonts w:ascii="Calibri" w:eastAsia="Calibri" w:hAnsi="Calibri" w:cs="Calibri"/>
      <w:i/>
      <w:iCs/>
      <w:color w:val="404040" w:themeColor="text1" w:themeTint="BF"/>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Heading1Char">
    <w:name w:val="Heading 1 Char"/>
    <w:basedOn w:val="Absatz-Standardschriftart"/>
    <w:uiPriority w:val="9"/>
    <w:rPr>
      <w:rFonts w:ascii="Arial" w:eastAsia="Arial" w:hAnsi="Arial" w:cs="Arial"/>
      <w:sz w:val="40"/>
      <w:szCs w:val="40"/>
    </w:rPr>
  </w:style>
  <w:style w:type="character" w:customStyle="1" w:styleId="Heading2Char">
    <w:name w:val="Heading 2 Char"/>
    <w:basedOn w:val="Absatz-Standardschriftart"/>
    <w:uiPriority w:val="9"/>
    <w:rPr>
      <w:rFonts w:ascii="Arial" w:eastAsia="Arial" w:hAnsi="Arial" w:cs="Arial"/>
      <w:sz w:val="34"/>
    </w:rPr>
  </w:style>
  <w:style w:type="character" w:customStyle="1" w:styleId="Heading3Char">
    <w:name w:val="Heading 3 Char"/>
    <w:basedOn w:val="Absatz-Standardschriftart"/>
    <w:uiPriority w:val="9"/>
    <w:rPr>
      <w:rFonts w:ascii="Arial" w:eastAsia="Arial" w:hAnsi="Arial" w:cs="Arial"/>
      <w:sz w:val="30"/>
      <w:szCs w:val="30"/>
    </w:rPr>
  </w:style>
  <w:style w:type="character" w:customStyle="1" w:styleId="Heading4Char">
    <w:name w:val="Heading 4 Char"/>
    <w:basedOn w:val="Absatz-Standardschriftart"/>
    <w:uiPriority w:val="9"/>
    <w:rPr>
      <w:rFonts w:ascii="Arial" w:eastAsia="Arial" w:hAnsi="Arial" w:cs="Arial"/>
      <w:b/>
      <w:bCs/>
      <w:sz w:val="26"/>
      <w:szCs w:val="26"/>
    </w:rPr>
  </w:style>
  <w:style w:type="character" w:customStyle="1" w:styleId="Heading5Char">
    <w:name w:val="Heading 5 Char"/>
    <w:basedOn w:val="Absatz-Standardschriftart"/>
    <w:uiPriority w:val="9"/>
    <w:rPr>
      <w:rFonts w:ascii="Arial" w:eastAsia="Arial" w:hAnsi="Arial" w:cs="Arial"/>
      <w:b/>
      <w:bCs/>
      <w:sz w:val="24"/>
      <w:szCs w:val="24"/>
    </w:rPr>
  </w:style>
  <w:style w:type="character" w:customStyle="1" w:styleId="Heading6Char">
    <w:name w:val="Heading 6 Char"/>
    <w:basedOn w:val="Absatz-Standardschriftart"/>
    <w:uiPriority w:val="9"/>
    <w:rPr>
      <w:rFonts w:ascii="Arial" w:eastAsia="Arial" w:hAnsi="Arial" w:cs="Arial"/>
      <w:b/>
      <w:bCs/>
      <w:sz w:val="22"/>
      <w:szCs w:val="22"/>
    </w:rPr>
  </w:style>
  <w:style w:type="character" w:customStyle="1" w:styleId="Heading7Char">
    <w:name w:val="Heading 7 Char"/>
    <w:basedOn w:val="Absatz-Standardschriftart"/>
    <w:uiPriority w:val="9"/>
    <w:rPr>
      <w:rFonts w:ascii="Arial" w:eastAsia="Arial" w:hAnsi="Arial" w:cs="Arial"/>
      <w:b/>
      <w:bCs/>
      <w:i/>
      <w:iCs/>
      <w:sz w:val="22"/>
      <w:szCs w:val="22"/>
    </w:rPr>
  </w:style>
  <w:style w:type="character" w:customStyle="1" w:styleId="Heading8Char">
    <w:name w:val="Heading 8 Char"/>
    <w:basedOn w:val="Absatz-Standardschriftart"/>
    <w:uiPriority w:val="9"/>
    <w:rPr>
      <w:rFonts w:ascii="Arial" w:eastAsia="Arial" w:hAnsi="Arial" w:cs="Arial"/>
      <w:i/>
      <w:iCs/>
      <w:sz w:val="22"/>
      <w:szCs w:val="22"/>
    </w:rPr>
  </w:style>
  <w:style w:type="character" w:customStyle="1" w:styleId="Heading9Char">
    <w:name w:val="Heading 9 Char"/>
    <w:basedOn w:val="Absatz-Standardschriftart"/>
    <w:uiPriority w:val="9"/>
    <w:rPr>
      <w:rFonts w:ascii="Arial" w:eastAsia="Arial" w:hAnsi="Arial" w:cs="Arial"/>
      <w:i/>
      <w:iCs/>
      <w:sz w:val="21"/>
      <w:szCs w:val="21"/>
    </w:rPr>
  </w:style>
  <w:style w:type="paragraph" w:styleId="Titel">
    <w:name w:val="Title"/>
    <w:basedOn w:val="Standard"/>
    <w:next w:val="Standard"/>
    <w:link w:val="TitelZchn"/>
    <w:uiPriority w:val="10"/>
    <w:qFormat/>
    <w:pPr>
      <w:spacing w:before="300" w:after="200"/>
      <w:contextualSpacing/>
    </w:pPr>
    <w:rPr>
      <w:sz w:val="48"/>
      <w:szCs w:val="48"/>
    </w:rPr>
  </w:style>
  <w:style w:type="character" w:customStyle="1" w:styleId="TitelZchn">
    <w:name w:val="Titel Zchn"/>
    <w:basedOn w:val="Absatz-Standardschriftart"/>
    <w:link w:val="Titel"/>
    <w:uiPriority w:val="10"/>
    <w:rPr>
      <w:sz w:val="48"/>
      <w:szCs w:val="48"/>
    </w:rPr>
  </w:style>
  <w:style w:type="paragraph" w:styleId="Untertitel">
    <w:name w:val="Subtitle"/>
    <w:basedOn w:val="Standard"/>
    <w:next w:val="Standard"/>
    <w:link w:val="UntertitelZchn"/>
    <w:uiPriority w:val="11"/>
    <w:qFormat/>
    <w:pPr>
      <w:spacing w:before="200" w:after="200"/>
    </w:pPr>
  </w:style>
  <w:style w:type="character" w:customStyle="1" w:styleId="UntertitelZchn">
    <w:name w:val="Untertitel Zchn"/>
    <w:basedOn w:val="Absatz-Standardschriftart"/>
    <w:link w:val="Untertitel"/>
    <w:uiPriority w:val="11"/>
    <w:rPr>
      <w:sz w:val="24"/>
      <w:szCs w:val="24"/>
    </w:rPr>
  </w:style>
  <w:style w:type="paragraph" w:styleId="Zitat">
    <w:name w:val="Quote"/>
    <w:basedOn w:val="Standard"/>
    <w:next w:val="Standard"/>
    <w:link w:val="ZitatZchn"/>
    <w:uiPriority w:val="29"/>
    <w:qFormat/>
    <w:pPr>
      <w:ind w:left="720" w:right="720"/>
    </w:pPr>
    <w:rPr>
      <w:i/>
    </w:rPr>
  </w:style>
  <w:style w:type="character" w:customStyle="1" w:styleId="ZitatZchn">
    <w:name w:val="Zitat Zchn"/>
    <w:link w:val="Zitat"/>
    <w:uiPriority w:val="29"/>
    <w:rPr>
      <w:i/>
    </w:rPr>
  </w:style>
  <w:style w:type="paragraph" w:styleId="IntensivesZitat">
    <w:name w:val="Intense Quote"/>
    <w:basedOn w:val="Standard"/>
    <w:next w:val="Standard"/>
    <w:link w:val="IntensivesZitatZchn"/>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sivesZitatZchn">
    <w:name w:val="Intensives Zitat Zchn"/>
    <w:link w:val="IntensivesZitat"/>
    <w:uiPriority w:val="30"/>
    <w:rPr>
      <w:i/>
    </w:rPr>
  </w:style>
  <w:style w:type="character" w:customStyle="1" w:styleId="HeaderChar">
    <w:name w:val="Header Char"/>
    <w:basedOn w:val="Absatz-Standardschriftart"/>
    <w:uiPriority w:val="99"/>
  </w:style>
  <w:style w:type="character" w:customStyle="1" w:styleId="FooterChar">
    <w:name w:val="Footer Char"/>
    <w:basedOn w:val="Absatz-Standardschriftart"/>
    <w:uiPriority w:val="99"/>
  </w:style>
  <w:style w:type="table" w:customStyle="1" w:styleId="Lined">
    <w:name w:val="Lined"/>
    <w:basedOn w:val="NormaleTabelle"/>
    <w:uiPriority w:val="99"/>
    <w:rPr>
      <w:color w:val="404040"/>
      <w:sz w:val="20"/>
      <w:szCs w:val="20"/>
      <w:lang w:val="it-IT" w:eastAsia="it-IT"/>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7F7F7F"/>
      </w:tcPr>
    </w:tblStylePr>
    <w:tblStylePr w:type="lastRow">
      <w:rPr>
        <w:rFonts w:ascii="Arial" w:hAnsi="Arial"/>
        <w:color w:val="F2F2F2"/>
        <w:sz w:val="22"/>
      </w:rPr>
      <w:tblPr/>
      <w:tcPr>
        <w:shd w:val="clear" w:color="auto" w:fill="7F7F7F"/>
      </w:tcPr>
    </w:tblStylePr>
    <w:tblStylePr w:type="firstCol">
      <w:rPr>
        <w:rFonts w:ascii="Arial" w:hAnsi="Arial"/>
        <w:color w:val="F2F2F2"/>
        <w:sz w:val="22"/>
      </w:rPr>
      <w:tblPr/>
      <w:tcPr>
        <w:shd w:val="clear" w:color="auto" w:fill="7F7F7F"/>
      </w:tcPr>
    </w:tblStylePr>
    <w:tblStylePr w:type="lastCol">
      <w:rPr>
        <w:rFonts w:ascii="Arial" w:hAnsi="Arial"/>
        <w:color w:val="F2F2F2"/>
        <w:sz w:val="22"/>
      </w:rPr>
      <w:tblPr/>
      <w:tcPr>
        <w:shd w:val="clear" w:color="auto" w:fill="7F7F7F"/>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cPr>
    </w:tblStylePr>
  </w:style>
  <w:style w:type="table" w:customStyle="1" w:styleId="Lined-Accent1">
    <w:name w:val="Lined - Accent 1"/>
    <w:basedOn w:val="NormaleTabelle"/>
    <w:uiPriority w:val="99"/>
    <w:rPr>
      <w:color w:val="404040"/>
      <w:sz w:val="20"/>
      <w:szCs w:val="20"/>
      <w:lang w:val="it-IT" w:eastAsia="it-IT"/>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548DD4"/>
      </w:tcPr>
    </w:tblStylePr>
    <w:tblStylePr w:type="lastRow">
      <w:rPr>
        <w:rFonts w:ascii="Arial" w:hAnsi="Arial"/>
        <w:color w:val="F2F2F2"/>
        <w:sz w:val="22"/>
      </w:rPr>
      <w:tblPr/>
      <w:tcPr>
        <w:shd w:val="clear" w:color="auto" w:fill="548DD4"/>
      </w:tcPr>
    </w:tblStylePr>
    <w:tblStylePr w:type="firstCol">
      <w:rPr>
        <w:rFonts w:ascii="Arial" w:hAnsi="Arial"/>
        <w:color w:val="F2F2F2"/>
        <w:sz w:val="22"/>
      </w:rPr>
      <w:tblPr/>
      <w:tcPr>
        <w:shd w:val="clear" w:color="auto" w:fill="548DD4"/>
      </w:tcPr>
    </w:tblStylePr>
    <w:tblStylePr w:type="lastCol">
      <w:rPr>
        <w:rFonts w:ascii="Arial" w:hAnsi="Arial"/>
        <w:color w:val="F2F2F2"/>
        <w:sz w:val="22"/>
      </w:rPr>
      <w:tblPr/>
      <w:tcPr>
        <w:shd w:val="clear" w:color="auto" w:fill="548DD4"/>
      </w:tcPr>
    </w:tblStylePr>
    <w:tblStylePr w:type="band1Vert">
      <w:rPr>
        <w:rFonts w:ascii="Arial" w:hAnsi="Arial"/>
        <w:color w:val="404040"/>
        <w:sz w:val="22"/>
      </w:rPr>
    </w:tblStylePr>
    <w:tblStylePr w:type="band2Vert">
      <w:rPr>
        <w:rFonts w:ascii="Arial" w:hAnsi="Arial"/>
        <w:color w:val="404040"/>
        <w:sz w:val="22"/>
      </w:rPr>
      <w:tblPr/>
      <w:tcPr>
        <w:shd w:val="clear" w:color="auto" w:fill="C6D9F1"/>
      </w:tcPr>
    </w:tblStylePr>
    <w:tblStylePr w:type="band1Horz">
      <w:rPr>
        <w:rFonts w:ascii="Arial" w:hAnsi="Arial"/>
        <w:color w:val="404040"/>
        <w:sz w:val="22"/>
      </w:rPr>
    </w:tblStylePr>
    <w:tblStylePr w:type="band2Horz">
      <w:rPr>
        <w:rFonts w:ascii="Arial" w:hAnsi="Arial"/>
        <w:color w:val="404040"/>
        <w:sz w:val="22"/>
      </w:rPr>
      <w:tblPr/>
      <w:tcPr>
        <w:shd w:val="clear" w:color="auto" w:fill="C6D9F1"/>
      </w:tcPr>
    </w:tblStylePr>
  </w:style>
  <w:style w:type="table" w:customStyle="1" w:styleId="Lined-Accent2">
    <w:name w:val="Lined - Accent 2"/>
    <w:basedOn w:val="NormaleTabelle"/>
    <w:uiPriority w:val="99"/>
    <w:rPr>
      <w:color w:val="404040"/>
      <w:sz w:val="20"/>
      <w:szCs w:val="20"/>
      <w:lang w:val="it-IT" w:eastAsia="it-IT"/>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D99594"/>
      </w:tcPr>
    </w:tblStylePr>
    <w:tblStylePr w:type="lastRow">
      <w:rPr>
        <w:rFonts w:ascii="Arial" w:hAnsi="Arial"/>
        <w:color w:val="F2F2F2"/>
        <w:sz w:val="22"/>
      </w:rPr>
      <w:tblPr/>
      <w:tcPr>
        <w:shd w:val="clear" w:color="auto" w:fill="D99594"/>
      </w:tcPr>
    </w:tblStylePr>
    <w:tblStylePr w:type="firstCol">
      <w:rPr>
        <w:rFonts w:ascii="Arial" w:hAnsi="Arial"/>
        <w:color w:val="F2F2F2"/>
        <w:sz w:val="22"/>
      </w:rPr>
      <w:tblPr/>
      <w:tcPr>
        <w:shd w:val="clear" w:color="auto" w:fill="D99594"/>
      </w:tcPr>
    </w:tblStylePr>
    <w:tblStylePr w:type="lastCol">
      <w:rPr>
        <w:rFonts w:ascii="Arial" w:hAnsi="Arial"/>
        <w:color w:val="F2F2F2"/>
        <w:sz w:val="22"/>
      </w:rPr>
      <w:tblPr/>
      <w:tcPr>
        <w:shd w:val="clear" w:color="auto" w:fill="D99594"/>
      </w:tcPr>
    </w:tblStylePr>
    <w:tblStylePr w:type="band1Vert">
      <w:rPr>
        <w:rFonts w:ascii="Arial" w:hAnsi="Arial"/>
        <w:color w:val="404040"/>
        <w:sz w:val="22"/>
      </w:rPr>
    </w:tblStylePr>
    <w:tblStylePr w:type="band2Vert">
      <w:rPr>
        <w:rFonts w:ascii="Arial" w:hAnsi="Arial"/>
        <w:color w:val="404040"/>
        <w:sz w:val="22"/>
      </w:rPr>
      <w:tblPr/>
      <w:tcPr>
        <w:shd w:val="clear" w:color="auto" w:fill="F2DBDB"/>
      </w:tcPr>
    </w:tblStylePr>
    <w:tblStylePr w:type="band1Horz">
      <w:rPr>
        <w:rFonts w:ascii="Arial" w:hAnsi="Arial"/>
        <w:color w:val="404040"/>
        <w:sz w:val="22"/>
      </w:rPr>
    </w:tblStylePr>
    <w:tblStylePr w:type="band2Horz">
      <w:rPr>
        <w:rFonts w:ascii="Arial" w:hAnsi="Arial"/>
        <w:color w:val="404040"/>
        <w:sz w:val="22"/>
      </w:rPr>
      <w:tblPr/>
      <w:tcPr>
        <w:shd w:val="clear" w:color="auto" w:fill="F2DBDB"/>
      </w:tcPr>
    </w:tblStylePr>
  </w:style>
  <w:style w:type="table" w:customStyle="1" w:styleId="Lined-Accent3">
    <w:name w:val="Lined - Accent 3"/>
    <w:basedOn w:val="NormaleTabelle"/>
    <w:uiPriority w:val="99"/>
    <w:rPr>
      <w:color w:val="404040"/>
      <w:sz w:val="20"/>
      <w:szCs w:val="20"/>
      <w:lang w:val="it-IT" w:eastAsia="it-IT"/>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9BB559"/>
      </w:tcPr>
    </w:tblStylePr>
    <w:tblStylePr w:type="lastRow">
      <w:rPr>
        <w:rFonts w:ascii="Arial" w:hAnsi="Arial"/>
        <w:color w:val="F2F2F2"/>
        <w:sz w:val="22"/>
      </w:rPr>
      <w:tblPr/>
      <w:tcPr>
        <w:shd w:val="clear" w:color="auto" w:fill="9BB559"/>
      </w:tcPr>
    </w:tblStylePr>
    <w:tblStylePr w:type="firstCol">
      <w:rPr>
        <w:rFonts w:ascii="Arial" w:hAnsi="Arial"/>
        <w:color w:val="F2F2F2"/>
        <w:sz w:val="22"/>
      </w:rPr>
      <w:tblPr/>
      <w:tcPr>
        <w:shd w:val="clear" w:color="auto" w:fill="9BB559"/>
      </w:tcPr>
    </w:tblStylePr>
    <w:tblStylePr w:type="lastCol">
      <w:rPr>
        <w:rFonts w:ascii="Arial" w:hAnsi="Arial"/>
        <w:color w:val="F2F2F2"/>
        <w:sz w:val="22"/>
      </w:rPr>
      <w:tblPr/>
      <w:tcPr>
        <w:shd w:val="clear" w:color="auto" w:fill="9BB559"/>
      </w:tcPr>
    </w:tblStylePr>
    <w:tblStylePr w:type="band1Vert">
      <w:rPr>
        <w:rFonts w:ascii="Arial" w:hAnsi="Arial"/>
        <w:color w:val="404040"/>
        <w:sz w:val="22"/>
      </w:rPr>
    </w:tblStylePr>
    <w:tblStylePr w:type="band2Vert">
      <w:rPr>
        <w:rFonts w:ascii="Arial" w:hAnsi="Arial"/>
        <w:color w:val="404040"/>
        <w:sz w:val="22"/>
      </w:rPr>
      <w:tblPr/>
      <w:tcPr>
        <w:shd w:val="clear" w:color="auto" w:fill="EAF1DD"/>
      </w:tcPr>
    </w:tblStylePr>
    <w:tblStylePr w:type="band1Horz">
      <w:rPr>
        <w:rFonts w:ascii="Arial" w:hAnsi="Arial"/>
        <w:color w:val="404040"/>
        <w:sz w:val="22"/>
      </w:rPr>
    </w:tblStylePr>
    <w:tblStylePr w:type="band2Horz">
      <w:rPr>
        <w:rFonts w:ascii="Arial" w:hAnsi="Arial"/>
        <w:color w:val="404040"/>
        <w:sz w:val="22"/>
      </w:rPr>
      <w:tblPr/>
      <w:tcPr>
        <w:shd w:val="clear" w:color="auto" w:fill="EAF1DD"/>
      </w:tcPr>
    </w:tblStylePr>
  </w:style>
  <w:style w:type="table" w:customStyle="1" w:styleId="Lined-Accent4">
    <w:name w:val="Lined - Accent 4"/>
    <w:basedOn w:val="NormaleTabelle"/>
    <w:uiPriority w:val="99"/>
    <w:rPr>
      <w:color w:val="404040"/>
      <w:sz w:val="20"/>
      <w:szCs w:val="20"/>
      <w:lang w:val="it-IT" w:eastAsia="it-IT"/>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B2A1C7"/>
      </w:tcPr>
    </w:tblStylePr>
    <w:tblStylePr w:type="lastRow">
      <w:rPr>
        <w:rFonts w:ascii="Arial" w:hAnsi="Arial"/>
        <w:color w:val="F2F2F2"/>
        <w:sz w:val="22"/>
      </w:rPr>
      <w:tblPr/>
      <w:tcPr>
        <w:shd w:val="clear" w:color="auto" w:fill="B2A1C7"/>
      </w:tcPr>
    </w:tblStylePr>
    <w:tblStylePr w:type="firstCol">
      <w:rPr>
        <w:rFonts w:ascii="Arial" w:hAnsi="Arial"/>
        <w:color w:val="F2F2F2"/>
        <w:sz w:val="22"/>
      </w:rPr>
      <w:tblPr/>
      <w:tcPr>
        <w:shd w:val="clear" w:color="auto" w:fill="B2A1C7"/>
      </w:tcPr>
    </w:tblStylePr>
    <w:tblStylePr w:type="lastCol">
      <w:rPr>
        <w:rFonts w:ascii="Arial" w:hAnsi="Arial"/>
        <w:color w:val="F2F2F2"/>
        <w:sz w:val="22"/>
      </w:rPr>
      <w:tblPr/>
      <w:tcPr>
        <w:shd w:val="clear" w:color="auto" w:fill="B2A1C7"/>
      </w:tcPr>
    </w:tblStylePr>
    <w:tblStylePr w:type="band1Vert">
      <w:rPr>
        <w:rFonts w:ascii="Arial" w:hAnsi="Arial"/>
        <w:color w:val="404040"/>
        <w:sz w:val="22"/>
      </w:rPr>
    </w:tblStylePr>
    <w:tblStylePr w:type="band2Vert">
      <w:rPr>
        <w:rFonts w:ascii="Arial" w:hAnsi="Arial"/>
        <w:color w:val="404040"/>
        <w:sz w:val="22"/>
      </w:rPr>
      <w:tblPr/>
      <w:tcPr>
        <w:shd w:val="clear" w:color="auto" w:fill="E5DFEC"/>
      </w:tcPr>
    </w:tblStylePr>
    <w:tblStylePr w:type="band1Horz">
      <w:rPr>
        <w:rFonts w:ascii="Arial" w:hAnsi="Arial"/>
        <w:color w:val="404040"/>
        <w:sz w:val="22"/>
      </w:rPr>
    </w:tblStylePr>
    <w:tblStylePr w:type="band2Horz">
      <w:rPr>
        <w:rFonts w:ascii="Arial" w:hAnsi="Arial"/>
        <w:color w:val="404040"/>
        <w:sz w:val="22"/>
      </w:rPr>
      <w:tblPr/>
      <w:tcPr>
        <w:shd w:val="clear" w:color="auto" w:fill="E5DFEC"/>
      </w:tcPr>
    </w:tblStylePr>
  </w:style>
  <w:style w:type="table" w:customStyle="1" w:styleId="Lined-Accent5">
    <w:name w:val="Lined - Accent 5"/>
    <w:basedOn w:val="NormaleTabelle"/>
    <w:uiPriority w:val="99"/>
    <w:rPr>
      <w:color w:val="404040"/>
      <w:sz w:val="20"/>
      <w:szCs w:val="20"/>
      <w:lang w:val="it-IT" w:eastAsia="it-IT"/>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4BACC6"/>
      </w:tcPr>
    </w:tblStylePr>
    <w:tblStylePr w:type="lastRow">
      <w:rPr>
        <w:rFonts w:ascii="Arial" w:hAnsi="Arial"/>
        <w:color w:val="F2F2F2"/>
        <w:sz w:val="22"/>
      </w:rPr>
      <w:tblPr/>
      <w:tcPr>
        <w:shd w:val="clear" w:color="auto" w:fill="4BACC6"/>
      </w:tcPr>
    </w:tblStylePr>
    <w:tblStylePr w:type="firstCol">
      <w:rPr>
        <w:rFonts w:ascii="Arial" w:hAnsi="Arial"/>
        <w:color w:val="F2F2F2"/>
        <w:sz w:val="22"/>
      </w:rPr>
      <w:tblPr/>
      <w:tcPr>
        <w:shd w:val="clear" w:color="auto" w:fill="4BACC6"/>
      </w:tcPr>
    </w:tblStylePr>
    <w:tblStylePr w:type="lastCol">
      <w:rPr>
        <w:rFonts w:ascii="Arial" w:hAnsi="Arial"/>
        <w:color w:val="F2F2F2"/>
        <w:sz w:val="22"/>
      </w:rPr>
      <w:tblPr/>
      <w:tcPr>
        <w:shd w:val="clear" w:color="auto" w:fill="4BACC6"/>
      </w:tcPr>
    </w:tblStylePr>
    <w:tblStylePr w:type="band1Vert">
      <w:rPr>
        <w:rFonts w:ascii="Arial" w:hAnsi="Arial"/>
        <w:color w:val="404040"/>
        <w:sz w:val="22"/>
      </w:rPr>
    </w:tblStylePr>
    <w:tblStylePr w:type="band2Vert">
      <w:rPr>
        <w:rFonts w:ascii="Arial" w:hAnsi="Arial"/>
        <w:color w:val="404040"/>
        <w:sz w:val="22"/>
      </w:rPr>
      <w:tblPr/>
      <w:tcPr>
        <w:shd w:val="clear" w:color="auto" w:fill="DAEEF3"/>
      </w:tcPr>
    </w:tblStylePr>
    <w:tblStylePr w:type="band1Horz">
      <w:rPr>
        <w:rFonts w:ascii="Arial" w:hAnsi="Arial"/>
        <w:color w:val="404040"/>
        <w:sz w:val="22"/>
      </w:rPr>
    </w:tblStylePr>
    <w:tblStylePr w:type="band2Horz">
      <w:rPr>
        <w:rFonts w:ascii="Arial" w:hAnsi="Arial"/>
        <w:color w:val="404040"/>
        <w:sz w:val="22"/>
      </w:rPr>
      <w:tblPr/>
      <w:tcPr>
        <w:shd w:val="clear" w:color="auto" w:fill="DAEEF3"/>
      </w:tcPr>
    </w:tblStylePr>
  </w:style>
  <w:style w:type="table" w:customStyle="1" w:styleId="Lined-Accent6">
    <w:name w:val="Lined - Accent 6"/>
    <w:basedOn w:val="NormaleTabelle"/>
    <w:uiPriority w:val="99"/>
    <w:rPr>
      <w:color w:val="404040"/>
      <w:sz w:val="20"/>
      <w:szCs w:val="20"/>
      <w:lang w:val="it-IT" w:eastAsia="it-IT"/>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F79646"/>
      </w:tcPr>
    </w:tblStylePr>
    <w:tblStylePr w:type="lastRow">
      <w:rPr>
        <w:rFonts w:ascii="Arial" w:hAnsi="Arial"/>
        <w:color w:val="F2F2F2"/>
        <w:sz w:val="22"/>
      </w:rPr>
      <w:tblPr/>
      <w:tcPr>
        <w:shd w:val="clear" w:color="auto" w:fill="F79646"/>
      </w:tcPr>
    </w:tblStylePr>
    <w:tblStylePr w:type="firstCol">
      <w:rPr>
        <w:rFonts w:ascii="Arial" w:hAnsi="Arial"/>
        <w:color w:val="F2F2F2"/>
        <w:sz w:val="22"/>
      </w:rPr>
      <w:tblPr/>
      <w:tcPr>
        <w:shd w:val="clear" w:color="auto" w:fill="F79646"/>
      </w:tcPr>
    </w:tblStylePr>
    <w:tblStylePr w:type="lastCol">
      <w:rPr>
        <w:rFonts w:ascii="Arial" w:hAnsi="Arial"/>
        <w:color w:val="F2F2F2"/>
        <w:sz w:val="22"/>
      </w:rPr>
      <w:tblPr/>
      <w:tcPr>
        <w:shd w:val="clear" w:color="auto" w:fill="F79646"/>
      </w:tcPr>
    </w:tblStylePr>
    <w:tblStylePr w:type="band1Vert">
      <w:rPr>
        <w:rFonts w:ascii="Arial" w:hAnsi="Arial"/>
        <w:color w:val="404040"/>
        <w:sz w:val="22"/>
      </w:rPr>
    </w:tblStylePr>
    <w:tblStylePr w:type="band2Vert">
      <w:rPr>
        <w:rFonts w:ascii="Arial" w:hAnsi="Arial"/>
        <w:color w:val="404040"/>
        <w:sz w:val="22"/>
      </w:rPr>
      <w:tblPr/>
      <w:tcPr>
        <w:shd w:val="clear" w:color="auto" w:fill="FDE9D9"/>
      </w:tcPr>
    </w:tblStylePr>
    <w:tblStylePr w:type="band1Horz">
      <w:rPr>
        <w:rFonts w:ascii="Arial" w:hAnsi="Arial"/>
        <w:color w:val="404040"/>
        <w:sz w:val="22"/>
      </w:rPr>
    </w:tblStylePr>
    <w:tblStylePr w:type="band2Horz">
      <w:rPr>
        <w:rFonts w:ascii="Arial" w:hAnsi="Arial"/>
        <w:color w:val="404040"/>
        <w:sz w:val="22"/>
      </w:rPr>
      <w:tblPr/>
      <w:tcPr>
        <w:shd w:val="clear" w:color="auto" w:fill="FDE9D9"/>
      </w:tcPr>
    </w:tblStylePr>
  </w:style>
  <w:style w:type="table" w:customStyle="1" w:styleId="Bordered">
    <w:name w:val="Bordered"/>
    <w:basedOn w:val="NormaleTabelle"/>
    <w:uiPriority w:val="99"/>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Pr/>
      <w:tcPr>
        <w:tcBorders>
          <w:right w:val="single" w:sz="12" w:space="0" w:color="7F7F7F"/>
        </w:tcBorders>
      </w:tc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
    <w:name w:val="Bordered - Accent 1"/>
    <w:basedOn w:val="NormaleTabelle"/>
    <w:uiPriority w:val="99"/>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Pr/>
      <w:tcPr>
        <w:tcBorders>
          <w:right w:val="single" w:sz="12" w:space="0" w:color="4F81BD"/>
        </w:tcBorders>
      </w:tc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8CCE4"/>
          <w:left w:val="single" w:sz="4" w:space="0" w:color="B8CCE4"/>
          <w:bottom w:val="single" w:sz="4" w:space="0" w:color="B8CCE4"/>
          <w:right w:val="single" w:sz="4" w:space="0" w:color="B8CCE4"/>
        </w:tcBorders>
      </w:tcPr>
    </w:tblStylePr>
  </w:style>
  <w:style w:type="table" w:customStyle="1" w:styleId="Bordered-Accent2">
    <w:name w:val="Bordered - Accent 2"/>
    <w:basedOn w:val="NormaleTabelle"/>
    <w:uiPriority w:val="99"/>
    <w:tblPr>
      <w:tblStyleRowBandSize w:val="1"/>
      <w:tblStyleColBandSize w:val="1"/>
      <w:tblBorders>
        <w:top w:val="single" w:sz="4" w:space="0" w:color="E5B8B7"/>
        <w:left w:val="single" w:sz="4" w:space="0" w:color="E5B8B7"/>
        <w:bottom w:val="single" w:sz="4" w:space="0" w:color="E5B8B7"/>
        <w:right w:val="single" w:sz="4" w:space="0" w:color="E5B8B7"/>
        <w:insideH w:val="single" w:sz="4" w:space="0" w:color="E5B8B7"/>
        <w:insideV w:val="single" w:sz="4" w:space="0" w:color="E5B8B7"/>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D99594"/>
        </w:tcBorders>
      </w:tcPr>
    </w:tblStylePr>
    <w:tblStylePr w:type="lastRow">
      <w:rPr>
        <w:rFonts w:ascii="Arial" w:hAnsi="Arial"/>
        <w:color w:val="404040"/>
        <w:sz w:val="22"/>
      </w:rPr>
      <w:tblPr/>
      <w:tcPr>
        <w:tcBorders>
          <w:top w:val="single" w:sz="12" w:space="0" w:color="D99594"/>
        </w:tcBorders>
      </w:tcPr>
    </w:tblStylePr>
    <w:tblStylePr w:type="firstCol">
      <w:rPr>
        <w:rFonts w:ascii="Arial" w:hAnsi="Arial"/>
        <w:color w:val="404040"/>
        <w:sz w:val="22"/>
      </w:rPr>
      <w:tblPr/>
      <w:tcPr>
        <w:tcBorders>
          <w:right w:val="single" w:sz="12" w:space="0" w:color="D99594"/>
        </w:tcBorders>
      </w:tcPr>
    </w:tblStylePr>
    <w:tblStylePr w:type="lastCol">
      <w:rPr>
        <w:rFonts w:ascii="Arial" w:hAnsi="Arial"/>
        <w:color w:val="404040"/>
        <w:sz w:val="22"/>
      </w:rPr>
      <w:tblPr/>
      <w:tcPr>
        <w:tcBorders>
          <w:left w:val="single" w:sz="12" w:space="0" w:color="D99594"/>
        </w:tcBorders>
      </w:tcPr>
    </w:tblStylePr>
    <w:tblStylePr w:type="band1Horz">
      <w:rPr>
        <w:rFonts w:ascii="Arial" w:hAnsi="Arial"/>
        <w:color w:val="404040"/>
        <w:sz w:val="22"/>
      </w:rPr>
      <w:tblPr/>
      <w:tcPr>
        <w:tcBorders>
          <w:top w:val="single" w:sz="4" w:space="0" w:color="E5B8B7"/>
          <w:left w:val="single" w:sz="4" w:space="0" w:color="E5B8B7"/>
          <w:bottom w:val="single" w:sz="4" w:space="0" w:color="E5B8B7"/>
          <w:right w:val="single" w:sz="4" w:space="0" w:color="E5B8B7"/>
        </w:tcBorders>
      </w:tcPr>
    </w:tblStylePr>
  </w:style>
  <w:style w:type="table" w:customStyle="1" w:styleId="Bordered-Accent3">
    <w:name w:val="Bordered - Accent 3"/>
    <w:basedOn w:val="NormaleTabelle"/>
    <w:uiPriority w:val="99"/>
    <w:tblPr>
      <w:tblStyleRowBandSize w:val="1"/>
      <w:tblStyleColBandSize w:val="1"/>
      <w:tblBorders>
        <w:top w:val="single" w:sz="4" w:space="0" w:color="D6E3BC"/>
        <w:left w:val="single" w:sz="4" w:space="0" w:color="D6E3BC"/>
        <w:bottom w:val="single" w:sz="4" w:space="0" w:color="D6E3BC"/>
        <w:right w:val="single" w:sz="4" w:space="0" w:color="D6E3BC"/>
        <w:insideH w:val="single" w:sz="4" w:space="0" w:color="D6E3BC"/>
        <w:insideV w:val="single" w:sz="4" w:space="0" w:color="D6E3BC"/>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C2D69B"/>
        </w:tcBorders>
      </w:tcPr>
    </w:tblStylePr>
    <w:tblStylePr w:type="lastRow">
      <w:rPr>
        <w:rFonts w:ascii="Arial" w:hAnsi="Arial"/>
        <w:color w:val="404040"/>
        <w:sz w:val="22"/>
      </w:rPr>
      <w:tblPr/>
      <w:tcPr>
        <w:tcBorders>
          <w:top w:val="single" w:sz="12" w:space="0" w:color="C2D69B"/>
        </w:tcBorders>
      </w:tcPr>
    </w:tblStylePr>
    <w:tblStylePr w:type="firstCol">
      <w:rPr>
        <w:rFonts w:ascii="Arial" w:hAnsi="Arial"/>
        <w:color w:val="404040"/>
        <w:sz w:val="22"/>
      </w:rPr>
      <w:tblPr/>
      <w:tcPr>
        <w:tcBorders>
          <w:right w:val="single" w:sz="12" w:space="0" w:color="C2D69B"/>
        </w:tcBorders>
      </w:tcPr>
    </w:tblStylePr>
    <w:tblStylePr w:type="lastCol">
      <w:rPr>
        <w:rFonts w:ascii="Arial" w:hAnsi="Arial"/>
        <w:color w:val="404040"/>
        <w:sz w:val="22"/>
      </w:rPr>
      <w:tblPr/>
      <w:tcPr>
        <w:tcBorders>
          <w:left w:val="single" w:sz="12" w:space="0" w:color="C2D69B"/>
        </w:tcBorders>
      </w:tcPr>
    </w:tblStylePr>
    <w:tblStylePr w:type="band1Horz">
      <w:rPr>
        <w:rFonts w:ascii="Arial" w:hAnsi="Arial"/>
        <w:color w:val="404040"/>
        <w:sz w:val="22"/>
      </w:rPr>
      <w:tblPr/>
      <w:tcPr>
        <w:tcBorders>
          <w:top w:val="single" w:sz="4" w:space="0" w:color="D6E3BC"/>
          <w:left w:val="single" w:sz="4" w:space="0" w:color="D6E3BC"/>
          <w:bottom w:val="single" w:sz="4" w:space="0" w:color="D6E3BC"/>
          <w:right w:val="single" w:sz="4" w:space="0" w:color="D6E3BC"/>
        </w:tcBorders>
      </w:tcPr>
    </w:tblStylePr>
  </w:style>
  <w:style w:type="table" w:customStyle="1" w:styleId="Bordered-Accent4">
    <w:name w:val="Bordered - Accent 4"/>
    <w:basedOn w:val="NormaleTabelle"/>
    <w:uiPriority w:val="99"/>
    <w:tblPr>
      <w:tblStyleRowBandSize w:val="1"/>
      <w:tblStyleColBandSize w:val="1"/>
      <w:tblBorders>
        <w:top w:val="single" w:sz="4" w:space="0" w:color="CCC0D9"/>
        <w:left w:val="single" w:sz="4" w:space="0" w:color="CCC0D9"/>
        <w:bottom w:val="single" w:sz="4" w:space="0" w:color="CCC0D9"/>
        <w:right w:val="single" w:sz="4" w:space="0" w:color="CCC0D9"/>
        <w:insideH w:val="single" w:sz="4" w:space="0" w:color="CCC0D9"/>
        <w:insideV w:val="single" w:sz="4" w:space="0" w:color="CCC0D9"/>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B2A1C7"/>
        </w:tcBorders>
      </w:tcPr>
    </w:tblStylePr>
    <w:tblStylePr w:type="lastRow">
      <w:rPr>
        <w:rFonts w:ascii="Arial" w:hAnsi="Arial"/>
        <w:color w:val="404040"/>
        <w:sz w:val="22"/>
      </w:rPr>
      <w:tblPr/>
      <w:tcPr>
        <w:tcBorders>
          <w:top w:val="single" w:sz="12" w:space="0" w:color="B2A1C7"/>
        </w:tcBorders>
      </w:tcPr>
    </w:tblStylePr>
    <w:tblStylePr w:type="firstCol">
      <w:rPr>
        <w:rFonts w:ascii="Arial" w:hAnsi="Arial"/>
        <w:color w:val="404040"/>
        <w:sz w:val="22"/>
      </w:rPr>
      <w:tblPr/>
      <w:tcPr>
        <w:tcBorders>
          <w:right w:val="single" w:sz="12" w:space="0" w:color="B2A1C7"/>
        </w:tcBorders>
      </w:tcPr>
    </w:tblStylePr>
    <w:tblStylePr w:type="lastCol">
      <w:rPr>
        <w:rFonts w:ascii="Arial" w:hAnsi="Arial"/>
        <w:color w:val="404040"/>
        <w:sz w:val="22"/>
      </w:rPr>
      <w:tblPr/>
      <w:tcPr>
        <w:tcBorders>
          <w:left w:val="single" w:sz="12" w:space="0" w:color="B2A1C7"/>
        </w:tcBorders>
      </w:tcPr>
    </w:tblStylePr>
    <w:tblStylePr w:type="band1Horz">
      <w:rPr>
        <w:rFonts w:ascii="Arial" w:hAnsi="Arial"/>
        <w:color w:val="404040"/>
        <w:sz w:val="22"/>
      </w:rPr>
      <w:tblPr/>
      <w:tcPr>
        <w:tcBorders>
          <w:top w:val="single" w:sz="4" w:space="0" w:color="CCC0D9"/>
          <w:left w:val="single" w:sz="4" w:space="0" w:color="CCC0D9"/>
          <w:bottom w:val="single" w:sz="4" w:space="0" w:color="CCC0D9"/>
          <w:right w:val="single" w:sz="4" w:space="0" w:color="CCC0D9"/>
        </w:tcBorders>
      </w:tcPr>
    </w:tblStylePr>
  </w:style>
  <w:style w:type="table" w:customStyle="1" w:styleId="Bordered-Accent5">
    <w:name w:val="Bordered - Accent 5"/>
    <w:basedOn w:val="NormaleTabelle"/>
    <w:uiPriority w:val="99"/>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92CDDC"/>
        </w:tcBorders>
      </w:tcPr>
    </w:tblStylePr>
    <w:tblStylePr w:type="lastRow">
      <w:rPr>
        <w:rFonts w:ascii="Arial" w:hAnsi="Arial"/>
        <w:color w:val="404040"/>
        <w:sz w:val="22"/>
      </w:rPr>
      <w:tblPr/>
      <w:tcPr>
        <w:tcBorders>
          <w:top w:val="single" w:sz="12" w:space="0" w:color="92CDDC"/>
        </w:tcBorders>
      </w:tcPr>
    </w:tblStylePr>
    <w:tblStylePr w:type="firstCol">
      <w:rPr>
        <w:rFonts w:ascii="Arial" w:hAnsi="Arial"/>
        <w:color w:val="404040"/>
        <w:sz w:val="22"/>
      </w:rPr>
      <w:tblPr/>
      <w:tcPr>
        <w:tcBorders>
          <w:right w:val="single" w:sz="12" w:space="0" w:color="92CDDC"/>
        </w:tcBorders>
      </w:tcPr>
    </w:tblStylePr>
    <w:tblStylePr w:type="lastCol">
      <w:rPr>
        <w:rFonts w:ascii="Arial" w:hAnsi="Arial"/>
        <w:color w:val="404040"/>
        <w:sz w:val="22"/>
      </w:rPr>
      <w:tblPr/>
      <w:tcPr>
        <w:tcBorders>
          <w:left w:val="single" w:sz="12" w:space="0" w:color="92CD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
    <w:name w:val="Bordered - Accent 6"/>
    <w:basedOn w:val="NormaleTabelle"/>
    <w:uiPriority w:val="99"/>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FABF8F"/>
        </w:tcBorders>
      </w:tcPr>
    </w:tblStylePr>
    <w:tblStylePr w:type="lastRow">
      <w:rPr>
        <w:rFonts w:ascii="Arial" w:hAnsi="Arial"/>
        <w:color w:val="404040"/>
        <w:sz w:val="22"/>
      </w:rPr>
      <w:tblPr/>
      <w:tcPr>
        <w:tcBorders>
          <w:top w:val="single" w:sz="12" w:space="0" w:color="FABF8F"/>
        </w:tcBorders>
      </w:tcPr>
    </w:tblStylePr>
    <w:tblStylePr w:type="firstCol">
      <w:rPr>
        <w:rFonts w:ascii="Arial" w:hAnsi="Arial"/>
        <w:color w:val="404040"/>
        <w:sz w:val="22"/>
      </w:rPr>
      <w:tblPr/>
      <w:tcPr>
        <w:tcBorders>
          <w:right w:val="single" w:sz="12" w:space="0" w:color="FABF8F"/>
        </w:tcBorders>
      </w:tcPr>
    </w:tblStylePr>
    <w:tblStylePr w:type="lastCol">
      <w:rPr>
        <w:rFonts w:ascii="Arial" w:hAnsi="Arial"/>
        <w:color w:val="404040"/>
        <w:sz w:val="22"/>
      </w:rPr>
      <w:tblPr/>
      <w:tcPr>
        <w:tcBorders>
          <w:left w:val="single" w:sz="12" w:space="0" w:color="FABF8F"/>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BorderedLined">
    <w:name w:val="Bordered &amp; Lined"/>
    <w:basedOn w:val="NormaleTabelle"/>
    <w:uiPriority w:val="99"/>
    <w:rPr>
      <w:color w:val="404040"/>
      <w:sz w:val="20"/>
      <w:szCs w:val="20"/>
      <w:lang w:val="it-IT" w:eastAsia="it-IT"/>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CellMar>
        <w:top w:w="96" w:type="dxa"/>
        <w:left w:w="170" w:type="dxa"/>
        <w:bottom w:w="96" w:type="dxa"/>
        <w:right w:w="170" w:type="dxa"/>
      </w:tblCellMar>
    </w:tblPr>
    <w:tblStylePr w:type="firstRow">
      <w:rPr>
        <w:rFonts w:ascii="Arial" w:hAnsi="Arial"/>
        <w:color w:val="F2F2F2"/>
        <w:sz w:val="22"/>
      </w:rPr>
      <w:tblPr/>
      <w:tcPr>
        <w:shd w:val="clear" w:color="auto" w:fill="7F7F7F"/>
      </w:tcPr>
    </w:tblStylePr>
    <w:tblStylePr w:type="lastRow">
      <w:rPr>
        <w:rFonts w:ascii="Arial" w:hAnsi="Arial"/>
        <w:color w:val="F2F2F2"/>
        <w:sz w:val="22"/>
      </w:rPr>
      <w:tblPr/>
      <w:tcPr>
        <w:shd w:val="clear" w:color="auto" w:fill="7F7F7F"/>
      </w:tcPr>
    </w:tblStylePr>
    <w:tblStylePr w:type="firstCol">
      <w:rPr>
        <w:rFonts w:ascii="Arial" w:hAnsi="Arial"/>
        <w:color w:val="F2F2F2"/>
        <w:sz w:val="22"/>
      </w:rPr>
      <w:tblPr/>
      <w:tcPr>
        <w:shd w:val="clear" w:color="auto" w:fill="7F7F7F"/>
      </w:tcPr>
    </w:tblStylePr>
    <w:tblStylePr w:type="lastCol">
      <w:rPr>
        <w:rFonts w:ascii="Arial" w:hAnsi="Arial"/>
        <w:color w:val="F2F2F2"/>
        <w:sz w:val="22"/>
      </w:rPr>
      <w:tblPr/>
      <w:tcPr>
        <w:shd w:val="clear" w:color="auto" w:fill="7F7F7F"/>
      </w:tcPr>
    </w:tblStylePr>
    <w:tblStylePr w:type="band1Vert">
      <w:rPr>
        <w:rFonts w:ascii="Arial" w:hAnsi="Arial"/>
        <w:color w:val="404040"/>
        <w:sz w:val="22"/>
      </w:rPr>
    </w:tblStylePr>
    <w:tblStylePr w:type="band2Vert">
      <w:rPr>
        <w:rFonts w:ascii="Arial" w:hAnsi="Arial"/>
        <w:color w:val="404040"/>
        <w:sz w:val="22"/>
      </w:rPr>
      <w:tblPr/>
      <w:tcPr>
        <w:shd w:val="clear" w:color="auto" w:fill="D9D9D9"/>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cPr>
    </w:tblStylePr>
  </w:style>
  <w:style w:type="table" w:customStyle="1" w:styleId="BorderedLined-Accent1">
    <w:name w:val="Bordered &amp; Lined - Accent 1"/>
    <w:basedOn w:val="NormaleTabelle"/>
    <w:uiPriority w:val="99"/>
    <w:rPr>
      <w:color w:val="404040"/>
      <w:sz w:val="20"/>
      <w:szCs w:val="20"/>
      <w:lang w:val="it-IT" w:eastAsia="it-IT"/>
    </w:rPr>
    <w:tblPr>
      <w:tblStyleRowBandSize w:val="1"/>
      <w:tblStyleColBandSize w:val="1"/>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CellMar>
        <w:top w:w="96" w:type="dxa"/>
        <w:left w:w="170" w:type="dxa"/>
        <w:bottom w:w="96" w:type="dxa"/>
        <w:right w:w="170" w:type="dxa"/>
      </w:tblCellMar>
    </w:tblPr>
    <w:tblStylePr w:type="firstRow">
      <w:rPr>
        <w:rFonts w:ascii="Arial" w:hAnsi="Arial"/>
        <w:color w:val="F2F2F2"/>
        <w:sz w:val="22"/>
      </w:rPr>
      <w:tblPr/>
      <w:tcPr>
        <w:shd w:val="clear" w:color="auto" w:fill="548DD4"/>
      </w:tcPr>
    </w:tblStylePr>
    <w:tblStylePr w:type="lastRow">
      <w:rPr>
        <w:rFonts w:ascii="Arial" w:hAnsi="Arial"/>
        <w:color w:val="F2F2F2"/>
        <w:sz w:val="22"/>
      </w:rPr>
      <w:tblPr/>
      <w:tcPr>
        <w:shd w:val="clear" w:color="auto" w:fill="548DD4"/>
      </w:tcPr>
    </w:tblStylePr>
    <w:tblStylePr w:type="firstCol">
      <w:rPr>
        <w:rFonts w:ascii="Arial" w:hAnsi="Arial"/>
        <w:color w:val="F2F2F2"/>
        <w:sz w:val="22"/>
      </w:rPr>
      <w:tblPr/>
      <w:tcPr>
        <w:shd w:val="clear" w:color="auto" w:fill="548DD4"/>
      </w:tcPr>
    </w:tblStylePr>
    <w:tblStylePr w:type="lastCol">
      <w:rPr>
        <w:rFonts w:ascii="Arial" w:hAnsi="Arial"/>
        <w:color w:val="F2F2F2"/>
        <w:sz w:val="22"/>
      </w:rPr>
      <w:tblPr/>
      <w:tcPr>
        <w:shd w:val="clear" w:color="auto" w:fill="548DD4"/>
      </w:tcPr>
    </w:tblStylePr>
    <w:tblStylePr w:type="band1Vert">
      <w:rPr>
        <w:rFonts w:ascii="Arial" w:hAnsi="Arial"/>
        <w:color w:val="404040"/>
        <w:sz w:val="22"/>
      </w:rPr>
    </w:tblStylePr>
    <w:tblStylePr w:type="band2Vert">
      <w:rPr>
        <w:rFonts w:ascii="Arial" w:hAnsi="Arial"/>
        <w:color w:val="404040"/>
        <w:sz w:val="22"/>
      </w:rPr>
      <w:tblPr/>
      <w:tcPr>
        <w:shd w:val="clear" w:color="auto" w:fill="C6D9F1"/>
      </w:tcPr>
    </w:tblStylePr>
    <w:tblStylePr w:type="band1Horz">
      <w:rPr>
        <w:rFonts w:ascii="Arial" w:hAnsi="Arial"/>
        <w:color w:val="404040"/>
        <w:sz w:val="22"/>
      </w:rPr>
    </w:tblStylePr>
    <w:tblStylePr w:type="band2Horz">
      <w:rPr>
        <w:rFonts w:ascii="Arial" w:hAnsi="Arial"/>
        <w:color w:val="404040"/>
        <w:sz w:val="22"/>
      </w:rPr>
      <w:tblPr/>
      <w:tcPr>
        <w:shd w:val="clear" w:color="auto" w:fill="C6D9F1"/>
      </w:tcPr>
    </w:tblStylePr>
  </w:style>
  <w:style w:type="table" w:customStyle="1" w:styleId="BorderedLined-Accent2">
    <w:name w:val="Bordered &amp; Lined - Accent 2"/>
    <w:basedOn w:val="NormaleTabelle"/>
    <w:uiPriority w:val="99"/>
    <w:rPr>
      <w:color w:val="404040"/>
      <w:sz w:val="20"/>
      <w:szCs w:val="20"/>
      <w:lang w:val="it-IT" w:eastAsia="it-IT"/>
    </w:rPr>
    <w:tblPr>
      <w:tblStyleRowBandSize w:val="1"/>
      <w:tblStyleColBandSize w:val="1"/>
      <w:tblBorders>
        <w:top w:val="single" w:sz="4" w:space="0" w:color="C0504D"/>
        <w:left w:val="single" w:sz="4" w:space="0" w:color="C0504D"/>
        <w:bottom w:val="single" w:sz="4" w:space="0" w:color="C0504D"/>
        <w:right w:val="single" w:sz="4" w:space="0" w:color="C0504D"/>
        <w:insideH w:val="single" w:sz="4" w:space="0" w:color="C0504D"/>
        <w:insideV w:val="single" w:sz="4" w:space="0" w:color="C0504D"/>
      </w:tblBorders>
      <w:tblCellMar>
        <w:top w:w="96" w:type="dxa"/>
        <w:left w:w="170" w:type="dxa"/>
        <w:bottom w:w="96" w:type="dxa"/>
        <w:right w:w="170" w:type="dxa"/>
      </w:tblCellMar>
    </w:tblPr>
    <w:tblStylePr w:type="firstRow">
      <w:rPr>
        <w:rFonts w:ascii="Arial" w:hAnsi="Arial"/>
        <w:color w:val="F2F2F2"/>
        <w:sz w:val="22"/>
      </w:rPr>
      <w:tblPr/>
      <w:tcPr>
        <w:shd w:val="clear" w:color="auto" w:fill="D99594"/>
      </w:tcPr>
    </w:tblStylePr>
    <w:tblStylePr w:type="lastRow">
      <w:rPr>
        <w:rFonts w:ascii="Arial" w:hAnsi="Arial"/>
        <w:color w:val="F2F2F2"/>
        <w:sz w:val="22"/>
      </w:rPr>
      <w:tblPr/>
      <w:tcPr>
        <w:shd w:val="clear" w:color="auto" w:fill="D99594"/>
      </w:tcPr>
    </w:tblStylePr>
    <w:tblStylePr w:type="firstCol">
      <w:rPr>
        <w:rFonts w:ascii="Arial" w:hAnsi="Arial"/>
        <w:color w:val="F2F2F2"/>
        <w:sz w:val="22"/>
      </w:rPr>
      <w:tblPr/>
      <w:tcPr>
        <w:shd w:val="clear" w:color="auto" w:fill="D99594"/>
      </w:tcPr>
    </w:tblStylePr>
    <w:tblStylePr w:type="lastCol">
      <w:rPr>
        <w:rFonts w:ascii="Arial" w:hAnsi="Arial"/>
        <w:color w:val="F2F2F2"/>
        <w:sz w:val="22"/>
      </w:rPr>
      <w:tblPr/>
      <w:tcPr>
        <w:shd w:val="clear" w:color="auto" w:fill="D99594"/>
      </w:tcPr>
    </w:tblStylePr>
    <w:tblStylePr w:type="band1Vert">
      <w:rPr>
        <w:rFonts w:ascii="Arial" w:hAnsi="Arial"/>
        <w:color w:val="404040"/>
        <w:sz w:val="22"/>
      </w:rPr>
    </w:tblStylePr>
    <w:tblStylePr w:type="band2Vert">
      <w:rPr>
        <w:rFonts w:ascii="Arial" w:hAnsi="Arial"/>
        <w:color w:val="404040"/>
        <w:sz w:val="22"/>
      </w:rPr>
      <w:tblPr/>
      <w:tcPr>
        <w:shd w:val="clear" w:color="auto" w:fill="F2DBDB"/>
      </w:tcPr>
    </w:tblStylePr>
    <w:tblStylePr w:type="band1Horz">
      <w:rPr>
        <w:rFonts w:ascii="Arial" w:hAnsi="Arial"/>
        <w:color w:val="404040"/>
        <w:sz w:val="22"/>
      </w:rPr>
    </w:tblStylePr>
    <w:tblStylePr w:type="band2Horz">
      <w:rPr>
        <w:rFonts w:ascii="Arial" w:hAnsi="Arial"/>
        <w:color w:val="404040"/>
        <w:sz w:val="22"/>
      </w:rPr>
      <w:tblPr/>
      <w:tcPr>
        <w:shd w:val="clear" w:color="auto" w:fill="F2DBDB"/>
      </w:tcPr>
    </w:tblStylePr>
  </w:style>
  <w:style w:type="table" w:customStyle="1" w:styleId="BorderedLined-Accent3">
    <w:name w:val="Bordered &amp; Lined - Accent 3"/>
    <w:basedOn w:val="NormaleTabelle"/>
    <w:uiPriority w:val="99"/>
    <w:rPr>
      <w:color w:val="404040"/>
      <w:sz w:val="20"/>
      <w:szCs w:val="20"/>
      <w:lang w:val="it-IT" w:eastAsia="it-IT"/>
    </w:rPr>
    <w:tblPr>
      <w:tblStyleRowBandSize w:val="1"/>
      <w:tblStyleColBandSize w:val="1"/>
      <w:tblBorders>
        <w:top w:val="single" w:sz="4" w:space="0" w:color="76923C"/>
        <w:left w:val="single" w:sz="4" w:space="0" w:color="76923C"/>
        <w:bottom w:val="single" w:sz="4" w:space="0" w:color="76923C"/>
        <w:right w:val="single" w:sz="4" w:space="0" w:color="76923C"/>
        <w:insideH w:val="single" w:sz="4" w:space="0" w:color="76923C"/>
        <w:insideV w:val="single" w:sz="4" w:space="0" w:color="76923C"/>
      </w:tblBorders>
      <w:tblCellMar>
        <w:top w:w="96" w:type="dxa"/>
        <w:left w:w="170" w:type="dxa"/>
        <w:bottom w:w="96" w:type="dxa"/>
        <w:right w:w="170" w:type="dxa"/>
      </w:tblCellMar>
    </w:tblPr>
    <w:tblStylePr w:type="firstRow">
      <w:rPr>
        <w:rFonts w:ascii="Arial" w:hAnsi="Arial"/>
        <w:color w:val="F2F2F2"/>
        <w:sz w:val="22"/>
      </w:rPr>
      <w:tblPr/>
      <w:tcPr>
        <w:shd w:val="clear" w:color="auto" w:fill="9BBB59"/>
      </w:tcPr>
    </w:tblStylePr>
    <w:tblStylePr w:type="lastRow">
      <w:rPr>
        <w:rFonts w:ascii="Arial" w:hAnsi="Arial"/>
        <w:color w:val="F2F2F2"/>
        <w:sz w:val="22"/>
      </w:rPr>
      <w:tblPr/>
      <w:tcPr>
        <w:shd w:val="clear" w:color="auto" w:fill="9BBB59"/>
      </w:tcPr>
    </w:tblStylePr>
    <w:tblStylePr w:type="firstCol">
      <w:rPr>
        <w:rFonts w:ascii="Arial" w:hAnsi="Arial"/>
        <w:color w:val="F2F2F2"/>
        <w:sz w:val="22"/>
      </w:rPr>
      <w:tblPr/>
      <w:tcPr>
        <w:shd w:val="clear" w:color="auto" w:fill="9BBB59"/>
      </w:tcPr>
    </w:tblStylePr>
    <w:tblStylePr w:type="lastCol">
      <w:rPr>
        <w:rFonts w:ascii="Arial" w:hAnsi="Arial"/>
        <w:color w:val="F2F2F2"/>
        <w:sz w:val="22"/>
      </w:rPr>
      <w:tblPr/>
      <w:tcPr>
        <w:shd w:val="clear" w:color="auto" w:fill="9BBB59"/>
      </w:tcPr>
    </w:tblStylePr>
    <w:tblStylePr w:type="band1Vert">
      <w:rPr>
        <w:rFonts w:ascii="Arial" w:hAnsi="Arial"/>
        <w:color w:val="404040"/>
        <w:sz w:val="22"/>
      </w:rPr>
    </w:tblStylePr>
    <w:tblStylePr w:type="band2Vert">
      <w:rPr>
        <w:rFonts w:ascii="Arial" w:hAnsi="Arial"/>
        <w:color w:val="404040"/>
        <w:sz w:val="22"/>
      </w:rPr>
      <w:tblPr/>
      <w:tcPr>
        <w:shd w:val="clear" w:color="auto" w:fill="EAF1DD"/>
      </w:tcPr>
    </w:tblStylePr>
    <w:tblStylePr w:type="band1Horz">
      <w:rPr>
        <w:rFonts w:ascii="Arial" w:hAnsi="Arial"/>
        <w:color w:val="404040"/>
        <w:sz w:val="22"/>
      </w:rPr>
    </w:tblStylePr>
    <w:tblStylePr w:type="band2Horz">
      <w:rPr>
        <w:rFonts w:ascii="Arial" w:hAnsi="Arial"/>
        <w:color w:val="404040"/>
        <w:sz w:val="22"/>
      </w:rPr>
      <w:tblPr/>
      <w:tcPr>
        <w:shd w:val="clear" w:color="auto" w:fill="EAF1DD"/>
      </w:tcPr>
    </w:tblStylePr>
  </w:style>
  <w:style w:type="table" w:customStyle="1" w:styleId="BorderedLined-Accent4">
    <w:name w:val="Bordered &amp; Lined - Accent 4"/>
    <w:basedOn w:val="NormaleTabelle"/>
    <w:uiPriority w:val="99"/>
    <w:rPr>
      <w:color w:val="404040"/>
      <w:sz w:val="20"/>
      <w:szCs w:val="20"/>
      <w:lang w:val="it-IT" w:eastAsia="it-IT"/>
    </w:rPr>
    <w:tblPr>
      <w:tblStyleRowBandSize w:val="1"/>
      <w:tblStyleColBandSize w:val="1"/>
      <w:tblBorders>
        <w:top w:val="single" w:sz="4" w:space="0" w:color="8064A2"/>
        <w:left w:val="single" w:sz="4" w:space="0" w:color="8064A2"/>
        <w:bottom w:val="single" w:sz="4" w:space="0" w:color="8064A2"/>
        <w:right w:val="single" w:sz="4" w:space="0" w:color="8064A2"/>
        <w:insideH w:val="single" w:sz="4" w:space="0" w:color="8064A2"/>
        <w:insideV w:val="single" w:sz="4" w:space="0" w:color="8064A2"/>
      </w:tblBorders>
      <w:tblCellMar>
        <w:top w:w="96" w:type="dxa"/>
        <w:left w:w="170" w:type="dxa"/>
        <w:bottom w:w="96" w:type="dxa"/>
        <w:right w:w="170" w:type="dxa"/>
      </w:tblCellMar>
    </w:tblPr>
    <w:tblStylePr w:type="firstRow">
      <w:rPr>
        <w:rFonts w:ascii="Arial" w:hAnsi="Arial"/>
        <w:color w:val="F2F2F2"/>
        <w:sz w:val="22"/>
      </w:rPr>
      <w:tblPr/>
      <w:tcPr>
        <w:shd w:val="clear" w:color="auto" w:fill="B2A1C7"/>
      </w:tcPr>
    </w:tblStylePr>
    <w:tblStylePr w:type="lastRow">
      <w:rPr>
        <w:rFonts w:ascii="Arial" w:hAnsi="Arial"/>
        <w:color w:val="F2F2F2"/>
        <w:sz w:val="22"/>
      </w:rPr>
      <w:tblPr/>
      <w:tcPr>
        <w:shd w:val="clear" w:color="auto" w:fill="B2A1C7"/>
      </w:tcPr>
    </w:tblStylePr>
    <w:tblStylePr w:type="firstCol">
      <w:rPr>
        <w:rFonts w:ascii="Arial" w:hAnsi="Arial"/>
        <w:color w:val="F2F2F2"/>
        <w:sz w:val="22"/>
      </w:rPr>
      <w:tblPr/>
      <w:tcPr>
        <w:shd w:val="clear" w:color="auto" w:fill="B2A1C7"/>
      </w:tcPr>
    </w:tblStylePr>
    <w:tblStylePr w:type="lastCol">
      <w:rPr>
        <w:rFonts w:ascii="Arial" w:hAnsi="Arial"/>
        <w:color w:val="F2F2F2"/>
        <w:sz w:val="22"/>
      </w:rPr>
      <w:tblPr/>
      <w:tcPr>
        <w:shd w:val="clear" w:color="auto" w:fill="B2A1C7"/>
      </w:tcPr>
    </w:tblStylePr>
    <w:tblStylePr w:type="band1Vert">
      <w:rPr>
        <w:rFonts w:ascii="Arial" w:hAnsi="Arial"/>
        <w:color w:val="404040"/>
        <w:sz w:val="22"/>
      </w:rPr>
    </w:tblStylePr>
    <w:tblStylePr w:type="band2Vert">
      <w:rPr>
        <w:rFonts w:ascii="Arial" w:hAnsi="Arial"/>
        <w:color w:val="404040"/>
        <w:sz w:val="22"/>
      </w:rPr>
      <w:tblPr/>
      <w:tcPr>
        <w:shd w:val="clear" w:color="auto" w:fill="E5DFEC"/>
      </w:tcPr>
    </w:tblStylePr>
    <w:tblStylePr w:type="band1Horz">
      <w:rPr>
        <w:rFonts w:ascii="Arial" w:hAnsi="Arial"/>
        <w:color w:val="404040"/>
        <w:sz w:val="22"/>
      </w:rPr>
    </w:tblStylePr>
    <w:tblStylePr w:type="band2Horz">
      <w:rPr>
        <w:rFonts w:ascii="Arial" w:hAnsi="Arial"/>
        <w:color w:val="404040"/>
        <w:sz w:val="22"/>
      </w:rPr>
      <w:tblPr/>
      <w:tcPr>
        <w:shd w:val="clear" w:color="auto" w:fill="E5DFEC"/>
      </w:tcPr>
    </w:tblStylePr>
  </w:style>
  <w:style w:type="table" w:customStyle="1" w:styleId="BorderedLined-Accent5">
    <w:name w:val="Bordered &amp; Lined - Accent 5"/>
    <w:basedOn w:val="NormaleTabelle"/>
    <w:uiPriority w:val="99"/>
    <w:rPr>
      <w:color w:val="404040"/>
      <w:sz w:val="20"/>
      <w:szCs w:val="20"/>
      <w:lang w:val="it-IT" w:eastAsia="it-IT"/>
    </w:rPr>
    <w:tblPr>
      <w:tblStyleRowBandSize w:val="1"/>
      <w:tblStyleColBandSize w:val="1"/>
      <w:tblBorders>
        <w:top w:val="single" w:sz="4" w:space="0" w:color="31849B"/>
        <w:left w:val="single" w:sz="4" w:space="0" w:color="31849B"/>
        <w:bottom w:val="single" w:sz="4" w:space="0" w:color="31849B"/>
        <w:right w:val="single" w:sz="4" w:space="0" w:color="31849B"/>
        <w:insideH w:val="single" w:sz="4" w:space="0" w:color="31849B"/>
        <w:insideV w:val="single" w:sz="4" w:space="0" w:color="31849B"/>
      </w:tblBorders>
      <w:tblCellMar>
        <w:top w:w="96" w:type="dxa"/>
        <w:left w:w="170" w:type="dxa"/>
        <w:bottom w:w="96" w:type="dxa"/>
        <w:right w:w="170" w:type="dxa"/>
      </w:tblCellMar>
    </w:tblPr>
    <w:tblStylePr w:type="firstRow">
      <w:rPr>
        <w:rFonts w:ascii="Arial" w:hAnsi="Arial"/>
        <w:color w:val="F2F2F2"/>
        <w:sz w:val="22"/>
      </w:rPr>
      <w:tblPr/>
      <w:tcPr>
        <w:shd w:val="clear" w:color="auto" w:fill="4BACC6"/>
      </w:tcPr>
    </w:tblStylePr>
    <w:tblStylePr w:type="lastRow">
      <w:rPr>
        <w:rFonts w:ascii="Arial" w:hAnsi="Arial"/>
        <w:color w:val="F2F2F2"/>
        <w:sz w:val="22"/>
      </w:rPr>
      <w:tblPr/>
      <w:tcPr>
        <w:shd w:val="clear" w:color="auto" w:fill="4BACC6"/>
      </w:tcPr>
    </w:tblStylePr>
    <w:tblStylePr w:type="firstCol">
      <w:rPr>
        <w:rFonts w:ascii="Arial" w:hAnsi="Arial"/>
        <w:color w:val="F2F2F2"/>
        <w:sz w:val="22"/>
      </w:rPr>
      <w:tblPr/>
      <w:tcPr>
        <w:shd w:val="clear" w:color="auto" w:fill="4BACC6"/>
      </w:tcPr>
    </w:tblStylePr>
    <w:tblStylePr w:type="lastCol">
      <w:rPr>
        <w:rFonts w:ascii="Arial" w:hAnsi="Arial"/>
        <w:color w:val="F2F2F2"/>
        <w:sz w:val="22"/>
      </w:rPr>
      <w:tblPr/>
      <w:tcPr>
        <w:shd w:val="clear" w:color="auto" w:fill="4BACC6"/>
      </w:tcPr>
    </w:tblStylePr>
    <w:tblStylePr w:type="band1Vert">
      <w:rPr>
        <w:rFonts w:ascii="Arial" w:hAnsi="Arial"/>
        <w:color w:val="404040"/>
        <w:sz w:val="22"/>
      </w:rPr>
    </w:tblStylePr>
    <w:tblStylePr w:type="band2Vert">
      <w:rPr>
        <w:rFonts w:ascii="Arial" w:hAnsi="Arial"/>
        <w:color w:val="404040"/>
        <w:sz w:val="22"/>
      </w:rPr>
      <w:tblPr/>
      <w:tcPr>
        <w:shd w:val="clear" w:color="auto" w:fill="DAEEF3"/>
      </w:tcPr>
    </w:tblStylePr>
    <w:tblStylePr w:type="band1Horz">
      <w:rPr>
        <w:rFonts w:ascii="Arial" w:hAnsi="Arial"/>
        <w:color w:val="404040"/>
        <w:sz w:val="22"/>
      </w:rPr>
    </w:tblStylePr>
    <w:tblStylePr w:type="band2Horz">
      <w:rPr>
        <w:rFonts w:ascii="Arial" w:hAnsi="Arial"/>
        <w:color w:val="404040"/>
        <w:sz w:val="22"/>
      </w:rPr>
      <w:tblPr/>
      <w:tcPr>
        <w:shd w:val="clear" w:color="auto" w:fill="DAEEF3"/>
      </w:tcPr>
    </w:tblStylePr>
  </w:style>
  <w:style w:type="table" w:customStyle="1" w:styleId="BorderedLined-Accent6">
    <w:name w:val="Bordered &amp; Lined - Accent 6"/>
    <w:basedOn w:val="NormaleTabelle"/>
    <w:uiPriority w:val="99"/>
    <w:rPr>
      <w:color w:val="404040"/>
      <w:sz w:val="20"/>
      <w:szCs w:val="20"/>
      <w:lang w:val="it-IT" w:eastAsia="it-IT"/>
    </w:rPr>
    <w:tblPr>
      <w:tblStyleRowBandSize w:val="1"/>
      <w:tblStyleColBandSize w:val="1"/>
      <w:tblBorders>
        <w:top w:val="single" w:sz="4" w:space="0" w:color="E36C0A"/>
        <w:left w:val="single" w:sz="4" w:space="0" w:color="E36C0A"/>
        <w:bottom w:val="single" w:sz="4" w:space="0" w:color="E36C0A"/>
        <w:right w:val="single" w:sz="4" w:space="0" w:color="E36C0A"/>
        <w:insideH w:val="single" w:sz="4" w:space="0" w:color="E36C0A"/>
        <w:insideV w:val="single" w:sz="4" w:space="0" w:color="E36C0A"/>
      </w:tblBorders>
      <w:tblCellMar>
        <w:top w:w="96" w:type="dxa"/>
        <w:left w:w="170" w:type="dxa"/>
        <w:bottom w:w="96" w:type="dxa"/>
        <w:right w:w="170" w:type="dxa"/>
      </w:tblCellMar>
    </w:tblPr>
    <w:tblStylePr w:type="firstRow">
      <w:rPr>
        <w:rFonts w:ascii="Arial" w:hAnsi="Arial"/>
        <w:color w:val="F2F2F2"/>
        <w:sz w:val="22"/>
      </w:rPr>
      <w:tblPr/>
      <w:tcPr>
        <w:shd w:val="clear" w:color="auto" w:fill="F79646"/>
      </w:tcPr>
    </w:tblStylePr>
    <w:tblStylePr w:type="lastRow">
      <w:rPr>
        <w:rFonts w:ascii="Arial" w:hAnsi="Arial"/>
        <w:color w:val="F2F2F2"/>
        <w:sz w:val="22"/>
      </w:rPr>
      <w:tblPr/>
      <w:tcPr>
        <w:shd w:val="clear" w:color="auto" w:fill="F79646"/>
      </w:tcPr>
    </w:tblStylePr>
    <w:tblStylePr w:type="firstCol">
      <w:rPr>
        <w:rFonts w:ascii="Arial" w:hAnsi="Arial"/>
        <w:color w:val="F2F2F2"/>
        <w:sz w:val="22"/>
      </w:rPr>
      <w:tblPr/>
      <w:tcPr>
        <w:shd w:val="clear" w:color="auto" w:fill="F79646"/>
      </w:tcPr>
    </w:tblStylePr>
    <w:tblStylePr w:type="lastCol">
      <w:rPr>
        <w:rFonts w:ascii="Arial" w:hAnsi="Arial"/>
        <w:color w:val="F2F2F2"/>
        <w:sz w:val="22"/>
      </w:rPr>
      <w:tblPr/>
      <w:tcPr>
        <w:shd w:val="clear" w:color="auto" w:fill="F79646"/>
      </w:tcPr>
    </w:tblStylePr>
    <w:tblStylePr w:type="band1Vert">
      <w:rPr>
        <w:rFonts w:ascii="Arial" w:hAnsi="Arial"/>
        <w:color w:val="404040"/>
        <w:sz w:val="22"/>
      </w:rPr>
    </w:tblStylePr>
    <w:tblStylePr w:type="band2Vert">
      <w:rPr>
        <w:rFonts w:ascii="Arial" w:hAnsi="Arial"/>
        <w:color w:val="404040"/>
        <w:sz w:val="22"/>
      </w:rPr>
      <w:tblPr/>
      <w:tcPr>
        <w:shd w:val="clear" w:color="auto" w:fill="FDE9D9"/>
      </w:tcPr>
    </w:tblStylePr>
    <w:tblStylePr w:type="band1Horz">
      <w:rPr>
        <w:rFonts w:ascii="Arial" w:hAnsi="Arial"/>
        <w:color w:val="404040"/>
        <w:sz w:val="22"/>
      </w:rPr>
    </w:tblStylePr>
    <w:tblStylePr w:type="band2Horz">
      <w:rPr>
        <w:rFonts w:ascii="Arial" w:hAnsi="Arial"/>
        <w:color w:val="404040"/>
        <w:sz w:val="22"/>
      </w:rPr>
      <w:tblPr/>
      <w:tcPr>
        <w:shd w:val="clear" w:color="auto" w:fill="FDE9D9"/>
      </w:tcPr>
    </w:tblStylePr>
  </w:style>
  <w:style w:type="paragraph" w:styleId="Funotentext">
    <w:name w:val="footnote text"/>
    <w:basedOn w:val="Standard"/>
    <w:link w:val="FunotentextZchn"/>
    <w:uiPriority w:val="99"/>
    <w:unhideWhenUsed/>
    <w:pPr>
      <w:spacing w:after="40"/>
    </w:pPr>
    <w:rPr>
      <w:sz w:val="18"/>
    </w:rPr>
  </w:style>
  <w:style w:type="character" w:customStyle="1" w:styleId="FunotentextZchn">
    <w:name w:val="Fußnotentext Zchn"/>
    <w:link w:val="Funotentext"/>
    <w:uiPriority w:val="99"/>
    <w:rPr>
      <w:sz w:val="18"/>
    </w:rPr>
  </w:style>
  <w:style w:type="character" w:styleId="Funotenzeichen">
    <w:name w:val="footnote reference"/>
    <w:basedOn w:val="Absatz-Standardschriftart"/>
    <w:uiPriority w:val="99"/>
    <w:unhideWhenUsed/>
    <w:rPr>
      <w:vertAlign w:val="superscript"/>
    </w:rPr>
  </w:style>
  <w:style w:type="paragraph" w:styleId="Listenabsatz">
    <w:name w:val="List Paragraph"/>
    <w:basedOn w:val="Standard"/>
    <w:uiPriority w:val="34"/>
    <w:qFormat/>
    <w:pPr>
      <w:ind w:left="720"/>
      <w:contextualSpacing/>
    </w:pPr>
  </w:style>
  <w:style w:type="table" w:customStyle="1" w:styleId="Tabellagriglia2-colore11">
    <w:name w:val="Tabella griglia 2 - colore 11"/>
    <w:basedOn w:val="NormaleTabelle"/>
    <w:uiPriority w:val="47"/>
    <w:rPr>
      <w:rFonts w:ascii="Arial" w:eastAsia="Times New Roman" w:hAnsi="Arial" w:cs="Times New Roman"/>
      <w:sz w:val="22"/>
      <w:szCs w:val="22"/>
      <w:lang w:val="en-US" w:eastAsia="en-US"/>
    </w:r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one" w:sz="4" w:space="0" w:color="000000"/>
          <w:bottom w:val="single" w:sz="12" w:space="0" w:color="95B3D7" w:themeColor="accent1" w:themeTint="99"/>
          <w:insideH w:val="none" w:sz="4" w:space="0" w:color="000000"/>
          <w:insideV w:val="none" w:sz="4" w:space="0" w:color="000000"/>
        </w:tcBorders>
        <w:shd w:val="clear" w:color="auto" w:fill="FFFFFF" w:themeFill="background1"/>
      </w:tcPr>
    </w:tblStylePr>
    <w:tblStylePr w:type="lastRow">
      <w:rPr>
        <w:b/>
        <w:bCs/>
      </w:rPr>
      <w:tblPr/>
      <w:tcPr>
        <w:tcBorders>
          <w:top w:val="single" w:sz="2" w:space="0" w:color="95B3D7" w:themeColor="accent1" w:themeTint="99"/>
          <w:bottom w:val="none" w:sz="4" w:space="0" w:color="000000"/>
          <w:insideH w:val="none" w:sz="4" w:space="0" w:color="000000"/>
          <w:insideV w:val="none" w:sz="4" w:space="0" w:color="000000"/>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Kopfzeile">
    <w:name w:val="header"/>
    <w:basedOn w:val="Standard"/>
    <w:link w:val="KopfzeileZchn"/>
    <w:uiPriority w:val="99"/>
    <w:unhideWhenUsed/>
    <w:pPr>
      <w:tabs>
        <w:tab w:val="center" w:pos="4536"/>
        <w:tab w:val="right" w:pos="9072"/>
      </w:tabs>
    </w:pPr>
  </w:style>
  <w:style w:type="character" w:customStyle="1" w:styleId="KopfzeileZchn">
    <w:name w:val="Kopfzeile Zchn"/>
    <w:basedOn w:val="Absatz-Standardschriftart"/>
    <w:link w:val="Kopfzeile"/>
    <w:uiPriority w:val="99"/>
    <w:rPr>
      <w:lang w:val="en-GB"/>
    </w:rPr>
  </w:style>
  <w:style w:type="paragraph" w:styleId="Fuzeile">
    <w:name w:val="footer"/>
    <w:basedOn w:val="Standard"/>
    <w:link w:val="FuzeileZchn"/>
    <w:uiPriority w:val="99"/>
    <w:unhideWhenUsed/>
    <w:pPr>
      <w:tabs>
        <w:tab w:val="center" w:pos="4536"/>
        <w:tab w:val="right" w:pos="9072"/>
      </w:tabs>
    </w:pPr>
  </w:style>
  <w:style w:type="character" w:customStyle="1" w:styleId="FuzeileZchn">
    <w:name w:val="Fußzeile Zchn"/>
    <w:basedOn w:val="Absatz-Standardschriftart"/>
    <w:link w:val="Fuzeile"/>
    <w:uiPriority w:val="99"/>
    <w:rPr>
      <w:lang w:val="en-GB"/>
    </w:rPr>
  </w:style>
  <w:style w:type="paragraph" w:styleId="Sprechblasentext">
    <w:name w:val="Balloon Text"/>
    <w:basedOn w:val="Standard"/>
    <w:link w:val="SprechblasentextZchn"/>
    <w:uiPriority w:val="99"/>
    <w:semiHidden/>
    <w:unhideWhenUsed/>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Pr>
      <w:rFonts w:ascii="Tahoma" w:hAnsi="Tahoma" w:cs="Tahoma"/>
      <w:sz w:val="16"/>
      <w:szCs w:val="16"/>
      <w:lang w:val="en-GB"/>
    </w:rPr>
  </w:style>
  <w:style w:type="character" w:customStyle="1" w:styleId="berschrift1Zchn">
    <w:name w:val="Überschrift 1 Zchn"/>
    <w:basedOn w:val="Absatz-Standardschriftart"/>
    <w:link w:val="berschrift1"/>
    <w:uiPriority w:val="9"/>
    <w:rsid w:val="00ED6220"/>
    <w:rPr>
      <w:rFonts w:ascii="Tw Cen MT" w:eastAsia="Calibri" w:hAnsi="Tw Cen MT" w:cs="Calibri"/>
      <w:b/>
      <w:bCs/>
      <w:color w:val="4F81BD" w:themeColor="accent1"/>
      <w:sz w:val="32"/>
      <w:szCs w:val="32"/>
      <w:lang w:val="en-GB"/>
    </w:rPr>
  </w:style>
  <w:style w:type="paragraph" w:styleId="Inhaltsverzeichnisberschrift">
    <w:name w:val="TOC Heading"/>
    <w:basedOn w:val="berschrift1"/>
    <w:next w:val="Standard"/>
    <w:uiPriority w:val="39"/>
    <w:unhideWhenUsed/>
    <w:qFormat/>
    <w:pPr>
      <w:spacing w:line="276" w:lineRule="auto"/>
      <w:outlineLvl w:val="9"/>
    </w:pPr>
    <w:rPr>
      <w:lang w:val="fr-FR"/>
    </w:rPr>
  </w:style>
  <w:style w:type="character" w:styleId="Fett">
    <w:name w:val="Strong"/>
    <w:basedOn w:val="Absatz-Standardschriftart"/>
    <w:uiPriority w:val="22"/>
    <w:qFormat/>
    <w:rPr>
      <w:b/>
      <w:bCs/>
    </w:rPr>
  </w:style>
  <w:style w:type="paragraph" w:styleId="KeinLeerraum">
    <w:name w:val="No Spacing"/>
    <w:link w:val="KeinLeerraumZchn"/>
    <w:uiPriority w:val="1"/>
    <w:qFormat/>
    <w:rPr>
      <w:sz w:val="22"/>
      <w:szCs w:val="22"/>
    </w:rPr>
  </w:style>
  <w:style w:type="character" w:customStyle="1" w:styleId="KeinLeerraumZchn">
    <w:name w:val="Kein Leerraum Zchn"/>
    <w:basedOn w:val="Absatz-Standardschriftart"/>
    <w:link w:val="KeinLeerraum"/>
    <w:uiPriority w:val="1"/>
    <w:rPr>
      <w:sz w:val="22"/>
      <w:szCs w:val="22"/>
    </w:rPr>
  </w:style>
  <w:style w:type="paragraph" w:styleId="Verzeichnis1">
    <w:name w:val="toc 1"/>
    <w:basedOn w:val="Standard"/>
    <w:next w:val="Standard"/>
    <w:uiPriority w:val="39"/>
    <w:unhideWhenUsed/>
    <w:pPr>
      <w:spacing w:after="100"/>
    </w:pPr>
  </w:style>
  <w:style w:type="character" w:styleId="Hyperlink">
    <w:name w:val="Hyperlink"/>
    <w:basedOn w:val="Absatz-Standardschriftart"/>
    <w:uiPriority w:val="99"/>
    <w:unhideWhenUsed/>
    <w:rPr>
      <w:color w:val="0000FF" w:themeColor="hyperlink"/>
      <w:u w:val="single"/>
    </w:rPr>
  </w:style>
  <w:style w:type="paragraph" w:styleId="Verzeichnis2">
    <w:name w:val="toc 2"/>
    <w:basedOn w:val="Standard"/>
    <w:next w:val="Standard"/>
    <w:uiPriority w:val="39"/>
    <w:unhideWhenUsed/>
    <w:pPr>
      <w:ind w:left="240"/>
    </w:pPr>
  </w:style>
  <w:style w:type="paragraph" w:styleId="Verzeichnis3">
    <w:name w:val="toc 3"/>
    <w:basedOn w:val="Standard"/>
    <w:next w:val="Standard"/>
    <w:uiPriority w:val="39"/>
    <w:unhideWhenUsed/>
    <w:pPr>
      <w:ind w:left="480"/>
    </w:pPr>
  </w:style>
  <w:style w:type="paragraph" w:styleId="Verzeichnis4">
    <w:name w:val="toc 4"/>
    <w:basedOn w:val="Standard"/>
    <w:next w:val="Standard"/>
    <w:uiPriority w:val="39"/>
    <w:unhideWhenUsed/>
    <w:pPr>
      <w:ind w:left="720"/>
    </w:pPr>
  </w:style>
  <w:style w:type="paragraph" w:styleId="Verzeichnis5">
    <w:name w:val="toc 5"/>
    <w:basedOn w:val="Standard"/>
    <w:next w:val="Standard"/>
    <w:uiPriority w:val="39"/>
    <w:unhideWhenUsed/>
    <w:pPr>
      <w:ind w:left="960"/>
    </w:pPr>
  </w:style>
  <w:style w:type="paragraph" w:styleId="Verzeichnis6">
    <w:name w:val="toc 6"/>
    <w:basedOn w:val="Standard"/>
    <w:next w:val="Standard"/>
    <w:uiPriority w:val="39"/>
    <w:unhideWhenUsed/>
    <w:pPr>
      <w:ind w:left="1200"/>
    </w:pPr>
  </w:style>
  <w:style w:type="paragraph" w:styleId="Verzeichnis7">
    <w:name w:val="toc 7"/>
    <w:basedOn w:val="Standard"/>
    <w:next w:val="Standard"/>
    <w:uiPriority w:val="39"/>
    <w:unhideWhenUsed/>
    <w:pPr>
      <w:ind w:left="1440"/>
    </w:pPr>
  </w:style>
  <w:style w:type="paragraph" w:styleId="Verzeichnis8">
    <w:name w:val="toc 8"/>
    <w:basedOn w:val="Standard"/>
    <w:next w:val="Standard"/>
    <w:uiPriority w:val="39"/>
    <w:unhideWhenUsed/>
    <w:pPr>
      <w:ind w:left="1680"/>
    </w:pPr>
  </w:style>
  <w:style w:type="paragraph" w:styleId="Verzeichnis9">
    <w:name w:val="toc 9"/>
    <w:basedOn w:val="Standard"/>
    <w:next w:val="Standard"/>
    <w:uiPriority w:val="39"/>
    <w:unhideWhenUsed/>
    <w:pPr>
      <w:ind w:left="1920"/>
    </w:pPr>
  </w:style>
  <w:style w:type="character" w:customStyle="1" w:styleId="berschrift2Zchn">
    <w:name w:val="Überschrift 2 Zchn"/>
    <w:basedOn w:val="Absatz-Standardschriftart"/>
    <w:link w:val="berschrift2"/>
    <w:uiPriority w:val="9"/>
    <w:rsid w:val="00ED6220"/>
    <w:rPr>
      <w:rFonts w:ascii="Calibri" w:eastAsia="Calibri" w:hAnsi="Calibri" w:cs="Calibri"/>
      <w:b/>
      <w:bCs/>
      <w:color w:val="4F81BD" w:themeColor="accent1"/>
      <w:sz w:val="26"/>
      <w:szCs w:val="26"/>
      <w:lang w:val="en-GB"/>
    </w:rPr>
  </w:style>
  <w:style w:type="character" w:styleId="SchwacherVerweis">
    <w:name w:val="Subtle Reference"/>
    <w:basedOn w:val="Absatz-Standardschriftart"/>
    <w:uiPriority w:val="31"/>
    <w:qFormat/>
    <w:rPr>
      <w:smallCaps/>
      <w:color w:val="C0504D" w:themeColor="accent2"/>
      <w:u w:val="single"/>
    </w:rPr>
  </w:style>
  <w:style w:type="character" w:customStyle="1" w:styleId="berschrift3Zchn">
    <w:name w:val="Überschrift 3 Zchn"/>
    <w:basedOn w:val="Absatz-Standardschriftart"/>
    <w:link w:val="berschrift3"/>
    <w:uiPriority w:val="9"/>
    <w:rsid w:val="004502BC"/>
    <w:rPr>
      <w:rFonts w:ascii="Calibri" w:eastAsia="Calibri" w:hAnsi="Calibri" w:cs="Calibri"/>
      <w:b/>
      <w:bCs/>
      <w:color w:val="4F81BD" w:themeColor="accent1"/>
      <w:lang w:val="en-GB"/>
    </w:rPr>
  </w:style>
  <w:style w:type="character" w:customStyle="1" w:styleId="berschrift4Zchn">
    <w:name w:val="Überschrift 4 Zchn"/>
    <w:basedOn w:val="Absatz-Standardschriftart"/>
    <w:link w:val="berschrift4"/>
    <w:uiPriority w:val="9"/>
    <w:rsid w:val="004502BC"/>
    <w:rPr>
      <w:rFonts w:ascii="Calibri" w:eastAsia="Calibri" w:hAnsi="Calibri" w:cs="Calibri"/>
      <w:b/>
      <w:bCs/>
      <w:i/>
      <w:iCs/>
      <w:color w:val="4F81BD" w:themeColor="accent1"/>
      <w:lang w:val="en-GB"/>
    </w:rPr>
  </w:style>
  <w:style w:type="character" w:customStyle="1" w:styleId="berschrift5Zchn">
    <w:name w:val="Überschrift 5 Zchn"/>
    <w:basedOn w:val="Absatz-Standardschriftart"/>
    <w:link w:val="berschrift5"/>
    <w:uiPriority w:val="9"/>
    <w:semiHidden/>
    <w:rPr>
      <w:rFonts w:ascii="Calibri" w:eastAsia="Calibri" w:hAnsi="Calibri" w:cs="Calibri"/>
      <w:color w:val="243F60" w:themeColor="accent1" w:themeShade="7F"/>
      <w:lang w:val="en-GB"/>
    </w:rPr>
  </w:style>
  <w:style w:type="character" w:customStyle="1" w:styleId="berschrift6Zchn">
    <w:name w:val="Überschrift 6 Zchn"/>
    <w:basedOn w:val="Absatz-Standardschriftart"/>
    <w:link w:val="berschrift6"/>
    <w:uiPriority w:val="9"/>
    <w:semiHidden/>
    <w:rPr>
      <w:rFonts w:ascii="Calibri" w:eastAsia="Calibri" w:hAnsi="Calibri" w:cs="Calibri"/>
      <w:i/>
      <w:iCs/>
      <w:color w:val="243F60" w:themeColor="accent1" w:themeShade="7F"/>
      <w:lang w:val="en-GB"/>
    </w:rPr>
  </w:style>
  <w:style w:type="character" w:customStyle="1" w:styleId="berschrift7Zchn">
    <w:name w:val="Überschrift 7 Zchn"/>
    <w:basedOn w:val="Absatz-Standardschriftart"/>
    <w:link w:val="berschrift7"/>
    <w:uiPriority w:val="9"/>
    <w:semiHidden/>
    <w:rPr>
      <w:rFonts w:ascii="Calibri" w:eastAsia="Calibri" w:hAnsi="Calibri" w:cs="Calibri"/>
      <w:i/>
      <w:iCs/>
      <w:color w:val="404040" w:themeColor="text1" w:themeTint="BF"/>
      <w:lang w:val="en-GB"/>
    </w:rPr>
  </w:style>
  <w:style w:type="character" w:customStyle="1" w:styleId="berschrift8Zchn">
    <w:name w:val="Überschrift 8 Zchn"/>
    <w:basedOn w:val="Absatz-Standardschriftart"/>
    <w:link w:val="berschrift8"/>
    <w:uiPriority w:val="9"/>
    <w:semiHidden/>
    <w:rPr>
      <w:rFonts w:ascii="Calibri" w:eastAsia="Calibri" w:hAnsi="Calibri" w:cs="Calibri"/>
      <w:color w:val="404040" w:themeColor="text1" w:themeTint="BF"/>
      <w:sz w:val="20"/>
      <w:szCs w:val="20"/>
      <w:lang w:val="en-GB"/>
    </w:rPr>
  </w:style>
  <w:style w:type="character" w:customStyle="1" w:styleId="berschrift9Zchn">
    <w:name w:val="Überschrift 9 Zchn"/>
    <w:basedOn w:val="Absatz-Standardschriftart"/>
    <w:link w:val="berschrift9"/>
    <w:uiPriority w:val="9"/>
    <w:semiHidden/>
    <w:rPr>
      <w:rFonts w:ascii="Calibri" w:eastAsia="Calibri" w:hAnsi="Calibri" w:cs="Calibri"/>
      <w:i/>
      <w:iCs/>
      <w:color w:val="404040" w:themeColor="text1" w:themeTint="BF"/>
      <w:sz w:val="20"/>
      <w:szCs w:val="20"/>
      <w:lang w:val="en-GB"/>
    </w:rPr>
  </w:style>
  <w:style w:type="table" w:styleId="Tabellenraster">
    <w:name w:val="Table Grid"/>
    <w:basedOn w:val="NormaleTabelle"/>
    <w:uiPriority w:val="59"/>
    <w:rPr>
      <w:sz w:val="22"/>
      <w:szCs w:val="22"/>
      <w:lang w:val="de-DE"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HelleSchattierung-Akzent4">
    <w:name w:val="Light Shading Accent 4"/>
    <w:basedOn w:val="NormaleTabelle"/>
    <w:uiPriority w:val="60"/>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one" w:sz="4" w:space="0" w:color="000000"/>
          <w:bottom w:val="single" w:sz="8" w:space="0" w:color="8064A2" w:themeColor="accent4"/>
          <w:right w:val="none" w:sz="4" w:space="0" w:color="000000"/>
          <w:insideH w:val="none" w:sz="4" w:space="0" w:color="000000"/>
          <w:insideV w:val="none" w:sz="4" w:space="0" w:color="000000"/>
        </w:tcBorders>
      </w:tcPr>
    </w:tblStylePr>
    <w:tblStylePr w:type="lastRow">
      <w:pPr>
        <w:spacing w:before="0" w:after="0" w:line="240" w:lineRule="auto"/>
      </w:pPr>
      <w:rPr>
        <w:b/>
        <w:bCs/>
      </w:rPr>
      <w:tblPr/>
      <w:tcPr>
        <w:tcBorders>
          <w:top w:val="single" w:sz="8" w:space="0" w:color="8064A2" w:themeColor="accent4"/>
          <w:left w:val="none" w:sz="4" w:space="0" w:color="000000"/>
          <w:bottom w:val="single" w:sz="8" w:space="0" w:color="8064A2" w:themeColor="accent4"/>
          <w:right w:val="none" w:sz="4" w:space="0" w:color="000000"/>
          <w:insideH w:val="none" w:sz="4" w:space="0" w:color="000000"/>
          <w:insideV w:val="none" w:sz="4" w:space="0" w:color="000000"/>
        </w:tcBorders>
      </w:tcPr>
    </w:tblStylePr>
    <w:tblStylePr w:type="firstCol">
      <w:rPr>
        <w:b/>
        <w:bCs/>
      </w:rPr>
    </w:tblStylePr>
    <w:tblStylePr w:type="lastCol">
      <w:rPr>
        <w:b/>
        <w:bCs/>
      </w:rPr>
    </w:tblStylePr>
    <w:tblStylePr w:type="band1Vert">
      <w:tblPr/>
      <w:tcPr>
        <w:tcBorders>
          <w:left w:val="none" w:sz="4" w:space="0" w:color="000000"/>
          <w:right w:val="none" w:sz="4" w:space="0" w:color="000000"/>
          <w:insideH w:val="none" w:sz="4" w:space="0" w:color="000000"/>
          <w:insideV w:val="none" w:sz="4" w:space="0" w:color="000000"/>
        </w:tcBorders>
        <w:shd w:val="clear" w:color="auto" w:fill="DFD8E8" w:themeFill="accent4" w:themeFillTint="3F"/>
      </w:tcPr>
    </w:tblStylePr>
    <w:tblStylePr w:type="band1Horz">
      <w:tblPr/>
      <w:tcPr>
        <w:tcBorders>
          <w:left w:val="none" w:sz="4" w:space="0" w:color="000000"/>
          <w:right w:val="none" w:sz="4" w:space="0" w:color="000000"/>
          <w:insideH w:val="none" w:sz="4" w:space="0" w:color="000000"/>
          <w:insideV w:val="none" w:sz="4" w:space="0" w:color="000000"/>
        </w:tcBorders>
        <w:shd w:val="clear" w:color="auto" w:fill="DFD8E8" w:themeFill="accent4" w:themeFillTint="3F"/>
      </w:tcPr>
    </w:tblStylePr>
  </w:style>
  <w:style w:type="table" w:styleId="HelleSchattierung-Akzent5">
    <w:name w:val="Light Shading Accent 5"/>
    <w:basedOn w:val="NormaleTabelle"/>
    <w:uiPriority w:val="60"/>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one" w:sz="4" w:space="0" w:color="000000"/>
          <w:bottom w:val="single" w:sz="8" w:space="0" w:color="4BACC6" w:themeColor="accent5"/>
          <w:right w:val="none" w:sz="4" w:space="0" w:color="000000"/>
          <w:insideH w:val="none" w:sz="4" w:space="0" w:color="000000"/>
          <w:insideV w:val="none" w:sz="4" w:space="0" w:color="000000"/>
        </w:tcBorders>
      </w:tcPr>
    </w:tblStylePr>
    <w:tblStylePr w:type="lastRow">
      <w:pPr>
        <w:spacing w:before="0" w:after="0" w:line="240" w:lineRule="auto"/>
      </w:pPr>
      <w:rPr>
        <w:b/>
        <w:bCs/>
      </w:rPr>
      <w:tblPr/>
      <w:tcPr>
        <w:tcBorders>
          <w:top w:val="single" w:sz="8" w:space="0" w:color="4BACC6" w:themeColor="accent5"/>
          <w:left w:val="none" w:sz="4" w:space="0" w:color="000000"/>
          <w:bottom w:val="single" w:sz="8" w:space="0" w:color="4BACC6" w:themeColor="accent5"/>
          <w:right w:val="none" w:sz="4" w:space="0" w:color="000000"/>
          <w:insideH w:val="none" w:sz="4" w:space="0" w:color="000000"/>
          <w:insideV w:val="none" w:sz="4" w:space="0" w:color="000000"/>
        </w:tcBorders>
      </w:tcPr>
    </w:tblStylePr>
    <w:tblStylePr w:type="firstCol">
      <w:rPr>
        <w:b/>
        <w:bCs/>
      </w:rPr>
    </w:tblStylePr>
    <w:tblStylePr w:type="lastCol">
      <w:rPr>
        <w:b/>
        <w:bCs/>
      </w:rPr>
    </w:tblStylePr>
    <w:tblStylePr w:type="band1Vert">
      <w:tblPr/>
      <w:tcPr>
        <w:tcBorders>
          <w:left w:val="none" w:sz="4" w:space="0" w:color="000000"/>
          <w:right w:val="none" w:sz="4" w:space="0" w:color="000000"/>
          <w:insideH w:val="none" w:sz="4" w:space="0" w:color="000000"/>
          <w:insideV w:val="none" w:sz="4" w:space="0" w:color="000000"/>
        </w:tcBorders>
        <w:shd w:val="clear" w:color="auto" w:fill="D2EAF1" w:themeFill="accent5" w:themeFillTint="3F"/>
      </w:tcPr>
    </w:tblStylePr>
    <w:tblStylePr w:type="band1Horz">
      <w:tblPr/>
      <w:tcPr>
        <w:tcBorders>
          <w:left w:val="none" w:sz="4" w:space="0" w:color="000000"/>
          <w:right w:val="none" w:sz="4" w:space="0" w:color="000000"/>
          <w:insideH w:val="none" w:sz="4" w:space="0" w:color="000000"/>
          <w:insideV w:val="none" w:sz="4" w:space="0" w:color="000000"/>
        </w:tcBorders>
        <w:shd w:val="clear" w:color="auto" w:fill="D2EAF1" w:themeFill="accent5" w:themeFillTint="3F"/>
      </w:tcPr>
    </w:tblStylePr>
  </w:style>
  <w:style w:type="table" w:styleId="Gitternetztabelle4Akzent1">
    <w:name w:val="Grid Table 4 Accent 1"/>
    <w:basedOn w:val="NormaleTabelle"/>
    <w:uiPriority w:val="49"/>
    <w:rsid w:val="00ED6220"/>
    <w:pPr>
      <w:pBdr>
        <w:top w:val="none" w:sz="0" w:space="0" w:color="auto"/>
        <w:left w:val="none" w:sz="0" w:space="0" w:color="auto"/>
        <w:bottom w:val="none" w:sz="0" w:space="0" w:color="auto"/>
        <w:right w:val="none" w:sz="0" w:space="0" w:color="auto"/>
        <w:between w:val="none" w:sz="0" w:space="0" w:color="auto"/>
      </w:pBdr>
    </w:pPr>
    <w:rPr>
      <w:rFonts w:asciiTheme="minorHAnsi" w:eastAsiaTheme="minorEastAsia" w:hAnsiTheme="minorHAnsi" w:cstheme="minorBidi"/>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Literaturverzeichnis">
    <w:name w:val="Bibliography"/>
    <w:basedOn w:val="Standard"/>
    <w:next w:val="Standard"/>
    <w:uiPriority w:val="37"/>
    <w:semiHidden/>
    <w:unhideWhenUsed/>
    <w:rsid w:val="00A72A84"/>
  </w:style>
  <w:style w:type="paragraph" w:styleId="Beschriftung">
    <w:name w:val="caption"/>
    <w:aliases w:val="Labelling,Figure-Table-Labelling,DA Abb Beschriftung"/>
    <w:basedOn w:val="Standard"/>
    <w:next w:val="Standard"/>
    <w:link w:val="BeschriftungZchn"/>
    <w:uiPriority w:val="35"/>
    <w:unhideWhenUsed/>
    <w:qFormat/>
    <w:rsid w:val="00C37761"/>
    <w:pPr>
      <w:spacing w:after="200"/>
    </w:pPr>
    <w:rPr>
      <w:i/>
      <w:iCs/>
      <w:color w:val="1F497D" w:themeColor="text2"/>
      <w:sz w:val="18"/>
      <w:szCs w:val="18"/>
    </w:rPr>
  </w:style>
  <w:style w:type="character" w:styleId="Kommentarzeichen">
    <w:name w:val="annotation reference"/>
    <w:basedOn w:val="Absatz-Standardschriftart"/>
    <w:uiPriority w:val="99"/>
    <w:semiHidden/>
    <w:unhideWhenUsed/>
    <w:rsid w:val="0005649E"/>
    <w:rPr>
      <w:sz w:val="16"/>
      <w:szCs w:val="16"/>
    </w:rPr>
  </w:style>
  <w:style w:type="paragraph" w:styleId="Kommentartext">
    <w:name w:val="annotation text"/>
    <w:basedOn w:val="Standard"/>
    <w:link w:val="KommentartextZchn"/>
    <w:uiPriority w:val="99"/>
    <w:unhideWhenUsed/>
    <w:rsid w:val="0005649E"/>
    <w:rPr>
      <w:sz w:val="20"/>
      <w:szCs w:val="20"/>
    </w:rPr>
  </w:style>
  <w:style w:type="character" w:customStyle="1" w:styleId="KommentartextZchn">
    <w:name w:val="Kommentartext Zchn"/>
    <w:basedOn w:val="Absatz-Standardschriftart"/>
    <w:link w:val="Kommentartext"/>
    <w:uiPriority w:val="99"/>
    <w:rsid w:val="0005649E"/>
    <w:rPr>
      <w:sz w:val="20"/>
      <w:szCs w:val="20"/>
      <w:lang w:val="en-GB"/>
    </w:rPr>
  </w:style>
  <w:style w:type="character" w:customStyle="1" w:styleId="v-button-caption">
    <w:name w:val="v-button-caption"/>
    <w:basedOn w:val="Absatz-Standardschriftart"/>
    <w:rsid w:val="00C07D3E"/>
  </w:style>
  <w:style w:type="paragraph" w:styleId="Endnotentext">
    <w:name w:val="endnote text"/>
    <w:basedOn w:val="Standard"/>
    <w:link w:val="EndnotentextZchn"/>
    <w:uiPriority w:val="99"/>
    <w:semiHidden/>
    <w:unhideWhenUsed/>
    <w:rsid w:val="007530D3"/>
    <w:rPr>
      <w:sz w:val="20"/>
      <w:szCs w:val="20"/>
    </w:rPr>
  </w:style>
  <w:style w:type="character" w:customStyle="1" w:styleId="EndnotentextZchn">
    <w:name w:val="Endnotentext Zchn"/>
    <w:basedOn w:val="Absatz-Standardschriftart"/>
    <w:link w:val="Endnotentext"/>
    <w:uiPriority w:val="99"/>
    <w:semiHidden/>
    <w:rsid w:val="007530D3"/>
    <w:rPr>
      <w:sz w:val="20"/>
      <w:szCs w:val="20"/>
      <w:lang w:val="en-GB"/>
    </w:rPr>
  </w:style>
  <w:style w:type="character" w:styleId="Endnotenzeichen">
    <w:name w:val="endnote reference"/>
    <w:basedOn w:val="Absatz-Standardschriftart"/>
    <w:uiPriority w:val="99"/>
    <w:semiHidden/>
    <w:unhideWhenUsed/>
    <w:rsid w:val="007530D3"/>
    <w:rPr>
      <w:vertAlign w:val="superscript"/>
    </w:rPr>
  </w:style>
  <w:style w:type="paragraph" w:styleId="StandardWeb">
    <w:name w:val="Normal (Web)"/>
    <w:basedOn w:val="Standard"/>
    <w:uiPriority w:val="99"/>
    <w:unhideWhenUsed/>
    <w:rsid w:val="006B02C9"/>
    <w:pPr>
      <w:pBdr>
        <w:top w:val="none" w:sz="0" w:space="0" w:color="auto"/>
        <w:left w:val="none" w:sz="0" w:space="0" w:color="auto"/>
        <w:bottom w:val="none" w:sz="0" w:space="0" w:color="auto"/>
        <w:right w:val="none" w:sz="0" w:space="0" w:color="auto"/>
        <w:between w:val="none" w:sz="0" w:space="0" w:color="auto"/>
      </w:pBdr>
      <w:spacing w:before="100" w:beforeAutospacing="1" w:after="100" w:afterAutospacing="1"/>
    </w:pPr>
    <w:rPr>
      <w:rFonts w:ascii="Times New Roman" w:eastAsia="Times New Roman" w:hAnsi="Times New Roman" w:cs="Times New Roman"/>
      <w:lang w:val="en-US" w:eastAsia="en-US"/>
    </w:rPr>
  </w:style>
  <w:style w:type="paragraph" w:customStyle="1" w:styleId="Default">
    <w:name w:val="Default"/>
    <w:rsid w:val="00C305C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pPr>
    <w:rPr>
      <w:color w:val="000000"/>
      <w:lang w:val="de-DE"/>
    </w:rPr>
  </w:style>
  <w:style w:type="paragraph" w:styleId="Kommentarthema">
    <w:name w:val="annotation subject"/>
    <w:basedOn w:val="Kommentartext"/>
    <w:next w:val="Kommentartext"/>
    <w:link w:val="KommentarthemaZchn"/>
    <w:uiPriority w:val="99"/>
    <w:semiHidden/>
    <w:unhideWhenUsed/>
    <w:rsid w:val="000F7D33"/>
    <w:rPr>
      <w:b/>
      <w:bCs/>
    </w:rPr>
  </w:style>
  <w:style w:type="character" w:customStyle="1" w:styleId="KommentarthemaZchn">
    <w:name w:val="Kommentarthema Zchn"/>
    <w:basedOn w:val="KommentartextZchn"/>
    <w:link w:val="Kommentarthema"/>
    <w:uiPriority w:val="99"/>
    <w:semiHidden/>
    <w:rsid w:val="000F7D33"/>
    <w:rPr>
      <w:b/>
      <w:bCs/>
      <w:sz w:val="20"/>
      <w:szCs w:val="20"/>
      <w:lang w:val="en-GB"/>
    </w:rPr>
  </w:style>
  <w:style w:type="character" w:customStyle="1" w:styleId="BeschriftungZchn">
    <w:name w:val="Beschriftung Zchn"/>
    <w:aliases w:val="Labelling Zchn,Figure-Table-Labelling Zchn,DA Abb Beschriftung Zchn"/>
    <w:link w:val="Beschriftung"/>
    <w:uiPriority w:val="35"/>
    <w:rsid w:val="00EA0078"/>
    <w:rPr>
      <w:i/>
      <w:iCs/>
      <w:color w:val="1F497D" w:themeColor="text2"/>
      <w:sz w:val="18"/>
      <w:szCs w:val="18"/>
      <w:lang w:val="en-GB"/>
    </w:rPr>
  </w:style>
  <w:style w:type="character" w:styleId="BesuchterLink">
    <w:name w:val="FollowedHyperlink"/>
    <w:basedOn w:val="Absatz-Standardschriftart"/>
    <w:uiPriority w:val="99"/>
    <w:semiHidden/>
    <w:unhideWhenUsed/>
    <w:rsid w:val="00A45B98"/>
    <w:rPr>
      <w:color w:val="800080" w:themeColor="followedHyperlink"/>
      <w:u w:val="single"/>
    </w:rPr>
  </w:style>
  <w:style w:type="paragraph" w:customStyle="1" w:styleId="TableParagraph">
    <w:name w:val="Table Paragraph"/>
    <w:basedOn w:val="Standard"/>
    <w:uiPriority w:val="1"/>
    <w:qFormat/>
    <w:rsid w:val="003310B6"/>
    <w:pPr>
      <w:widowControl w:val="0"/>
      <w:pBdr>
        <w:top w:val="none" w:sz="0" w:space="0" w:color="auto"/>
        <w:left w:val="none" w:sz="0" w:space="0" w:color="auto"/>
        <w:bottom w:val="none" w:sz="0" w:space="0" w:color="auto"/>
        <w:right w:val="none" w:sz="0" w:space="0" w:color="auto"/>
        <w:between w:val="none" w:sz="0" w:space="0" w:color="auto"/>
      </w:pBdr>
      <w:autoSpaceDE w:val="0"/>
      <w:autoSpaceDN w:val="0"/>
      <w:ind w:left="107"/>
    </w:pPr>
    <w:rPr>
      <w:rFonts w:ascii="Microsoft Sans Serif" w:eastAsia="Microsoft Sans Serif" w:hAnsi="Microsoft Sans Serif" w:cs="Microsoft Sans Serif"/>
      <w:sz w:val="22"/>
      <w:szCs w:val="22"/>
      <w:lang w:val="en-US" w:eastAsia="en-US"/>
    </w:rPr>
  </w:style>
  <w:style w:type="paragraph" w:customStyle="1" w:styleId="ECVSectionBullet">
    <w:name w:val="_ECV_SectionBullet"/>
    <w:basedOn w:val="Standard"/>
    <w:rsid w:val="002C3BB1"/>
    <w:pPr>
      <w:widowControl w:val="0"/>
      <w:suppressLineNumbers/>
      <w:pBdr>
        <w:top w:val="none" w:sz="0" w:space="0" w:color="auto"/>
        <w:left w:val="none" w:sz="0" w:space="0" w:color="auto"/>
        <w:bottom w:val="none" w:sz="0" w:space="0" w:color="auto"/>
        <w:right w:val="none" w:sz="0" w:space="0" w:color="auto"/>
        <w:between w:val="none" w:sz="0" w:space="0" w:color="auto"/>
      </w:pBdr>
      <w:suppressAutoHyphens/>
      <w:autoSpaceDE w:val="0"/>
      <w:autoSpaceDN w:val="0"/>
      <w:textAlignment w:val="baseline"/>
      <w:outlineLvl w:val="0"/>
    </w:pPr>
    <w:rPr>
      <w:rFonts w:ascii="Arial" w:eastAsia="SimSun" w:hAnsi="Arial" w:cs="Mangal"/>
      <w:color w:val="3F3A38"/>
      <w:spacing w:val="-6"/>
      <w:kern w:val="3"/>
      <w:sz w:val="18"/>
      <w:lang w:eastAsia="zh-CN" w:bidi="hi-IN"/>
    </w:rPr>
  </w:style>
  <w:style w:type="paragraph" w:customStyle="1" w:styleId="Standard1">
    <w:name w:val="Standard1"/>
    <w:qFormat/>
    <w:rsid w:val="009442D4"/>
    <w:pPr>
      <w:pBdr>
        <w:top w:val="none" w:sz="0" w:space="0" w:color="auto"/>
        <w:left w:val="none" w:sz="0" w:space="0" w:color="auto"/>
        <w:bottom w:val="none" w:sz="0" w:space="0" w:color="auto"/>
        <w:right w:val="none" w:sz="0" w:space="0" w:color="auto"/>
        <w:between w:val="none" w:sz="0" w:space="0" w:color="auto"/>
      </w:pBdr>
      <w:suppressAutoHyphens/>
      <w:jc w:val="both"/>
    </w:pPr>
    <w:rPr>
      <w:rFonts w:ascii="Liberation Serif" w:eastAsia="NSimSun" w:hAnsi="Liberation Serif" w:cs="Lucida Sans"/>
      <w:kern w:val="2"/>
      <w:lang w:val="en-GB" w:eastAsia="zh-CN" w:bidi="hi-IN"/>
    </w:rPr>
  </w:style>
  <w:style w:type="character" w:styleId="NichtaufgelsteErwhnung">
    <w:name w:val="Unresolved Mention"/>
    <w:basedOn w:val="Absatz-Standardschriftart"/>
    <w:uiPriority w:val="99"/>
    <w:semiHidden/>
    <w:unhideWhenUsed/>
    <w:rsid w:val="0017098C"/>
    <w:rPr>
      <w:color w:val="605E5C"/>
      <w:shd w:val="clear" w:color="auto" w:fill="E1DFDD"/>
    </w:rPr>
  </w:style>
  <w:style w:type="table" w:styleId="Gitternetztabelle1hell">
    <w:name w:val="Grid Table 1 Light"/>
    <w:basedOn w:val="NormaleTabelle"/>
    <w:uiPriority w:val="46"/>
    <w:rsid w:val="00FC352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65870">
      <w:bodyDiv w:val="1"/>
      <w:marLeft w:val="0"/>
      <w:marRight w:val="0"/>
      <w:marTop w:val="0"/>
      <w:marBottom w:val="0"/>
      <w:divBdr>
        <w:top w:val="none" w:sz="0" w:space="0" w:color="auto"/>
        <w:left w:val="none" w:sz="0" w:space="0" w:color="auto"/>
        <w:bottom w:val="none" w:sz="0" w:space="0" w:color="auto"/>
        <w:right w:val="none" w:sz="0" w:space="0" w:color="auto"/>
      </w:divBdr>
      <w:divsChild>
        <w:div w:id="1890416199">
          <w:marLeft w:val="806"/>
          <w:marRight w:val="0"/>
          <w:marTop w:val="120"/>
          <w:marBottom w:val="0"/>
          <w:divBdr>
            <w:top w:val="none" w:sz="0" w:space="0" w:color="auto"/>
            <w:left w:val="none" w:sz="0" w:space="0" w:color="auto"/>
            <w:bottom w:val="none" w:sz="0" w:space="0" w:color="auto"/>
            <w:right w:val="none" w:sz="0" w:space="0" w:color="auto"/>
          </w:divBdr>
        </w:div>
        <w:div w:id="402336088">
          <w:marLeft w:val="1526"/>
          <w:marRight w:val="0"/>
          <w:marTop w:val="120"/>
          <w:marBottom w:val="0"/>
          <w:divBdr>
            <w:top w:val="none" w:sz="0" w:space="0" w:color="auto"/>
            <w:left w:val="none" w:sz="0" w:space="0" w:color="auto"/>
            <w:bottom w:val="none" w:sz="0" w:space="0" w:color="auto"/>
            <w:right w:val="none" w:sz="0" w:space="0" w:color="auto"/>
          </w:divBdr>
        </w:div>
        <w:div w:id="1407067436">
          <w:marLeft w:val="1526"/>
          <w:marRight w:val="0"/>
          <w:marTop w:val="120"/>
          <w:marBottom w:val="0"/>
          <w:divBdr>
            <w:top w:val="none" w:sz="0" w:space="0" w:color="auto"/>
            <w:left w:val="none" w:sz="0" w:space="0" w:color="auto"/>
            <w:bottom w:val="none" w:sz="0" w:space="0" w:color="auto"/>
            <w:right w:val="none" w:sz="0" w:space="0" w:color="auto"/>
          </w:divBdr>
        </w:div>
        <w:div w:id="516044266">
          <w:marLeft w:val="1526"/>
          <w:marRight w:val="0"/>
          <w:marTop w:val="120"/>
          <w:marBottom w:val="0"/>
          <w:divBdr>
            <w:top w:val="none" w:sz="0" w:space="0" w:color="auto"/>
            <w:left w:val="none" w:sz="0" w:space="0" w:color="auto"/>
            <w:bottom w:val="none" w:sz="0" w:space="0" w:color="auto"/>
            <w:right w:val="none" w:sz="0" w:space="0" w:color="auto"/>
          </w:divBdr>
        </w:div>
        <w:div w:id="1648510980">
          <w:marLeft w:val="806"/>
          <w:marRight w:val="0"/>
          <w:marTop w:val="120"/>
          <w:marBottom w:val="0"/>
          <w:divBdr>
            <w:top w:val="none" w:sz="0" w:space="0" w:color="auto"/>
            <w:left w:val="none" w:sz="0" w:space="0" w:color="auto"/>
            <w:bottom w:val="none" w:sz="0" w:space="0" w:color="auto"/>
            <w:right w:val="none" w:sz="0" w:space="0" w:color="auto"/>
          </w:divBdr>
        </w:div>
        <w:div w:id="1705903314">
          <w:marLeft w:val="1526"/>
          <w:marRight w:val="0"/>
          <w:marTop w:val="120"/>
          <w:marBottom w:val="0"/>
          <w:divBdr>
            <w:top w:val="none" w:sz="0" w:space="0" w:color="auto"/>
            <w:left w:val="none" w:sz="0" w:space="0" w:color="auto"/>
            <w:bottom w:val="none" w:sz="0" w:space="0" w:color="auto"/>
            <w:right w:val="none" w:sz="0" w:space="0" w:color="auto"/>
          </w:divBdr>
        </w:div>
      </w:divsChild>
    </w:div>
    <w:div w:id="194000454">
      <w:bodyDiv w:val="1"/>
      <w:marLeft w:val="0"/>
      <w:marRight w:val="0"/>
      <w:marTop w:val="0"/>
      <w:marBottom w:val="0"/>
      <w:divBdr>
        <w:top w:val="none" w:sz="0" w:space="0" w:color="auto"/>
        <w:left w:val="none" w:sz="0" w:space="0" w:color="auto"/>
        <w:bottom w:val="none" w:sz="0" w:space="0" w:color="auto"/>
        <w:right w:val="none" w:sz="0" w:space="0" w:color="auto"/>
      </w:divBdr>
    </w:div>
    <w:div w:id="263542567">
      <w:bodyDiv w:val="1"/>
      <w:marLeft w:val="0"/>
      <w:marRight w:val="0"/>
      <w:marTop w:val="0"/>
      <w:marBottom w:val="0"/>
      <w:divBdr>
        <w:top w:val="none" w:sz="0" w:space="0" w:color="auto"/>
        <w:left w:val="none" w:sz="0" w:space="0" w:color="auto"/>
        <w:bottom w:val="none" w:sz="0" w:space="0" w:color="auto"/>
        <w:right w:val="none" w:sz="0" w:space="0" w:color="auto"/>
      </w:divBdr>
      <w:divsChild>
        <w:div w:id="871770552">
          <w:marLeft w:val="0"/>
          <w:marRight w:val="0"/>
          <w:marTop w:val="0"/>
          <w:marBottom w:val="0"/>
          <w:divBdr>
            <w:top w:val="none" w:sz="0" w:space="0" w:color="auto"/>
            <w:left w:val="none" w:sz="0" w:space="0" w:color="auto"/>
            <w:bottom w:val="none" w:sz="0" w:space="0" w:color="auto"/>
            <w:right w:val="none" w:sz="0" w:space="0" w:color="auto"/>
          </w:divBdr>
        </w:div>
      </w:divsChild>
    </w:div>
    <w:div w:id="266616986">
      <w:bodyDiv w:val="1"/>
      <w:marLeft w:val="0"/>
      <w:marRight w:val="0"/>
      <w:marTop w:val="0"/>
      <w:marBottom w:val="0"/>
      <w:divBdr>
        <w:top w:val="none" w:sz="0" w:space="0" w:color="auto"/>
        <w:left w:val="none" w:sz="0" w:space="0" w:color="auto"/>
        <w:bottom w:val="none" w:sz="0" w:space="0" w:color="auto"/>
        <w:right w:val="none" w:sz="0" w:space="0" w:color="auto"/>
      </w:divBdr>
    </w:div>
    <w:div w:id="319693809">
      <w:bodyDiv w:val="1"/>
      <w:marLeft w:val="0"/>
      <w:marRight w:val="0"/>
      <w:marTop w:val="0"/>
      <w:marBottom w:val="0"/>
      <w:divBdr>
        <w:top w:val="none" w:sz="0" w:space="0" w:color="auto"/>
        <w:left w:val="none" w:sz="0" w:space="0" w:color="auto"/>
        <w:bottom w:val="none" w:sz="0" w:space="0" w:color="auto"/>
        <w:right w:val="none" w:sz="0" w:space="0" w:color="auto"/>
      </w:divBdr>
    </w:div>
    <w:div w:id="1040858988">
      <w:bodyDiv w:val="1"/>
      <w:marLeft w:val="0"/>
      <w:marRight w:val="0"/>
      <w:marTop w:val="0"/>
      <w:marBottom w:val="0"/>
      <w:divBdr>
        <w:top w:val="none" w:sz="0" w:space="0" w:color="auto"/>
        <w:left w:val="none" w:sz="0" w:space="0" w:color="auto"/>
        <w:bottom w:val="none" w:sz="0" w:space="0" w:color="auto"/>
        <w:right w:val="none" w:sz="0" w:space="0" w:color="auto"/>
      </w:divBdr>
    </w:div>
    <w:div w:id="1192837798">
      <w:bodyDiv w:val="1"/>
      <w:marLeft w:val="0"/>
      <w:marRight w:val="0"/>
      <w:marTop w:val="0"/>
      <w:marBottom w:val="0"/>
      <w:divBdr>
        <w:top w:val="none" w:sz="0" w:space="0" w:color="auto"/>
        <w:left w:val="none" w:sz="0" w:space="0" w:color="auto"/>
        <w:bottom w:val="none" w:sz="0" w:space="0" w:color="auto"/>
        <w:right w:val="none" w:sz="0" w:space="0" w:color="auto"/>
      </w:divBdr>
    </w:div>
    <w:div w:id="1260262447">
      <w:bodyDiv w:val="1"/>
      <w:marLeft w:val="0"/>
      <w:marRight w:val="0"/>
      <w:marTop w:val="0"/>
      <w:marBottom w:val="0"/>
      <w:divBdr>
        <w:top w:val="none" w:sz="0" w:space="0" w:color="auto"/>
        <w:left w:val="none" w:sz="0" w:space="0" w:color="auto"/>
        <w:bottom w:val="none" w:sz="0" w:space="0" w:color="auto"/>
        <w:right w:val="none" w:sz="0" w:space="0" w:color="auto"/>
      </w:divBdr>
    </w:div>
    <w:div w:id="1411198182">
      <w:bodyDiv w:val="1"/>
      <w:marLeft w:val="0"/>
      <w:marRight w:val="0"/>
      <w:marTop w:val="0"/>
      <w:marBottom w:val="0"/>
      <w:divBdr>
        <w:top w:val="none" w:sz="0" w:space="0" w:color="auto"/>
        <w:left w:val="none" w:sz="0" w:space="0" w:color="auto"/>
        <w:bottom w:val="none" w:sz="0" w:space="0" w:color="auto"/>
        <w:right w:val="none" w:sz="0" w:space="0" w:color="auto"/>
      </w:divBdr>
    </w:div>
    <w:div w:id="1461993221">
      <w:bodyDiv w:val="1"/>
      <w:marLeft w:val="0"/>
      <w:marRight w:val="0"/>
      <w:marTop w:val="0"/>
      <w:marBottom w:val="0"/>
      <w:divBdr>
        <w:top w:val="none" w:sz="0" w:space="0" w:color="auto"/>
        <w:left w:val="none" w:sz="0" w:space="0" w:color="auto"/>
        <w:bottom w:val="none" w:sz="0" w:space="0" w:color="auto"/>
        <w:right w:val="none" w:sz="0" w:space="0" w:color="auto"/>
      </w:divBdr>
    </w:div>
    <w:div w:id="1688555054">
      <w:bodyDiv w:val="1"/>
      <w:marLeft w:val="0"/>
      <w:marRight w:val="0"/>
      <w:marTop w:val="0"/>
      <w:marBottom w:val="0"/>
      <w:divBdr>
        <w:top w:val="none" w:sz="0" w:space="0" w:color="auto"/>
        <w:left w:val="none" w:sz="0" w:space="0" w:color="auto"/>
        <w:bottom w:val="none" w:sz="0" w:space="0" w:color="auto"/>
        <w:right w:val="none" w:sz="0" w:space="0" w:color="auto"/>
      </w:divBdr>
    </w:div>
    <w:div w:id="1719234170">
      <w:bodyDiv w:val="1"/>
      <w:marLeft w:val="0"/>
      <w:marRight w:val="0"/>
      <w:marTop w:val="0"/>
      <w:marBottom w:val="0"/>
      <w:divBdr>
        <w:top w:val="none" w:sz="0" w:space="0" w:color="auto"/>
        <w:left w:val="none" w:sz="0" w:space="0" w:color="auto"/>
        <w:bottom w:val="none" w:sz="0" w:space="0" w:color="auto"/>
        <w:right w:val="none" w:sz="0" w:space="0" w:color="auto"/>
      </w:divBdr>
    </w:div>
    <w:div w:id="1733036450">
      <w:bodyDiv w:val="1"/>
      <w:marLeft w:val="0"/>
      <w:marRight w:val="0"/>
      <w:marTop w:val="0"/>
      <w:marBottom w:val="0"/>
      <w:divBdr>
        <w:top w:val="none" w:sz="0" w:space="0" w:color="auto"/>
        <w:left w:val="none" w:sz="0" w:space="0" w:color="auto"/>
        <w:bottom w:val="none" w:sz="0" w:space="0" w:color="auto"/>
        <w:right w:val="none" w:sz="0" w:space="0" w:color="auto"/>
      </w:divBdr>
      <w:divsChild>
        <w:div w:id="1127166008">
          <w:marLeft w:val="0"/>
          <w:marRight w:val="0"/>
          <w:marTop w:val="0"/>
          <w:marBottom w:val="0"/>
          <w:divBdr>
            <w:top w:val="none" w:sz="0" w:space="0" w:color="auto"/>
            <w:left w:val="none" w:sz="0" w:space="0" w:color="auto"/>
            <w:bottom w:val="none" w:sz="0" w:space="0" w:color="auto"/>
            <w:right w:val="none" w:sz="0" w:space="0" w:color="auto"/>
          </w:divBdr>
        </w:div>
      </w:divsChild>
    </w:div>
    <w:div w:id="1770656318">
      <w:bodyDiv w:val="1"/>
      <w:marLeft w:val="0"/>
      <w:marRight w:val="0"/>
      <w:marTop w:val="0"/>
      <w:marBottom w:val="0"/>
      <w:divBdr>
        <w:top w:val="none" w:sz="0" w:space="0" w:color="auto"/>
        <w:left w:val="none" w:sz="0" w:space="0" w:color="auto"/>
        <w:bottom w:val="none" w:sz="0" w:space="0" w:color="auto"/>
        <w:right w:val="none" w:sz="0" w:space="0" w:color="auto"/>
      </w:divBdr>
      <w:divsChild>
        <w:div w:id="969676220">
          <w:marLeft w:val="0"/>
          <w:marRight w:val="0"/>
          <w:marTop w:val="0"/>
          <w:marBottom w:val="0"/>
          <w:divBdr>
            <w:top w:val="none" w:sz="0" w:space="0" w:color="auto"/>
            <w:left w:val="none" w:sz="0" w:space="0" w:color="auto"/>
            <w:bottom w:val="none" w:sz="0" w:space="0" w:color="auto"/>
            <w:right w:val="none" w:sz="0" w:space="0" w:color="auto"/>
          </w:divBdr>
          <w:divsChild>
            <w:div w:id="1623347093">
              <w:marLeft w:val="0"/>
              <w:marRight w:val="0"/>
              <w:marTop w:val="0"/>
              <w:marBottom w:val="0"/>
              <w:divBdr>
                <w:top w:val="none" w:sz="0" w:space="0" w:color="auto"/>
                <w:left w:val="none" w:sz="0" w:space="0" w:color="auto"/>
                <w:bottom w:val="none" w:sz="0" w:space="0" w:color="auto"/>
                <w:right w:val="none" w:sz="0" w:space="0" w:color="auto"/>
              </w:divBdr>
              <w:divsChild>
                <w:div w:id="1598250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6258813">
          <w:marLeft w:val="0"/>
          <w:marRight w:val="0"/>
          <w:marTop w:val="0"/>
          <w:marBottom w:val="0"/>
          <w:divBdr>
            <w:top w:val="none" w:sz="0" w:space="0" w:color="auto"/>
            <w:left w:val="none" w:sz="0" w:space="0" w:color="auto"/>
            <w:bottom w:val="none" w:sz="0" w:space="0" w:color="auto"/>
            <w:right w:val="none" w:sz="0" w:space="0" w:color="auto"/>
          </w:divBdr>
          <w:divsChild>
            <w:div w:id="2093893396">
              <w:marLeft w:val="0"/>
              <w:marRight w:val="0"/>
              <w:marTop w:val="0"/>
              <w:marBottom w:val="0"/>
              <w:divBdr>
                <w:top w:val="none" w:sz="0" w:space="0" w:color="auto"/>
                <w:left w:val="none" w:sz="0" w:space="0" w:color="auto"/>
                <w:bottom w:val="none" w:sz="0" w:space="0" w:color="auto"/>
                <w:right w:val="none" w:sz="0" w:space="0" w:color="auto"/>
              </w:divBdr>
              <w:divsChild>
                <w:div w:id="1944415706">
                  <w:marLeft w:val="0"/>
                  <w:marRight w:val="0"/>
                  <w:marTop w:val="0"/>
                  <w:marBottom w:val="0"/>
                  <w:divBdr>
                    <w:top w:val="none" w:sz="0" w:space="0" w:color="auto"/>
                    <w:left w:val="none" w:sz="0" w:space="0" w:color="auto"/>
                    <w:bottom w:val="none" w:sz="0" w:space="0" w:color="auto"/>
                    <w:right w:val="none" w:sz="0" w:space="0" w:color="auto"/>
                  </w:divBdr>
                  <w:divsChild>
                    <w:div w:id="464547921">
                      <w:marLeft w:val="0"/>
                      <w:marRight w:val="0"/>
                      <w:marTop w:val="0"/>
                      <w:marBottom w:val="0"/>
                      <w:divBdr>
                        <w:top w:val="none" w:sz="0" w:space="0" w:color="auto"/>
                        <w:left w:val="none" w:sz="0" w:space="0" w:color="auto"/>
                        <w:bottom w:val="none" w:sz="0" w:space="0" w:color="auto"/>
                        <w:right w:val="none" w:sz="0" w:space="0" w:color="auto"/>
                      </w:divBdr>
                      <w:divsChild>
                        <w:div w:id="688340420">
                          <w:marLeft w:val="0"/>
                          <w:marRight w:val="0"/>
                          <w:marTop w:val="0"/>
                          <w:marBottom w:val="0"/>
                          <w:divBdr>
                            <w:top w:val="none" w:sz="0" w:space="0" w:color="auto"/>
                            <w:left w:val="none" w:sz="0" w:space="0" w:color="auto"/>
                            <w:bottom w:val="none" w:sz="0" w:space="0" w:color="auto"/>
                            <w:right w:val="none" w:sz="0" w:space="0" w:color="auto"/>
                          </w:divBdr>
                          <w:divsChild>
                            <w:div w:id="624698628">
                              <w:marLeft w:val="0"/>
                              <w:marRight w:val="0"/>
                              <w:marTop w:val="0"/>
                              <w:marBottom w:val="0"/>
                              <w:divBdr>
                                <w:top w:val="none" w:sz="0" w:space="0" w:color="auto"/>
                                <w:left w:val="none" w:sz="0" w:space="0" w:color="auto"/>
                                <w:bottom w:val="none" w:sz="0" w:space="0" w:color="auto"/>
                                <w:right w:val="none" w:sz="0" w:space="0" w:color="auto"/>
                              </w:divBdr>
                              <w:divsChild>
                                <w:div w:id="1258446292">
                                  <w:marLeft w:val="0"/>
                                  <w:marRight w:val="0"/>
                                  <w:marTop w:val="0"/>
                                  <w:marBottom w:val="0"/>
                                  <w:divBdr>
                                    <w:top w:val="none" w:sz="0" w:space="0" w:color="auto"/>
                                    <w:left w:val="single" w:sz="6" w:space="0" w:color="DCDCDC"/>
                                    <w:bottom w:val="none" w:sz="0" w:space="0" w:color="auto"/>
                                    <w:right w:val="single" w:sz="6" w:space="0" w:color="DCDCDC"/>
                                  </w:divBdr>
                                  <w:divsChild>
                                    <w:div w:id="717507648">
                                      <w:marLeft w:val="0"/>
                                      <w:marRight w:val="0"/>
                                      <w:marTop w:val="0"/>
                                      <w:marBottom w:val="0"/>
                                      <w:divBdr>
                                        <w:top w:val="none" w:sz="0" w:space="0" w:color="auto"/>
                                        <w:left w:val="none" w:sz="0" w:space="0" w:color="auto"/>
                                        <w:bottom w:val="none" w:sz="0" w:space="0" w:color="auto"/>
                                        <w:right w:val="none" w:sz="0" w:space="0" w:color="auto"/>
                                      </w:divBdr>
                                      <w:divsChild>
                                        <w:div w:id="2006784773">
                                          <w:marLeft w:val="0"/>
                                          <w:marRight w:val="0"/>
                                          <w:marTop w:val="0"/>
                                          <w:marBottom w:val="0"/>
                                          <w:divBdr>
                                            <w:top w:val="none" w:sz="0" w:space="0" w:color="auto"/>
                                            <w:left w:val="none" w:sz="0" w:space="0" w:color="auto"/>
                                            <w:bottom w:val="none" w:sz="0" w:space="0" w:color="auto"/>
                                            <w:right w:val="none" w:sz="0" w:space="0" w:color="auto"/>
                                          </w:divBdr>
                                          <w:divsChild>
                                            <w:div w:id="880049671">
                                              <w:marLeft w:val="0"/>
                                              <w:marRight w:val="0"/>
                                              <w:marTop w:val="0"/>
                                              <w:marBottom w:val="0"/>
                                              <w:divBdr>
                                                <w:top w:val="none" w:sz="0" w:space="0" w:color="auto"/>
                                                <w:left w:val="none" w:sz="0" w:space="0" w:color="auto"/>
                                                <w:bottom w:val="none" w:sz="0" w:space="0" w:color="auto"/>
                                                <w:right w:val="none" w:sz="0" w:space="0" w:color="auto"/>
                                              </w:divBdr>
                                              <w:divsChild>
                                                <w:div w:id="615914971">
                                                  <w:marLeft w:val="0"/>
                                                  <w:marRight w:val="0"/>
                                                  <w:marTop w:val="0"/>
                                                  <w:marBottom w:val="0"/>
                                                  <w:divBdr>
                                                    <w:top w:val="single" w:sz="6" w:space="0" w:color="C2C3C4"/>
                                                    <w:left w:val="single" w:sz="6" w:space="0" w:color="C2C3C4"/>
                                                    <w:bottom w:val="none" w:sz="0" w:space="0" w:color="auto"/>
                                                    <w:right w:val="single" w:sz="6" w:space="0" w:color="C2C3C4"/>
                                                  </w:divBdr>
                                                  <w:divsChild>
                                                    <w:div w:id="423301042">
                                                      <w:marLeft w:val="0"/>
                                                      <w:marRight w:val="0"/>
                                                      <w:marTop w:val="0"/>
                                                      <w:marBottom w:val="0"/>
                                                      <w:divBdr>
                                                        <w:top w:val="none" w:sz="0" w:space="0" w:color="auto"/>
                                                        <w:left w:val="none" w:sz="0" w:space="0" w:color="auto"/>
                                                        <w:bottom w:val="none" w:sz="0" w:space="0" w:color="auto"/>
                                                        <w:right w:val="none" w:sz="0" w:space="0" w:color="auto"/>
                                                      </w:divBdr>
                                                      <w:divsChild>
                                                        <w:div w:id="753010963">
                                                          <w:marLeft w:val="0"/>
                                                          <w:marRight w:val="0"/>
                                                          <w:marTop w:val="0"/>
                                                          <w:marBottom w:val="0"/>
                                                          <w:divBdr>
                                                            <w:top w:val="none" w:sz="0" w:space="0" w:color="auto"/>
                                                            <w:left w:val="none" w:sz="0" w:space="0" w:color="auto"/>
                                                            <w:bottom w:val="none" w:sz="0" w:space="0" w:color="auto"/>
                                                            <w:right w:val="none" w:sz="0" w:space="0" w:color="auto"/>
                                                          </w:divBdr>
                                                          <w:divsChild>
                                                            <w:div w:id="1380476278">
                                                              <w:marLeft w:val="90"/>
                                                              <w:marRight w:val="0"/>
                                                              <w:marTop w:val="0"/>
                                                              <w:marBottom w:val="0"/>
                                                              <w:divBdr>
                                                                <w:top w:val="none" w:sz="0" w:space="0" w:color="auto"/>
                                                                <w:left w:val="none" w:sz="0" w:space="0" w:color="auto"/>
                                                                <w:bottom w:val="none" w:sz="0" w:space="0" w:color="auto"/>
                                                                <w:right w:val="none" w:sz="0" w:space="0" w:color="auto"/>
                                                              </w:divBdr>
                                                            </w:div>
                                                            <w:div w:id="281225698">
                                                              <w:marLeft w:val="90"/>
                                                              <w:marRight w:val="0"/>
                                                              <w:marTop w:val="0"/>
                                                              <w:marBottom w:val="0"/>
                                                              <w:divBdr>
                                                                <w:top w:val="none" w:sz="0" w:space="0" w:color="auto"/>
                                                                <w:left w:val="none" w:sz="0" w:space="0" w:color="auto"/>
                                                                <w:bottom w:val="none" w:sz="0" w:space="0" w:color="auto"/>
                                                                <w:right w:val="none" w:sz="0" w:space="0" w:color="auto"/>
                                                              </w:divBdr>
                                                            </w:div>
                                                            <w:div w:id="1307665177">
                                                              <w:marLeft w:val="90"/>
                                                              <w:marRight w:val="0"/>
                                                              <w:marTop w:val="0"/>
                                                              <w:marBottom w:val="0"/>
                                                              <w:divBdr>
                                                                <w:top w:val="none" w:sz="0" w:space="0" w:color="auto"/>
                                                                <w:left w:val="none" w:sz="0" w:space="0" w:color="auto"/>
                                                                <w:bottom w:val="none" w:sz="0" w:space="0" w:color="auto"/>
                                                                <w:right w:val="none" w:sz="0" w:space="0" w:color="auto"/>
                                                              </w:divBdr>
                                                            </w:div>
                                                            <w:div w:id="1371801787">
                                                              <w:marLeft w:val="90"/>
                                                              <w:marRight w:val="0"/>
                                                              <w:marTop w:val="0"/>
                                                              <w:marBottom w:val="0"/>
                                                              <w:divBdr>
                                                                <w:top w:val="none" w:sz="0" w:space="0" w:color="auto"/>
                                                                <w:left w:val="none" w:sz="0" w:space="0" w:color="auto"/>
                                                                <w:bottom w:val="none" w:sz="0" w:space="0" w:color="auto"/>
                                                                <w:right w:val="none" w:sz="0" w:space="0" w:color="auto"/>
                                                              </w:divBdr>
                                                            </w:div>
                                                            <w:div w:id="147795277">
                                                              <w:marLeft w:val="90"/>
                                                              <w:marRight w:val="0"/>
                                                              <w:marTop w:val="0"/>
                                                              <w:marBottom w:val="0"/>
                                                              <w:divBdr>
                                                                <w:top w:val="none" w:sz="0" w:space="0" w:color="auto"/>
                                                                <w:left w:val="none" w:sz="0" w:space="0" w:color="auto"/>
                                                                <w:bottom w:val="none" w:sz="0" w:space="0" w:color="auto"/>
                                                                <w:right w:val="none" w:sz="0" w:space="0" w:color="auto"/>
                                                              </w:divBdr>
                                                            </w:div>
                                                            <w:div w:id="2027829031">
                                                              <w:marLeft w:val="90"/>
                                                              <w:marRight w:val="0"/>
                                                              <w:marTop w:val="0"/>
                                                              <w:marBottom w:val="0"/>
                                                              <w:divBdr>
                                                                <w:top w:val="none" w:sz="0" w:space="0" w:color="auto"/>
                                                                <w:left w:val="none" w:sz="0" w:space="0" w:color="auto"/>
                                                                <w:bottom w:val="none" w:sz="0" w:space="0" w:color="auto"/>
                                                                <w:right w:val="none" w:sz="0" w:space="0" w:color="auto"/>
                                                              </w:divBdr>
                                                            </w:div>
                                                            <w:div w:id="1895383975">
                                                              <w:marLeft w:val="9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185080">
                                                  <w:marLeft w:val="0"/>
                                                  <w:marRight w:val="0"/>
                                                  <w:marTop w:val="0"/>
                                                  <w:marBottom w:val="0"/>
                                                  <w:divBdr>
                                                    <w:top w:val="none" w:sz="0" w:space="0" w:color="auto"/>
                                                    <w:left w:val="none" w:sz="0" w:space="0" w:color="auto"/>
                                                    <w:bottom w:val="none" w:sz="0" w:space="0" w:color="auto"/>
                                                    <w:right w:val="none" w:sz="0" w:space="0" w:color="auto"/>
                                                  </w:divBdr>
                                                  <w:divsChild>
                                                    <w:div w:id="1612081199">
                                                      <w:marLeft w:val="0"/>
                                                      <w:marRight w:val="0"/>
                                                      <w:marTop w:val="0"/>
                                                      <w:marBottom w:val="0"/>
                                                      <w:divBdr>
                                                        <w:top w:val="none" w:sz="0" w:space="0" w:color="auto"/>
                                                        <w:left w:val="none" w:sz="0" w:space="0" w:color="auto"/>
                                                        <w:bottom w:val="none" w:sz="0" w:space="0" w:color="auto"/>
                                                        <w:right w:val="none" w:sz="0" w:space="0" w:color="auto"/>
                                                      </w:divBdr>
                                                    </w:div>
                                                  </w:divsChild>
                                                </w:div>
                                                <w:div w:id="1925256468">
                                                  <w:marLeft w:val="0"/>
                                                  <w:marRight w:val="0"/>
                                                  <w:marTop w:val="0"/>
                                                  <w:marBottom w:val="0"/>
                                                  <w:divBdr>
                                                    <w:top w:val="none" w:sz="0" w:space="0" w:color="auto"/>
                                                    <w:left w:val="none" w:sz="0" w:space="0" w:color="auto"/>
                                                    <w:bottom w:val="none" w:sz="0" w:space="0" w:color="auto"/>
                                                    <w:right w:val="none" w:sz="0" w:space="0" w:color="auto"/>
                                                  </w:divBdr>
                                                  <w:divsChild>
                                                    <w:div w:id="352538816">
                                                      <w:marLeft w:val="0"/>
                                                      <w:marRight w:val="0"/>
                                                      <w:marTop w:val="0"/>
                                                      <w:marBottom w:val="0"/>
                                                      <w:divBdr>
                                                        <w:top w:val="none" w:sz="0" w:space="0" w:color="auto"/>
                                                        <w:left w:val="none" w:sz="0" w:space="0" w:color="auto"/>
                                                        <w:bottom w:val="none" w:sz="0" w:space="0" w:color="auto"/>
                                                        <w:right w:val="none" w:sz="0" w:space="0" w:color="auto"/>
                                                      </w:divBdr>
                                                    </w:div>
                                                  </w:divsChild>
                                                </w:div>
                                                <w:div w:id="759368885">
                                                  <w:marLeft w:val="0"/>
                                                  <w:marRight w:val="0"/>
                                                  <w:marTop w:val="0"/>
                                                  <w:marBottom w:val="0"/>
                                                  <w:divBdr>
                                                    <w:top w:val="none" w:sz="0" w:space="0" w:color="auto"/>
                                                    <w:left w:val="none" w:sz="0" w:space="0" w:color="auto"/>
                                                    <w:bottom w:val="none" w:sz="0" w:space="0" w:color="auto"/>
                                                    <w:right w:val="none" w:sz="0" w:space="0" w:color="auto"/>
                                                  </w:divBdr>
                                                  <w:divsChild>
                                                    <w:div w:id="994727967">
                                                      <w:marLeft w:val="0"/>
                                                      <w:marRight w:val="0"/>
                                                      <w:marTop w:val="0"/>
                                                      <w:marBottom w:val="0"/>
                                                      <w:divBdr>
                                                        <w:top w:val="none" w:sz="0" w:space="0" w:color="auto"/>
                                                        <w:left w:val="none" w:sz="0" w:space="0" w:color="auto"/>
                                                        <w:bottom w:val="none" w:sz="0" w:space="0" w:color="auto"/>
                                                        <w:right w:val="none" w:sz="0" w:space="0" w:color="auto"/>
                                                      </w:divBdr>
                                                    </w:div>
                                                  </w:divsChild>
                                                </w:div>
                                                <w:div w:id="2038433021">
                                                  <w:marLeft w:val="0"/>
                                                  <w:marRight w:val="0"/>
                                                  <w:marTop w:val="0"/>
                                                  <w:marBottom w:val="0"/>
                                                  <w:divBdr>
                                                    <w:top w:val="none" w:sz="0" w:space="0" w:color="auto"/>
                                                    <w:left w:val="none" w:sz="0" w:space="0" w:color="auto"/>
                                                    <w:bottom w:val="none" w:sz="0" w:space="0" w:color="auto"/>
                                                    <w:right w:val="none" w:sz="0" w:space="0" w:color="auto"/>
                                                  </w:divBdr>
                                                  <w:divsChild>
                                                    <w:div w:id="420877193">
                                                      <w:marLeft w:val="0"/>
                                                      <w:marRight w:val="0"/>
                                                      <w:marTop w:val="0"/>
                                                      <w:marBottom w:val="0"/>
                                                      <w:divBdr>
                                                        <w:top w:val="none" w:sz="0" w:space="0" w:color="auto"/>
                                                        <w:left w:val="none" w:sz="0" w:space="0" w:color="auto"/>
                                                        <w:bottom w:val="none" w:sz="0" w:space="0" w:color="auto"/>
                                                        <w:right w:val="none" w:sz="0" w:space="0" w:color="auto"/>
                                                      </w:divBdr>
                                                    </w:div>
                                                  </w:divsChild>
                                                </w:div>
                                                <w:div w:id="1462309225">
                                                  <w:marLeft w:val="0"/>
                                                  <w:marRight w:val="0"/>
                                                  <w:marTop w:val="0"/>
                                                  <w:marBottom w:val="0"/>
                                                  <w:divBdr>
                                                    <w:top w:val="none" w:sz="0" w:space="0" w:color="auto"/>
                                                    <w:left w:val="none" w:sz="0" w:space="0" w:color="auto"/>
                                                    <w:bottom w:val="none" w:sz="0" w:space="0" w:color="auto"/>
                                                    <w:right w:val="none" w:sz="0" w:space="0" w:color="auto"/>
                                                  </w:divBdr>
                                                  <w:divsChild>
                                                    <w:div w:id="1644693864">
                                                      <w:marLeft w:val="0"/>
                                                      <w:marRight w:val="0"/>
                                                      <w:marTop w:val="0"/>
                                                      <w:marBottom w:val="0"/>
                                                      <w:divBdr>
                                                        <w:top w:val="none" w:sz="0" w:space="0" w:color="auto"/>
                                                        <w:left w:val="none" w:sz="0" w:space="0" w:color="auto"/>
                                                        <w:bottom w:val="none" w:sz="0" w:space="0" w:color="auto"/>
                                                        <w:right w:val="none" w:sz="0" w:space="0" w:color="auto"/>
                                                      </w:divBdr>
                                                    </w:div>
                                                  </w:divsChild>
                                                </w:div>
                                                <w:div w:id="2033995392">
                                                  <w:marLeft w:val="0"/>
                                                  <w:marRight w:val="0"/>
                                                  <w:marTop w:val="0"/>
                                                  <w:marBottom w:val="0"/>
                                                  <w:divBdr>
                                                    <w:top w:val="none" w:sz="0" w:space="0" w:color="auto"/>
                                                    <w:left w:val="none" w:sz="0" w:space="0" w:color="auto"/>
                                                    <w:bottom w:val="none" w:sz="0" w:space="0" w:color="auto"/>
                                                    <w:right w:val="none" w:sz="0" w:space="0" w:color="auto"/>
                                                  </w:divBdr>
                                                  <w:divsChild>
                                                    <w:div w:id="23865750">
                                                      <w:marLeft w:val="0"/>
                                                      <w:marRight w:val="0"/>
                                                      <w:marTop w:val="0"/>
                                                      <w:marBottom w:val="0"/>
                                                      <w:divBdr>
                                                        <w:top w:val="none" w:sz="0" w:space="0" w:color="auto"/>
                                                        <w:left w:val="none" w:sz="0" w:space="0" w:color="auto"/>
                                                        <w:bottom w:val="none" w:sz="0" w:space="0" w:color="auto"/>
                                                        <w:right w:val="none" w:sz="0" w:space="0" w:color="auto"/>
                                                      </w:divBdr>
                                                    </w:div>
                                                  </w:divsChild>
                                                </w:div>
                                                <w:div w:id="1587301630">
                                                  <w:marLeft w:val="0"/>
                                                  <w:marRight w:val="0"/>
                                                  <w:marTop w:val="0"/>
                                                  <w:marBottom w:val="0"/>
                                                  <w:divBdr>
                                                    <w:top w:val="none" w:sz="0" w:space="0" w:color="auto"/>
                                                    <w:left w:val="none" w:sz="0" w:space="0" w:color="auto"/>
                                                    <w:bottom w:val="none" w:sz="0" w:space="0" w:color="auto"/>
                                                    <w:right w:val="none" w:sz="0" w:space="0" w:color="auto"/>
                                                  </w:divBdr>
                                                  <w:divsChild>
                                                    <w:div w:id="341055088">
                                                      <w:marLeft w:val="0"/>
                                                      <w:marRight w:val="0"/>
                                                      <w:marTop w:val="0"/>
                                                      <w:marBottom w:val="0"/>
                                                      <w:divBdr>
                                                        <w:top w:val="none" w:sz="0" w:space="0" w:color="auto"/>
                                                        <w:left w:val="none" w:sz="0" w:space="0" w:color="auto"/>
                                                        <w:bottom w:val="none" w:sz="0" w:space="0" w:color="auto"/>
                                                        <w:right w:val="none" w:sz="0" w:space="0" w:color="auto"/>
                                                      </w:divBdr>
                                                    </w:div>
                                                  </w:divsChild>
                                                </w:div>
                                                <w:div w:id="1368867457">
                                                  <w:marLeft w:val="0"/>
                                                  <w:marRight w:val="0"/>
                                                  <w:marTop w:val="0"/>
                                                  <w:marBottom w:val="0"/>
                                                  <w:divBdr>
                                                    <w:top w:val="none" w:sz="0" w:space="0" w:color="auto"/>
                                                    <w:left w:val="none" w:sz="0" w:space="0" w:color="auto"/>
                                                    <w:bottom w:val="none" w:sz="0" w:space="0" w:color="auto"/>
                                                    <w:right w:val="none" w:sz="0" w:space="0" w:color="auto"/>
                                                  </w:divBdr>
                                                  <w:divsChild>
                                                    <w:div w:id="1156920776">
                                                      <w:marLeft w:val="0"/>
                                                      <w:marRight w:val="0"/>
                                                      <w:marTop w:val="0"/>
                                                      <w:marBottom w:val="0"/>
                                                      <w:divBdr>
                                                        <w:top w:val="none" w:sz="0" w:space="0" w:color="auto"/>
                                                        <w:left w:val="none" w:sz="0" w:space="0" w:color="auto"/>
                                                        <w:bottom w:val="none" w:sz="0" w:space="0" w:color="auto"/>
                                                        <w:right w:val="none" w:sz="0" w:space="0" w:color="auto"/>
                                                      </w:divBdr>
                                                    </w:div>
                                                  </w:divsChild>
                                                </w:div>
                                                <w:div w:id="420641746">
                                                  <w:marLeft w:val="0"/>
                                                  <w:marRight w:val="0"/>
                                                  <w:marTop w:val="0"/>
                                                  <w:marBottom w:val="0"/>
                                                  <w:divBdr>
                                                    <w:top w:val="none" w:sz="0" w:space="0" w:color="auto"/>
                                                    <w:left w:val="none" w:sz="0" w:space="0" w:color="auto"/>
                                                    <w:bottom w:val="none" w:sz="0" w:space="0" w:color="auto"/>
                                                    <w:right w:val="none" w:sz="0" w:space="0" w:color="auto"/>
                                                  </w:divBdr>
                                                  <w:divsChild>
                                                    <w:div w:id="1812626158">
                                                      <w:marLeft w:val="0"/>
                                                      <w:marRight w:val="0"/>
                                                      <w:marTop w:val="0"/>
                                                      <w:marBottom w:val="0"/>
                                                      <w:divBdr>
                                                        <w:top w:val="none" w:sz="0" w:space="0" w:color="auto"/>
                                                        <w:left w:val="none" w:sz="0" w:space="0" w:color="auto"/>
                                                        <w:bottom w:val="none" w:sz="0" w:space="0" w:color="auto"/>
                                                        <w:right w:val="none" w:sz="0" w:space="0" w:color="auto"/>
                                                      </w:divBdr>
                                                    </w:div>
                                                  </w:divsChild>
                                                </w:div>
                                                <w:div w:id="1677268989">
                                                  <w:marLeft w:val="0"/>
                                                  <w:marRight w:val="0"/>
                                                  <w:marTop w:val="0"/>
                                                  <w:marBottom w:val="0"/>
                                                  <w:divBdr>
                                                    <w:top w:val="none" w:sz="0" w:space="0" w:color="auto"/>
                                                    <w:left w:val="none" w:sz="0" w:space="0" w:color="auto"/>
                                                    <w:bottom w:val="none" w:sz="0" w:space="0" w:color="auto"/>
                                                    <w:right w:val="none" w:sz="0" w:space="0" w:color="auto"/>
                                                  </w:divBdr>
                                                  <w:divsChild>
                                                    <w:div w:id="1309820262">
                                                      <w:marLeft w:val="0"/>
                                                      <w:marRight w:val="0"/>
                                                      <w:marTop w:val="0"/>
                                                      <w:marBottom w:val="0"/>
                                                      <w:divBdr>
                                                        <w:top w:val="none" w:sz="0" w:space="0" w:color="auto"/>
                                                        <w:left w:val="none" w:sz="0" w:space="0" w:color="auto"/>
                                                        <w:bottom w:val="none" w:sz="0" w:space="0" w:color="auto"/>
                                                        <w:right w:val="none" w:sz="0" w:space="0" w:color="auto"/>
                                                      </w:divBdr>
                                                    </w:div>
                                                  </w:divsChild>
                                                </w:div>
                                                <w:div w:id="679897213">
                                                  <w:marLeft w:val="0"/>
                                                  <w:marRight w:val="0"/>
                                                  <w:marTop w:val="0"/>
                                                  <w:marBottom w:val="0"/>
                                                  <w:divBdr>
                                                    <w:top w:val="none" w:sz="0" w:space="0" w:color="auto"/>
                                                    <w:left w:val="none" w:sz="0" w:space="0" w:color="auto"/>
                                                    <w:bottom w:val="none" w:sz="0" w:space="0" w:color="auto"/>
                                                    <w:right w:val="none" w:sz="0" w:space="0" w:color="auto"/>
                                                  </w:divBdr>
                                                  <w:divsChild>
                                                    <w:div w:id="1318533605">
                                                      <w:marLeft w:val="0"/>
                                                      <w:marRight w:val="0"/>
                                                      <w:marTop w:val="0"/>
                                                      <w:marBottom w:val="0"/>
                                                      <w:divBdr>
                                                        <w:top w:val="none" w:sz="0" w:space="0" w:color="auto"/>
                                                        <w:left w:val="none" w:sz="0" w:space="0" w:color="auto"/>
                                                        <w:bottom w:val="none" w:sz="0" w:space="0" w:color="auto"/>
                                                        <w:right w:val="none" w:sz="0" w:space="0" w:color="auto"/>
                                                      </w:divBdr>
                                                    </w:div>
                                                  </w:divsChild>
                                                </w:div>
                                                <w:div w:id="1131020537">
                                                  <w:marLeft w:val="0"/>
                                                  <w:marRight w:val="0"/>
                                                  <w:marTop w:val="0"/>
                                                  <w:marBottom w:val="0"/>
                                                  <w:divBdr>
                                                    <w:top w:val="none" w:sz="0" w:space="0" w:color="auto"/>
                                                    <w:left w:val="none" w:sz="0" w:space="0" w:color="auto"/>
                                                    <w:bottom w:val="none" w:sz="0" w:space="0" w:color="auto"/>
                                                    <w:right w:val="none" w:sz="0" w:space="0" w:color="auto"/>
                                                  </w:divBdr>
                                                  <w:divsChild>
                                                    <w:div w:id="1018701098">
                                                      <w:marLeft w:val="0"/>
                                                      <w:marRight w:val="0"/>
                                                      <w:marTop w:val="0"/>
                                                      <w:marBottom w:val="0"/>
                                                      <w:divBdr>
                                                        <w:top w:val="none" w:sz="0" w:space="0" w:color="auto"/>
                                                        <w:left w:val="none" w:sz="0" w:space="0" w:color="auto"/>
                                                        <w:bottom w:val="none" w:sz="0" w:space="0" w:color="auto"/>
                                                        <w:right w:val="none" w:sz="0" w:space="0" w:color="auto"/>
                                                      </w:divBdr>
                                                    </w:div>
                                                  </w:divsChild>
                                                </w:div>
                                                <w:div w:id="1698191210">
                                                  <w:marLeft w:val="0"/>
                                                  <w:marRight w:val="0"/>
                                                  <w:marTop w:val="0"/>
                                                  <w:marBottom w:val="0"/>
                                                  <w:divBdr>
                                                    <w:top w:val="none" w:sz="0" w:space="0" w:color="auto"/>
                                                    <w:left w:val="none" w:sz="0" w:space="0" w:color="auto"/>
                                                    <w:bottom w:val="none" w:sz="0" w:space="0" w:color="auto"/>
                                                    <w:right w:val="none" w:sz="0" w:space="0" w:color="auto"/>
                                                  </w:divBdr>
                                                  <w:divsChild>
                                                    <w:div w:id="1310590892">
                                                      <w:marLeft w:val="0"/>
                                                      <w:marRight w:val="0"/>
                                                      <w:marTop w:val="0"/>
                                                      <w:marBottom w:val="0"/>
                                                      <w:divBdr>
                                                        <w:top w:val="none" w:sz="0" w:space="0" w:color="auto"/>
                                                        <w:left w:val="none" w:sz="0" w:space="0" w:color="auto"/>
                                                        <w:bottom w:val="none" w:sz="0" w:space="0" w:color="auto"/>
                                                        <w:right w:val="none" w:sz="0" w:space="0" w:color="auto"/>
                                                      </w:divBdr>
                                                    </w:div>
                                                  </w:divsChild>
                                                </w:div>
                                                <w:div w:id="1843231638">
                                                  <w:marLeft w:val="0"/>
                                                  <w:marRight w:val="0"/>
                                                  <w:marTop w:val="0"/>
                                                  <w:marBottom w:val="0"/>
                                                  <w:divBdr>
                                                    <w:top w:val="none" w:sz="0" w:space="0" w:color="auto"/>
                                                    <w:left w:val="none" w:sz="0" w:space="0" w:color="auto"/>
                                                    <w:bottom w:val="none" w:sz="0" w:space="0" w:color="auto"/>
                                                    <w:right w:val="none" w:sz="0" w:space="0" w:color="auto"/>
                                                  </w:divBdr>
                                                  <w:divsChild>
                                                    <w:div w:id="506362271">
                                                      <w:marLeft w:val="0"/>
                                                      <w:marRight w:val="0"/>
                                                      <w:marTop w:val="0"/>
                                                      <w:marBottom w:val="0"/>
                                                      <w:divBdr>
                                                        <w:top w:val="none" w:sz="0" w:space="0" w:color="auto"/>
                                                        <w:left w:val="none" w:sz="0" w:space="0" w:color="auto"/>
                                                        <w:bottom w:val="none" w:sz="0" w:space="0" w:color="auto"/>
                                                        <w:right w:val="none" w:sz="0" w:space="0" w:color="auto"/>
                                                      </w:divBdr>
                                                    </w:div>
                                                  </w:divsChild>
                                                </w:div>
                                                <w:div w:id="1538196268">
                                                  <w:marLeft w:val="0"/>
                                                  <w:marRight w:val="0"/>
                                                  <w:marTop w:val="0"/>
                                                  <w:marBottom w:val="0"/>
                                                  <w:divBdr>
                                                    <w:top w:val="none" w:sz="0" w:space="0" w:color="auto"/>
                                                    <w:left w:val="none" w:sz="0" w:space="0" w:color="auto"/>
                                                    <w:bottom w:val="none" w:sz="0" w:space="0" w:color="auto"/>
                                                    <w:right w:val="none" w:sz="0" w:space="0" w:color="auto"/>
                                                  </w:divBdr>
                                                  <w:divsChild>
                                                    <w:div w:id="1646276981">
                                                      <w:marLeft w:val="0"/>
                                                      <w:marRight w:val="0"/>
                                                      <w:marTop w:val="0"/>
                                                      <w:marBottom w:val="0"/>
                                                      <w:divBdr>
                                                        <w:top w:val="none" w:sz="0" w:space="0" w:color="auto"/>
                                                        <w:left w:val="none" w:sz="0" w:space="0" w:color="auto"/>
                                                        <w:bottom w:val="none" w:sz="0" w:space="0" w:color="auto"/>
                                                        <w:right w:val="none" w:sz="0" w:space="0" w:color="auto"/>
                                                      </w:divBdr>
                                                    </w:div>
                                                  </w:divsChild>
                                                </w:div>
                                                <w:div w:id="1072391497">
                                                  <w:marLeft w:val="0"/>
                                                  <w:marRight w:val="0"/>
                                                  <w:marTop w:val="0"/>
                                                  <w:marBottom w:val="0"/>
                                                  <w:divBdr>
                                                    <w:top w:val="none" w:sz="0" w:space="0" w:color="auto"/>
                                                    <w:left w:val="none" w:sz="0" w:space="0" w:color="auto"/>
                                                    <w:bottom w:val="none" w:sz="0" w:space="0" w:color="auto"/>
                                                    <w:right w:val="none" w:sz="0" w:space="0" w:color="auto"/>
                                                  </w:divBdr>
                                                  <w:divsChild>
                                                    <w:div w:id="799034161">
                                                      <w:marLeft w:val="0"/>
                                                      <w:marRight w:val="0"/>
                                                      <w:marTop w:val="0"/>
                                                      <w:marBottom w:val="0"/>
                                                      <w:divBdr>
                                                        <w:top w:val="none" w:sz="0" w:space="0" w:color="auto"/>
                                                        <w:left w:val="none" w:sz="0" w:space="0" w:color="auto"/>
                                                        <w:bottom w:val="none" w:sz="0" w:space="0" w:color="auto"/>
                                                        <w:right w:val="none" w:sz="0" w:space="0" w:color="auto"/>
                                                      </w:divBdr>
                                                    </w:div>
                                                  </w:divsChild>
                                                </w:div>
                                                <w:div w:id="271792462">
                                                  <w:marLeft w:val="0"/>
                                                  <w:marRight w:val="0"/>
                                                  <w:marTop w:val="0"/>
                                                  <w:marBottom w:val="0"/>
                                                  <w:divBdr>
                                                    <w:top w:val="none" w:sz="0" w:space="0" w:color="auto"/>
                                                    <w:left w:val="none" w:sz="0" w:space="0" w:color="auto"/>
                                                    <w:bottom w:val="none" w:sz="0" w:space="0" w:color="auto"/>
                                                    <w:right w:val="none" w:sz="0" w:space="0" w:color="auto"/>
                                                  </w:divBdr>
                                                  <w:divsChild>
                                                    <w:div w:id="1273783530">
                                                      <w:marLeft w:val="0"/>
                                                      <w:marRight w:val="0"/>
                                                      <w:marTop w:val="0"/>
                                                      <w:marBottom w:val="0"/>
                                                      <w:divBdr>
                                                        <w:top w:val="none" w:sz="0" w:space="0" w:color="auto"/>
                                                        <w:left w:val="none" w:sz="0" w:space="0" w:color="auto"/>
                                                        <w:bottom w:val="none" w:sz="0" w:space="0" w:color="auto"/>
                                                        <w:right w:val="none" w:sz="0" w:space="0" w:color="auto"/>
                                                      </w:divBdr>
                                                    </w:div>
                                                  </w:divsChild>
                                                </w:div>
                                                <w:div w:id="1126969685">
                                                  <w:marLeft w:val="0"/>
                                                  <w:marRight w:val="0"/>
                                                  <w:marTop w:val="0"/>
                                                  <w:marBottom w:val="0"/>
                                                  <w:divBdr>
                                                    <w:top w:val="none" w:sz="0" w:space="0" w:color="auto"/>
                                                    <w:left w:val="none" w:sz="0" w:space="0" w:color="auto"/>
                                                    <w:bottom w:val="none" w:sz="0" w:space="0" w:color="auto"/>
                                                    <w:right w:val="none" w:sz="0" w:space="0" w:color="auto"/>
                                                  </w:divBdr>
                                                  <w:divsChild>
                                                    <w:div w:id="1943415859">
                                                      <w:marLeft w:val="0"/>
                                                      <w:marRight w:val="0"/>
                                                      <w:marTop w:val="0"/>
                                                      <w:marBottom w:val="0"/>
                                                      <w:divBdr>
                                                        <w:top w:val="none" w:sz="0" w:space="0" w:color="auto"/>
                                                        <w:left w:val="none" w:sz="0" w:space="0" w:color="auto"/>
                                                        <w:bottom w:val="none" w:sz="0" w:space="0" w:color="auto"/>
                                                        <w:right w:val="none" w:sz="0" w:space="0" w:color="auto"/>
                                                      </w:divBdr>
                                                    </w:div>
                                                  </w:divsChild>
                                                </w:div>
                                                <w:div w:id="2050302211">
                                                  <w:marLeft w:val="0"/>
                                                  <w:marRight w:val="0"/>
                                                  <w:marTop w:val="0"/>
                                                  <w:marBottom w:val="0"/>
                                                  <w:divBdr>
                                                    <w:top w:val="none" w:sz="0" w:space="0" w:color="auto"/>
                                                    <w:left w:val="none" w:sz="0" w:space="0" w:color="auto"/>
                                                    <w:bottom w:val="none" w:sz="0" w:space="0" w:color="auto"/>
                                                    <w:right w:val="none" w:sz="0" w:space="0" w:color="auto"/>
                                                  </w:divBdr>
                                                  <w:divsChild>
                                                    <w:div w:id="304239435">
                                                      <w:marLeft w:val="0"/>
                                                      <w:marRight w:val="0"/>
                                                      <w:marTop w:val="0"/>
                                                      <w:marBottom w:val="0"/>
                                                      <w:divBdr>
                                                        <w:top w:val="none" w:sz="0" w:space="0" w:color="auto"/>
                                                        <w:left w:val="none" w:sz="0" w:space="0" w:color="auto"/>
                                                        <w:bottom w:val="none" w:sz="0" w:space="0" w:color="auto"/>
                                                        <w:right w:val="none" w:sz="0" w:space="0" w:color="auto"/>
                                                      </w:divBdr>
                                                    </w:div>
                                                  </w:divsChild>
                                                </w:div>
                                                <w:div w:id="429619162">
                                                  <w:marLeft w:val="0"/>
                                                  <w:marRight w:val="0"/>
                                                  <w:marTop w:val="0"/>
                                                  <w:marBottom w:val="0"/>
                                                  <w:divBdr>
                                                    <w:top w:val="none" w:sz="0" w:space="0" w:color="auto"/>
                                                    <w:left w:val="none" w:sz="0" w:space="0" w:color="auto"/>
                                                    <w:bottom w:val="none" w:sz="0" w:space="0" w:color="auto"/>
                                                    <w:right w:val="none" w:sz="0" w:space="0" w:color="auto"/>
                                                  </w:divBdr>
                                                  <w:divsChild>
                                                    <w:div w:id="240680612">
                                                      <w:marLeft w:val="0"/>
                                                      <w:marRight w:val="0"/>
                                                      <w:marTop w:val="0"/>
                                                      <w:marBottom w:val="0"/>
                                                      <w:divBdr>
                                                        <w:top w:val="none" w:sz="0" w:space="0" w:color="auto"/>
                                                        <w:left w:val="none" w:sz="0" w:space="0" w:color="auto"/>
                                                        <w:bottom w:val="none" w:sz="0" w:space="0" w:color="auto"/>
                                                        <w:right w:val="none" w:sz="0" w:space="0" w:color="auto"/>
                                                      </w:divBdr>
                                                    </w:div>
                                                  </w:divsChild>
                                                </w:div>
                                                <w:div w:id="14621509">
                                                  <w:marLeft w:val="0"/>
                                                  <w:marRight w:val="0"/>
                                                  <w:marTop w:val="0"/>
                                                  <w:marBottom w:val="0"/>
                                                  <w:divBdr>
                                                    <w:top w:val="none" w:sz="0" w:space="0" w:color="auto"/>
                                                    <w:left w:val="none" w:sz="0" w:space="0" w:color="auto"/>
                                                    <w:bottom w:val="none" w:sz="0" w:space="0" w:color="auto"/>
                                                    <w:right w:val="none" w:sz="0" w:space="0" w:color="auto"/>
                                                  </w:divBdr>
                                                  <w:divsChild>
                                                    <w:div w:id="332683240">
                                                      <w:marLeft w:val="0"/>
                                                      <w:marRight w:val="0"/>
                                                      <w:marTop w:val="0"/>
                                                      <w:marBottom w:val="0"/>
                                                      <w:divBdr>
                                                        <w:top w:val="none" w:sz="0" w:space="0" w:color="auto"/>
                                                        <w:left w:val="none" w:sz="0" w:space="0" w:color="auto"/>
                                                        <w:bottom w:val="none" w:sz="0" w:space="0" w:color="auto"/>
                                                        <w:right w:val="none" w:sz="0" w:space="0" w:color="auto"/>
                                                      </w:divBdr>
                                                    </w:div>
                                                  </w:divsChild>
                                                </w:div>
                                                <w:div w:id="2106489905">
                                                  <w:marLeft w:val="0"/>
                                                  <w:marRight w:val="0"/>
                                                  <w:marTop w:val="0"/>
                                                  <w:marBottom w:val="0"/>
                                                  <w:divBdr>
                                                    <w:top w:val="none" w:sz="0" w:space="0" w:color="auto"/>
                                                    <w:left w:val="none" w:sz="0" w:space="0" w:color="auto"/>
                                                    <w:bottom w:val="none" w:sz="0" w:space="0" w:color="auto"/>
                                                    <w:right w:val="none" w:sz="0" w:space="0" w:color="auto"/>
                                                  </w:divBdr>
                                                  <w:divsChild>
                                                    <w:div w:id="1071582989">
                                                      <w:marLeft w:val="0"/>
                                                      <w:marRight w:val="0"/>
                                                      <w:marTop w:val="0"/>
                                                      <w:marBottom w:val="0"/>
                                                      <w:divBdr>
                                                        <w:top w:val="none" w:sz="0" w:space="0" w:color="auto"/>
                                                        <w:left w:val="none" w:sz="0" w:space="0" w:color="auto"/>
                                                        <w:bottom w:val="none" w:sz="0" w:space="0" w:color="auto"/>
                                                        <w:right w:val="none" w:sz="0" w:space="0" w:color="auto"/>
                                                      </w:divBdr>
                                                    </w:div>
                                                  </w:divsChild>
                                                </w:div>
                                                <w:div w:id="1193767248">
                                                  <w:marLeft w:val="0"/>
                                                  <w:marRight w:val="0"/>
                                                  <w:marTop w:val="0"/>
                                                  <w:marBottom w:val="0"/>
                                                  <w:divBdr>
                                                    <w:top w:val="none" w:sz="0" w:space="0" w:color="auto"/>
                                                    <w:left w:val="none" w:sz="0" w:space="0" w:color="auto"/>
                                                    <w:bottom w:val="none" w:sz="0" w:space="0" w:color="auto"/>
                                                    <w:right w:val="none" w:sz="0" w:space="0" w:color="auto"/>
                                                  </w:divBdr>
                                                  <w:divsChild>
                                                    <w:div w:id="156698413">
                                                      <w:marLeft w:val="0"/>
                                                      <w:marRight w:val="0"/>
                                                      <w:marTop w:val="0"/>
                                                      <w:marBottom w:val="0"/>
                                                      <w:divBdr>
                                                        <w:top w:val="none" w:sz="0" w:space="0" w:color="auto"/>
                                                        <w:left w:val="none" w:sz="0" w:space="0" w:color="auto"/>
                                                        <w:bottom w:val="none" w:sz="0" w:space="0" w:color="auto"/>
                                                        <w:right w:val="none" w:sz="0" w:space="0" w:color="auto"/>
                                                      </w:divBdr>
                                                    </w:div>
                                                  </w:divsChild>
                                                </w:div>
                                                <w:div w:id="1479763880">
                                                  <w:marLeft w:val="0"/>
                                                  <w:marRight w:val="0"/>
                                                  <w:marTop w:val="0"/>
                                                  <w:marBottom w:val="0"/>
                                                  <w:divBdr>
                                                    <w:top w:val="none" w:sz="0" w:space="0" w:color="auto"/>
                                                    <w:left w:val="none" w:sz="0" w:space="0" w:color="auto"/>
                                                    <w:bottom w:val="none" w:sz="0" w:space="0" w:color="auto"/>
                                                    <w:right w:val="none" w:sz="0" w:space="0" w:color="auto"/>
                                                  </w:divBdr>
                                                  <w:divsChild>
                                                    <w:div w:id="761682118">
                                                      <w:marLeft w:val="0"/>
                                                      <w:marRight w:val="0"/>
                                                      <w:marTop w:val="0"/>
                                                      <w:marBottom w:val="0"/>
                                                      <w:divBdr>
                                                        <w:top w:val="none" w:sz="0" w:space="0" w:color="auto"/>
                                                        <w:left w:val="none" w:sz="0" w:space="0" w:color="auto"/>
                                                        <w:bottom w:val="none" w:sz="0" w:space="0" w:color="auto"/>
                                                        <w:right w:val="none" w:sz="0" w:space="0" w:color="auto"/>
                                                      </w:divBdr>
                                                    </w:div>
                                                  </w:divsChild>
                                                </w:div>
                                                <w:div w:id="1357342508">
                                                  <w:marLeft w:val="0"/>
                                                  <w:marRight w:val="0"/>
                                                  <w:marTop w:val="0"/>
                                                  <w:marBottom w:val="0"/>
                                                  <w:divBdr>
                                                    <w:top w:val="none" w:sz="0" w:space="0" w:color="auto"/>
                                                    <w:left w:val="none" w:sz="0" w:space="0" w:color="auto"/>
                                                    <w:bottom w:val="none" w:sz="0" w:space="0" w:color="auto"/>
                                                    <w:right w:val="none" w:sz="0" w:space="0" w:color="auto"/>
                                                  </w:divBdr>
                                                  <w:divsChild>
                                                    <w:div w:id="888567895">
                                                      <w:marLeft w:val="0"/>
                                                      <w:marRight w:val="0"/>
                                                      <w:marTop w:val="0"/>
                                                      <w:marBottom w:val="0"/>
                                                      <w:divBdr>
                                                        <w:top w:val="none" w:sz="0" w:space="0" w:color="auto"/>
                                                        <w:left w:val="none" w:sz="0" w:space="0" w:color="auto"/>
                                                        <w:bottom w:val="none" w:sz="0" w:space="0" w:color="auto"/>
                                                        <w:right w:val="none" w:sz="0" w:space="0" w:color="auto"/>
                                                      </w:divBdr>
                                                    </w:div>
                                                  </w:divsChild>
                                                </w:div>
                                                <w:div w:id="183327847">
                                                  <w:marLeft w:val="0"/>
                                                  <w:marRight w:val="0"/>
                                                  <w:marTop w:val="0"/>
                                                  <w:marBottom w:val="0"/>
                                                  <w:divBdr>
                                                    <w:top w:val="none" w:sz="0" w:space="0" w:color="auto"/>
                                                    <w:left w:val="none" w:sz="0" w:space="0" w:color="auto"/>
                                                    <w:bottom w:val="none" w:sz="0" w:space="0" w:color="auto"/>
                                                    <w:right w:val="none" w:sz="0" w:space="0" w:color="auto"/>
                                                  </w:divBdr>
                                                  <w:divsChild>
                                                    <w:div w:id="855121936">
                                                      <w:marLeft w:val="0"/>
                                                      <w:marRight w:val="0"/>
                                                      <w:marTop w:val="0"/>
                                                      <w:marBottom w:val="0"/>
                                                      <w:divBdr>
                                                        <w:top w:val="none" w:sz="0" w:space="0" w:color="auto"/>
                                                        <w:left w:val="none" w:sz="0" w:space="0" w:color="auto"/>
                                                        <w:bottom w:val="none" w:sz="0" w:space="0" w:color="auto"/>
                                                        <w:right w:val="none" w:sz="0" w:space="0" w:color="auto"/>
                                                      </w:divBdr>
                                                    </w:div>
                                                  </w:divsChild>
                                                </w:div>
                                                <w:div w:id="112478912">
                                                  <w:marLeft w:val="0"/>
                                                  <w:marRight w:val="0"/>
                                                  <w:marTop w:val="0"/>
                                                  <w:marBottom w:val="0"/>
                                                  <w:divBdr>
                                                    <w:top w:val="none" w:sz="0" w:space="0" w:color="auto"/>
                                                    <w:left w:val="none" w:sz="0" w:space="0" w:color="auto"/>
                                                    <w:bottom w:val="none" w:sz="0" w:space="0" w:color="auto"/>
                                                    <w:right w:val="none" w:sz="0" w:space="0" w:color="auto"/>
                                                  </w:divBdr>
                                                  <w:divsChild>
                                                    <w:div w:id="1956279955">
                                                      <w:marLeft w:val="0"/>
                                                      <w:marRight w:val="0"/>
                                                      <w:marTop w:val="0"/>
                                                      <w:marBottom w:val="0"/>
                                                      <w:divBdr>
                                                        <w:top w:val="none" w:sz="0" w:space="0" w:color="auto"/>
                                                        <w:left w:val="none" w:sz="0" w:space="0" w:color="auto"/>
                                                        <w:bottom w:val="none" w:sz="0" w:space="0" w:color="auto"/>
                                                        <w:right w:val="none" w:sz="0" w:space="0" w:color="auto"/>
                                                      </w:divBdr>
                                                    </w:div>
                                                  </w:divsChild>
                                                </w:div>
                                                <w:div w:id="254704907">
                                                  <w:marLeft w:val="0"/>
                                                  <w:marRight w:val="0"/>
                                                  <w:marTop w:val="0"/>
                                                  <w:marBottom w:val="0"/>
                                                  <w:divBdr>
                                                    <w:top w:val="none" w:sz="0" w:space="0" w:color="auto"/>
                                                    <w:left w:val="none" w:sz="0" w:space="0" w:color="auto"/>
                                                    <w:bottom w:val="none" w:sz="0" w:space="0" w:color="auto"/>
                                                    <w:right w:val="none" w:sz="0" w:space="0" w:color="auto"/>
                                                  </w:divBdr>
                                                  <w:divsChild>
                                                    <w:div w:id="1376078513">
                                                      <w:marLeft w:val="0"/>
                                                      <w:marRight w:val="0"/>
                                                      <w:marTop w:val="0"/>
                                                      <w:marBottom w:val="0"/>
                                                      <w:divBdr>
                                                        <w:top w:val="none" w:sz="0" w:space="0" w:color="auto"/>
                                                        <w:left w:val="none" w:sz="0" w:space="0" w:color="auto"/>
                                                        <w:bottom w:val="none" w:sz="0" w:space="0" w:color="auto"/>
                                                        <w:right w:val="none" w:sz="0" w:space="0" w:color="auto"/>
                                                      </w:divBdr>
                                                    </w:div>
                                                  </w:divsChild>
                                                </w:div>
                                                <w:div w:id="1564562250">
                                                  <w:marLeft w:val="0"/>
                                                  <w:marRight w:val="0"/>
                                                  <w:marTop w:val="0"/>
                                                  <w:marBottom w:val="0"/>
                                                  <w:divBdr>
                                                    <w:top w:val="none" w:sz="0" w:space="0" w:color="auto"/>
                                                    <w:left w:val="none" w:sz="0" w:space="0" w:color="auto"/>
                                                    <w:bottom w:val="none" w:sz="0" w:space="0" w:color="auto"/>
                                                    <w:right w:val="none" w:sz="0" w:space="0" w:color="auto"/>
                                                  </w:divBdr>
                                                  <w:divsChild>
                                                    <w:div w:id="1002391062">
                                                      <w:marLeft w:val="0"/>
                                                      <w:marRight w:val="0"/>
                                                      <w:marTop w:val="0"/>
                                                      <w:marBottom w:val="0"/>
                                                      <w:divBdr>
                                                        <w:top w:val="none" w:sz="0" w:space="0" w:color="auto"/>
                                                        <w:left w:val="none" w:sz="0" w:space="0" w:color="auto"/>
                                                        <w:bottom w:val="none" w:sz="0" w:space="0" w:color="auto"/>
                                                        <w:right w:val="none" w:sz="0" w:space="0" w:color="auto"/>
                                                      </w:divBdr>
                                                    </w:div>
                                                  </w:divsChild>
                                                </w:div>
                                                <w:div w:id="1824740485">
                                                  <w:marLeft w:val="0"/>
                                                  <w:marRight w:val="0"/>
                                                  <w:marTop w:val="0"/>
                                                  <w:marBottom w:val="0"/>
                                                  <w:divBdr>
                                                    <w:top w:val="none" w:sz="0" w:space="0" w:color="auto"/>
                                                    <w:left w:val="none" w:sz="0" w:space="0" w:color="auto"/>
                                                    <w:bottom w:val="none" w:sz="0" w:space="0" w:color="auto"/>
                                                    <w:right w:val="none" w:sz="0" w:space="0" w:color="auto"/>
                                                  </w:divBdr>
                                                  <w:divsChild>
                                                    <w:div w:id="1790003828">
                                                      <w:marLeft w:val="0"/>
                                                      <w:marRight w:val="0"/>
                                                      <w:marTop w:val="0"/>
                                                      <w:marBottom w:val="0"/>
                                                      <w:divBdr>
                                                        <w:top w:val="none" w:sz="0" w:space="0" w:color="auto"/>
                                                        <w:left w:val="none" w:sz="0" w:space="0" w:color="auto"/>
                                                        <w:bottom w:val="none" w:sz="0" w:space="0" w:color="auto"/>
                                                        <w:right w:val="none" w:sz="0" w:space="0" w:color="auto"/>
                                                      </w:divBdr>
                                                    </w:div>
                                                  </w:divsChild>
                                                </w:div>
                                                <w:div w:id="1086608523">
                                                  <w:marLeft w:val="0"/>
                                                  <w:marRight w:val="0"/>
                                                  <w:marTop w:val="0"/>
                                                  <w:marBottom w:val="0"/>
                                                  <w:divBdr>
                                                    <w:top w:val="none" w:sz="0" w:space="0" w:color="auto"/>
                                                    <w:left w:val="none" w:sz="0" w:space="0" w:color="auto"/>
                                                    <w:bottom w:val="none" w:sz="0" w:space="0" w:color="auto"/>
                                                    <w:right w:val="none" w:sz="0" w:space="0" w:color="auto"/>
                                                  </w:divBdr>
                                                  <w:divsChild>
                                                    <w:div w:id="251621979">
                                                      <w:marLeft w:val="0"/>
                                                      <w:marRight w:val="0"/>
                                                      <w:marTop w:val="0"/>
                                                      <w:marBottom w:val="0"/>
                                                      <w:divBdr>
                                                        <w:top w:val="none" w:sz="0" w:space="0" w:color="auto"/>
                                                        <w:left w:val="none" w:sz="0" w:space="0" w:color="auto"/>
                                                        <w:bottom w:val="none" w:sz="0" w:space="0" w:color="auto"/>
                                                        <w:right w:val="none" w:sz="0" w:space="0" w:color="auto"/>
                                                      </w:divBdr>
                                                    </w:div>
                                                  </w:divsChild>
                                                </w:div>
                                                <w:div w:id="856894585">
                                                  <w:marLeft w:val="0"/>
                                                  <w:marRight w:val="0"/>
                                                  <w:marTop w:val="0"/>
                                                  <w:marBottom w:val="0"/>
                                                  <w:divBdr>
                                                    <w:top w:val="none" w:sz="0" w:space="0" w:color="auto"/>
                                                    <w:left w:val="none" w:sz="0" w:space="0" w:color="auto"/>
                                                    <w:bottom w:val="none" w:sz="0" w:space="0" w:color="auto"/>
                                                    <w:right w:val="none" w:sz="0" w:space="0" w:color="auto"/>
                                                  </w:divBdr>
                                                  <w:divsChild>
                                                    <w:div w:id="1905021702">
                                                      <w:marLeft w:val="0"/>
                                                      <w:marRight w:val="0"/>
                                                      <w:marTop w:val="0"/>
                                                      <w:marBottom w:val="0"/>
                                                      <w:divBdr>
                                                        <w:top w:val="none" w:sz="0" w:space="0" w:color="auto"/>
                                                        <w:left w:val="none" w:sz="0" w:space="0" w:color="auto"/>
                                                        <w:bottom w:val="none" w:sz="0" w:space="0" w:color="auto"/>
                                                        <w:right w:val="none" w:sz="0" w:space="0" w:color="auto"/>
                                                      </w:divBdr>
                                                    </w:div>
                                                  </w:divsChild>
                                                </w:div>
                                                <w:div w:id="492988518">
                                                  <w:marLeft w:val="0"/>
                                                  <w:marRight w:val="0"/>
                                                  <w:marTop w:val="0"/>
                                                  <w:marBottom w:val="0"/>
                                                  <w:divBdr>
                                                    <w:top w:val="none" w:sz="0" w:space="0" w:color="auto"/>
                                                    <w:left w:val="none" w:sz="0" w:space="0" w:color="auto"/>
                                                    <w:bottom w:val="none" w:sz="0" w:space="0" w:color="auto"/>
                                                    <w:right w:val="none" w:sz="0" w:space="0" w:color="auto"/>
                                                  </w:divBdr>
                                                  <w:divsChild>
                                                    <w:div w:id="809636619">
                                                      <w:marLeft w:val="0"/>
                                                      <w:marRight w:val="0"/>
                                                      <w:marTop w:val="0"/>
                                                      <w:marBottom w:val="0"/>
                                                      <w:divBdr>
                                                        <w:top w:val="none" w:sz="0" w:space="0" w:color="auto"/>
                                                        <w:left w:val="none" w:sz="0" w:space="0" w:color="auto"/>
                                                        <w:bottom w:val="none" w:sz="0" w:space="0" w:color="auto"/>
                                                        <w:right w:val="none" w:sz="0" w:space="0" w:color="auto"/>
                                                      </w:divBdr>
                                                    </w:div>
                                                  </w:divsChild>
                                                </w:div>
                                                <w:div w:id="1600992495">
                                                  <w:marLeft w:val="0"/>
                                                  <w:marRight w:val="0"/>
                                                  <w:marTop w:val="0"/>
                                                  <w:marBottom w:val="0"/>
                                                  <w:divBdr>
                                                    <w:top w:val="none" w:sz="0" w:space="0" w:color="auto"/>
                                                    <w:left w:val="none" w:sz="0" w:space="0" w:color="auto"/>
                                                    <w:bottom w:val="none" w:sz="0" w:space="0" w:color="auto"/>
                                                    <w:right w:val="none" w:sz="0" w:space="0" w:color="auto"/>
                                                  </w:divBdr>
                                                  <w:divsChild>
                                                    <w:div w:id="673458905">
                                                      <w:marLeft w:val="0"/>
                                                      <w:marRight w:val="0"/>
                                                      <w:marTop w:val="0"/>
                                                      <w:marBottom w:val="0"/>
                                                      <w:divBdr>
                                                        <w:top w:val="none" w:sz="0" w:space="0" w:color="auto"/>
                                                        <w:left w:val="none" w:sz="0" w:space="0" w:color="auto"/>
                                                        <w:bottom w:val="none" w:sz="0" w:space="0" w:color="auto"/>
                                                        <w:right w:val="none" w:sz="0" w:space="0" w:color="auto"/>
                                                      </w:divBdr>
                                                    </w:div>
                                                  </w:divsChild>
                                                </w:div>
                                                <w:div w:id="40835028">
                                                  <w:marLeft w:val="0"/>
                                                  <w:marRight w:val="0"/>
                                                  <w:marTop w:val="0"/>
                                                  <w:marBottom w:val="0"/>
                                                  <w:divBdr>
                                                    <w:top w:val="none" w:sz="0" w:space="0" w:color="auto"/>
                                                    <w:left w:val="none" w:sz="0" w:space="0" w:color="auto"/>
                                                    <w:bottom w:val="none" w:sz="0" w:space="0" w:color="auto"/>
                                                    <w:right w:val="none" w:sz="0" w:space="0" w:color="auto"/>
                                                  </w:divBdr>
                                                  <w:divsChild>
                                                    <w:div w:id="1389380179">
                                                      <w:marLeft w:val="0"/>
                                                      <w:marRight w:val="0"/>
                                                      <w:marTop w:val="0"/>
                                                      <w:marBottom w:val="0"/>
                                                      <w:divBdr>
                                                        <w:top w:val="none" w:sz="0" w:space="0" w:color="auto"/>
                                                        <w:left w:val="none" w:sz="0" w:space="0" w:color="auto"/>
                                                        <w:bottom w:val="none" w:sz="0" w:space="0" w:color="auto"/>
                                                        <w:right w:val="none" w:sz="0" w:space="0" w:color="auto"/>
                                                      </w:divBdr>
                                                    </w:div>
                                                  </w:divsChild>
                                                </w:div>
                                                <w:div w:id="880628224">
                                                  <w:marLeft w:val="0"/>
                                                  <w:marRight w:val="0"/>
                                                  <w:marTop w:val="0"/>
                                                  <w:marBottom w:val="0"/>
                                                  <w:divBdr>
                                                    <w:top w:val="none" w:sz="0" w:space="0" w:color="auto"/>
                                                    <w:left w:val="none" w:sz="0" w:space="0" w:color="auto"/>
                                                    <w:bottom w:val="none" w:sz="0" w:space="0" w:color="auto"/>
                                                    <w:right w:val="none" w:sz="0" w:space="0" w:color="auto"/>
                                                  </w:divBdr>
                                                  <w:divsChild>
                                                    <w:div w:id="1076822154">
                                                      <w:marLeft w:val="0"/>
                                                      <w:marRight w:val="0"/>
                                                      <w:marTop w:val="0"/>
                                                      <w:marBottom w:val="0"/>
                                                      <w:divBdr>
                                                        <w:top w:val="none" w:sz="0" w:space="0" w:color="auto"/>
                                                        <w:left w:val="none" w:sz="0" w:space="0" w:color="auto"/>
                                                        <w:bottom w:val="none" w:sz="0" w:space="0" w:color="auto"/>
                                                        <w:right w:val="none" w:sz="0" w:space="0" w:color="auto"/>
                                                      </w:divBdr>
                                                    </w:div>
                                                  </w:divsChild>
                                                </w:div>
                                                <w:div w:id="1388071099">
                                                  <w:marLeft w:val="0"/>
                                                  <w:marRight w:val="0"/>
                                                  <w:marTop w:val="0"/>
                                                  <w:marBottom w:val="0"/>
                                                  <w:divBdr>
                                                    <w:top w:val="none" w:sz="0" w:space="0" w:color="auto"/>
                                                    <w:left w:val="none" w:sz="0" w:space="0" w:color="auto"/>
                                                    <w:bottom w:val="none" w:sz="0" w:space="0" w:color="auto"/>
                                                    <w:right w:val="none" w:sz="0" w:space="0" w:color="auto"/>
                                                  </w:divBdr>
                                                  <w:divsChild>
                                                    <w:div w:id="1535730000">
                                                      <w:marLeft w:val="0"/>
                                                      <w:marRight w:val="0"/>
                                                      <w:marTop w:val="0"/>
                                                      <w:marBottom w:val="0"/>
                                                      <w:divBdr>
                                                        <w:top w:val="none" w:sz="0" w:space="0" w:color="auto"/>
                                                        <w:left w:val="none" w:sz="0" w:space="0" w:color="auto"/>
                                                        <w:bottom w:val="none" w:sz="0" w:space="0" w:color="auto"/>
                                                        <w:right w:val="none" w:sz="0" w:space="0" w:color="auto"/>
                                                      </w:divBdr>
                                                    </w:div>
                                                  </w:divsChild>
                                                </w:div>
                                                <w:div w:id="948119788">
                                                  <w:marLeft w:val="0"/>
                                                  <w:marRight w:val="0"/>
                                                  <w:marTop w:val="0"/>
                                                  <w:marBottom w:val="0"/>
                                                  <w:divBdr>
                                                    <w:top w:val="none" w:sz="0" w:space="0" w:color="auto"/>
                                                    <w:left w:val="none" w:sz="0" w:space="0" w:color="auto"/>
                                                    <w:bottom w:val="none" w:sz="0" w:space="0" w:color="auto"/>
                                                    <w:right w:val="none" w:sz="0" w:space="0" w:color="auto"/>
                                                  </w:divBdr>
                                                  <w:divsChild>
                                                    <w:div w:id="1065030462">
                                                      <w:marLeft w:val="0"/>
                                                      <w:marRight w:val="0"/>
                                                      <w:marTop w:val="0"/>
                                                      <w:marBottom w:val="0"/>
                                                      <w:divBdr>
                                                        <w:top w:val="none" w:sz="0" w:space="0" w:color="auto"/>
                                                        <w:left w:val="none" w:sz="0" w:space="0" w:color="auto"/>
                                                        <w:bottom w:val="none" w:sz="0" w:space="0" w:color="auto"/>
                                                        <w:right w:val="none" w:sz="0" w:space="0" w:color="auto"/>
                                                      </w:divBdr>
                                                    </w:div>
                                                  </w:divsChild>
                                                </w:div>
                                                <w:div w:id="2105492782">
                                                  <w:marLeft w:val="0"/>
                                                  <w:marRight w:val="0"/>
                                                  <w:marTop w:val="0"/>
                                                  <w:marBottom w:val="0"/>
                                                  <w:divBdr>
                                                    <w:top w:val="none" w:sz="0" w:space="0" w:color="auto"/>
                                                    <w:left w:val="none" w:sz="0" w:space="0" w:color="auto"/>
                                                    <w:bottom w:val="none" w:sz="0" w:space="0" w:color="auto"/>
                                                    <w:right w:val="none" w:sz="0" w:space="0" w:color="auto"/>
                                                  </w:divBdr>
                                                  <w:divsChild>
                                                    <w:div w:id="1782450560">
                                                      <w:marLeft w:val="0"/>
                                                      <w:marRight w:val="0"/>
                                                      <w:marTop w:val="0"/>
                                                      <w:marBottom w:val="0"/>
                                                      <w:divBdr>
                                                        <w:top w:val="none" w:sz="0" w:space="0" w:color="auto"/>
                                                        <w:left w:val="none" w:sz="0" w:space="0" w:color="auto"/>
                                                        <w:bottom w:val="none" w:sz="0" w:space="0" w:color="auto"/>
                                                        <w:right w:val="none" w:sz="0" w:space="0" w:color="auto"/>
                                                      </w:divBdr>
                                                    </w:div>
                                                  </w:divsChild>
                                                </w:div>
                                                <w:div w:id="2145073779">
                                                  <w:marLeft w:val="0"/>
                                                  <w:marRight w:val="0"/>
                                                  <w:marTop w:val="0"/>
                                                  <w:marBottom w:val="0"/>
                                                  <w:divBdr>
                                                    <w:top w:val="none" w:sz="0" w:space="0" w:color="auto"/>
                                                    <w:left w:val="none" w:sz="0" w:space="0" w:color="auto"/>
                                                    <w:bottom w:val="none" w:sz="0" w:space="0" w:color="auto"/>
                                                    <w:right w:val="none" w:sz="0" w:space="0" w:color="auto"/>
                                                  </w:divBdr>
                                                  <w:divsChild>
                                                    <w:div w:id="438380323">
                                                      <w:marLeft w:val="0"/>
                                                      <w:marRight w:val="0"/>
                                                      <w:marTop w:val="0"/>
                                                      <w:marBottom w:val="0"/>
                                                      <w:divBdr>
                                                        <w:top w:val="none" w:sz="0" w:space="0" w:color="auto"/>
                                                        <w:left w:val="none" w:sz="0" w:space="0" w:color="auto"/>
                                                        <w:bottom w:val="none" w:sz="0" w:space="0" w:color="auto"/>
                                                        <w:right w:val="none" w:sz="0" w:space="0" w:color="auto"/>
                                                      </w:divBdr>
                                                    </w:div>
                                                  </w:divsChild>
                                                </w:div>
                                                <w:div w:id="809860245">
                                                  <w:marLeft w:val="0"/>
                                                  <w:marRight w:val="0"/>
                                                  <w:marTop w:val="0"/>
                                                  <w:marBottom w:val="0"/>
                                                  <w:divBdr>
                                                    <w:top w:val="none" w:sz="0" w:space="0" w:color="auto"/>
                                                    <w:left w:val="none" w:sz="0" w:space="0" w:color="auto"/>
                                                    <w:bottom w:val="none" w:sz="0" w:space="0" w:color="auto"/>
                                                    <w:right w:val="none" w:sz="0" w:space="0" w:color="auto"/>
                                                  </w:divBdr>
                                                  <w:divsChild>
                                                    <w:div w:id="1766145179">
                                                      <w:marLeft w:val="0"/>
                                                      <w:marRight w:val="0"/>
                                                      <w:marTop w:val="0"/>
                                                      <w:marBottom w:val="0"/>
                                                      <w:divBdr>
                                                        <w:top w:val="none" w:sz="0" w:space="0" w:color="auto"/>
                                                        <w:left w:val="none" w:sz="0" w:space="0" w:color="auto"/>
                                                        <w:bottom w:val="none" w:sz="0" w:space="0" w:color="auto"/>
                                                        <w:right w:val="none" w:sz="0" w:space="0" w:color="auto"/>
                                                      </w:divBdr>
                                                    </w:div>
                                                  </w:divsChild>
                                                </w:div>
                                                <w:div w:id="1280142407">
                                                  <w:marLeft w:val="0"/>
                                                  <w:marRight w:val="0"/>
                                                  <w:marTop w:val="0"/>
                                                  <w:marBottom w:val="0"/>
                                                  <w:divBdr>
                                                    <w:top w:val="none" w:sz="0" w:space="0" w:color="auto"/>
                                                    <w:left w:val="none" w:sz="0" w:space="0" w:color="auto"/>
                                                    <w:bottom w:val="none" w:sz="0" w:space="0" w:color="auto"/>
                                                    <w:right w:val="none" w:sz="0" w:space="0" w:color="auto"/>
                                                  </w:divBdr>
                                                  <w:divsChild>
                                                    <w:div w:id="271790853">
                                                      <w:marLeft w:val="0"/>
                                                      <w:marRight w:val="0"/>
                                                      <w:marTop w:val="0"/>
                                                      <w:marBottom w:val="0"/>
                                                      <w:divBdr>
                                                        <w:top w:val="none" w:sz="0" w:space="0" w:color="auto"/>
                                                        <w:left w:val="none" w:sz="0" w:space="0" w:color="auto"/>
                                                        <w:bottom w:val="none" w:sz="0" w:space="0" w:color="auto"/>
                                                        <w:right w:val="none" w:sz="0" w:space="0" w:color="auto"/>
                                                      </w:divBdr>
                                                    </w:div>
                                                  </w:divsChild>
                                                </w:div>
                                                <w:div w:id="1108964587">
                                                  <w:marLeft w:val="0"/>
                                                  <w:marRight w:val="0"/>
                                                  <w:marTop w:val="0"/>
                                                  <w:marBottom w:val="0"/>
                                                  <w:divBdr>
                                                    <w:top w:val="none" w:sz="0" w:space="0" w:color="auto"/>
                                                    <w:left w:val="none" w:sz="0" w:space="0" w:color="auto"/>
                                                    <w:bottom w:val="none" w:sz="0" w:space="0" w:color="auto"/>
                                                    <w:right w:val="none" w:sz="0" w:space="0" w:color="auto"/>
                                                  </w:divBdr>
                                                  <w:divsChild>
                                                    <w:div w:id="2068608614">
                                                      <w:marLeft w:val="0"/>
                                                      <w:marRight w:val="0"/>
                                                      <w:marTop w:val="0"/>
                                                      <w:marBottom w:val="0"/>
                                                      <w:divBdr>
                                                        <w:top w:val="none" w:sz="0" w:space="0" w:color="auto"/>
                                                        <w:left w:val="none" w:sz="0" w:space="0" w:color="auto"/>
                                                        <w:bottom w:val="none" w:sz="0" w:space="0" w:color="auto"/>
                                                        <w:right w:val="none" w:sz="0" w:space="0" w:color="auto"/>
                                                      </w:divBdr>
                                                    </w:div>
                                                  </w:divsChild>
                                                </w:div>
                                                <w:div w:id="350692035">
                                                  <w:marLeft w:val="0"/>
                                                  <w:marRight w:val="0"/>
                                                  <w:marTop w:val="0"/>
                                                  <w:marBottom w:val="0"/>
                                                  <w:divBdr>
                                                    <w:top w:val="none" w:sz="0" w:space="0" w:color="auto"/>
                                                    <w:left w:val="none" w:sz="0" w:space="0" w:color="auto"/>
                                                    <w:bottom w:val="none" w:sz="0" w:space="0" w:color="auto"/>
                                                    <w:right w:val="none" w:sz="0" w:space="0" w:color="auto"/>
                                                  </w:divBdr>
                                                  <w:divsChild>
                                                    <w:div w:id="2044743332">
                                                      <w:marLeft w:val="0"/>
                                                      <w:marRight w:val="0"/>
                                                      <w:marTop w:val="0"/>
                                                      <w:marBottom w:val="0"/>
                                                      <w:divBdr>
                                                        <w:top w:val="none" w:sz="0" w:space="0" w:color="auto"/>
                                                        <w:left w:val="none" w:sz="0" w:space="0" w:color="auto"/>
                                                        <w:bottom w:val="none" w:sz="0" w:space="0" w:color="auto"/>
                                                        <w:right w:val="none" w:sz="0" w:space="0" w:color="auto"/>
                                                      </w:divBdr>
                                                    </w:div>
                                                  </w:divsChild>
                                                </w:div>
                                                <w:div w:id="1555434330">
                                                  <w:marLeft w:val="0"/>
                                                  <w:marRight w:val="0"/>
                                                  <w:marTop w:val="0"/>
                                                  <w:marBottom w:val="0"/>
                                                  <w:divBdr>
                                                    <w:top w:val="none" w:sz="0" w:space="0" w:color="auto"/>
                                                    <w:left w:val="none" w:sz="0" w:space="0" w:color="auto"/>
                                                    <w:bottom w:val="none" w:sz="0" w:space="0" w:color="auto"/>
                                                    <w:right w:val="none" w:sz="0" w:space="0" w:color="auto"/>
                                                  </w:divBdr>
                                                  <w:divsChild>
                                                    <w:div w:id="394158353">
                                                      <w:marLeft w:val="0"/>
                                                      <w:marRight w:val="0"/>
                                                      <w:marTop w:val="0"/>
                                                      <w:marBottom w:val="0"/>
                                                      <w:divBdr>
                                                        <w:top w:val="none" w:sz="0" w:space="0" w:color="auto"/>
                                                        <w:left w:val="none" w:sz="0" w:space="0" w:color="auto"/>
                                                        <w:bottom w:val="none" w:sz="0" w:space="0" w:color="auto"/>
                                                        <w:right w:val="none" w:sz="0" w:space="0" w:color="auto"/>
                                                      </w:divBdr>
                                                    </w:div>
                                                  </w:divsChild>
                                                </w:div>
                                                <w:div w:id="931551771">
                                                  <w:marLeft w:val="0"/>
                                                  <w:marRight w:val="0"/>
                                                  <w:marTop w:val="0"/>
                                                  <w:marBottom w:val="0"/>
                                                  <w:divBdr>
                                                    <w:top w:val="none" w:sz="0" w:space="0" w:color="auto"/>
                                                    <w:left w:val="none" w:sz="0" w:space="0" w:color="auto"/>
                                                    <w:bottom w:val="none" w:sz="0" w:space="0" w:color="auto"/>
                                                    <w:right w:val="none" w:sz="0" w:space="0" w:color="auto"/>
                                                  </w:divBdr>
                                                  <w:divsChild>
                                                    <w:div w:id="1969311804">
                                                      <w:marLeft w:val="0"/>
                                                      <w:marRight w:val="0"/>
                                                      <w:marTop w:val="0"/>
                                                      <w:marBottom w:val="0"/>
                                                      <w:divBdr>
                                                        <w:top w:val="none" w:sz="0" w:space="0" w:color="auto"/>
                                                        <w:left w:val="none" w:sz="0" w:space="0" w:color="auto"/>
                                                        <w:bottom w:val="none" w:sz="0" w:space="0" w:color="auto"/>
                                                        <w:right w:val="none" w:sz="0" w:space="0" w:color="auto"/>
                                                      </w:divBdr>
                                                    </w:div>
                                                  </w:divsChild>
                                                </w:div>
                                                <w:div w:id="906645796">
                                                  <w:marLeft w:val="0"/>
                                                  <w:marRight w:val="0"/>
                                                  <w:marTop w:val="0"/>
                                                  <w:marBottom w:val="0"/>
                                                  <w:divBdr>
                                                    <w:top w:val="none" w:sz="0" w:space="0" w:color="auto"/>
                                                    <w:left w:val="none" w:sz="0" w:space="0" w:color="auto"/>
                                                    <w:bottom w:val="none" w:sz="0" w:space="0" w:color="auto"/>
                                                    <w:right w:val="none" w:sz="0" w:space="0" w:color="auto"/>
                                                  </w:divBdr>
                                                  <w:divsChild>
                                                    <w:div w:id="1437367413">
                                                      <w:marLeft w:val="0"/>
                                                      <w:marRight w:val="0"/>
                                                      <w:marTop w:val="0"/>
                                                      <w:marBottom w:val="0"/>
                                                      <w:divBdr>
                                                        <w:top w:val="none" w:sz="0" w:space="0" w:color="auto"/>
                                                        <w:left w:val="none" w:sz="0" w:space="0" w:color="auto"/>
                                                        <w:bottom w:val="none" w:sz="0" w:space="0" w:color="auto"/>
                                                        <w:right w:val="none" w:sz="0" w:space="0" w:color="auto"/>
                                                      </w:divBdr>
                                                    </w:div>
                                                  </w:divsChild>
                                                </w:div>
                                                <w:div w:id="1762483689">
                                                  <w:marLeft w:val="0"/>
                                                  <w:marRight w:val="0"/>
                                                  <w:marTop w:val="0"/>
                                                  <w:marBottom w:val="0"/>
                                                  <w:divBdr>
                                                    <w:top w:val="none" w:sz="0" w:space="0" w:color="auto"/>
                                                    <w:left w:val="none" w:sz="0" w:space="0" w:color="auto"/>
                                                    <w:bottom w:val="none" w:sz="0" w:space="0" w:color="auto"/>
                                                    <w:right w:val="none" w:sz="0" w:space="0" w:color="auto"/>
                                                  </w:divBdr>
                                                  <w:divsChild>
                                                    <w:div w:id="1741098478">
                                                      <w:marLeft w:val="0"/>
                                                      <w:marRight w:val="0"/>
                                                      <w:marTop w:val="0"/>
                                                      <w:marBottom w:val="0"/>
                                                      <w:divBdr>
                                                        <w:top w:val="none" w:sz="0" w:space="0" w:color="auto"/>
                                                        <w:left w:val="none" w:sz="0" w:space="0" w:color="auto"/>
                                                        <w:bottom w:val="none" w:sz="0" w:space="0" w:color="auto"/>
                                                        <w:right w:val="none" w:sz="0" w:space="0" w:color="auto"/>
                                                      </w:divBdr>
                                                    </w:div>
                                                  </w:divsChild>
                                                </w:div>
                                                <w:div w:id="1001128680">
                                                  <w:marLeft w:val="0"/>
                                                  <w:marRight w:val="0"/>
                                                  <w:marTop w:val="0"/>
                                                  <w:marBottom w:val="0"/>
                                                  <w:divBdr>
                                                    <w:top w:val="none" w:sz="0" w:space="0" w:color="auto"/>
                                                    <w:left w:val="none" w:sz="0" w:space="0" w:color="auto"/>
                                                    <w:bottom w:val="none" w:sz="0" w:space="0" w:color="auto"/>
                                                    <w:right w:val="none" w:sz="0" w:space="0" w:color="auto"/>
                                                  </w:divBdr>
                                                  <w:divsChild>
                                                    <w:div w:id="1748385704">
                                                      <w:marLeft w:val="0"/>
                                                      <w:marRight w:val="0"/>
                                                      <w:marTop w:val="0"/>
                                                      <w:marBottom w:val="0"/>
                                                      <w:divBdr>
                                                        <w:top w:val="none" w:sz="0" w:space="0" w:color="auto"/>
                                                        <w:left w:val="none" w:sz="0" w:space="0" w:color="auto"/>
                                                        <w:bottom w:val="none" w:sz="0" w:space="0" w:color="auto"/>
                                                        <w:right w:val="none" w:sz="0" w:space="0" w:color="auto"/>
                                                      </w:divBdr>
                                                    </w:div>
                                                  </w:divsChild>
                                                </w:div>
                                                <w:div w:id="1445884850">
                                                  <w:marLeft w:val="0"/>
                                                  <w:marRight w:val="0"/>
                                                  <w:marTop w:val="0"/>
                                                  <w:marBottom w:val="0"/>
                                                  <w:divBdr>
                                                    <w:top w:val="none" w:sz="0" w:space="0" w:color="auto"/>
                                                    <w:left w:val="none" w:sz="0" w:space="0" w:color="auto"/>
                                                    <w:bottom w:val="none" w:sz="0" w:space="0" w:color="auto"/>
                                                    <w:right w:val="none" w:sz="0" w:space="0" w:color="auto"/>
                                                  </w:divBdr>
                                                  <w:divsChild>
                                                    <w:div w:id="373164942">
                                                      <w:marLeft w:val="0"/>
                                                      <w:marRight w:val="0"/>
                                                      <w:marTop w:val="0"/>
                                                      <w:marBottom w:val="0"/>
                                                      <w:divBdr>
                                                        <w:top w:val="none" w:sz="0" w:space="0" w:color="auto"/>
                                                        <w:left w:val="none" w:sz="0" w:space="0" w:color="auto"/>
                                                        <w:bottom w:val="none" w:sz="0" w:space="0" w:color="auto"/>
                                                        <w:right w:val="none" w:sz="0" w:space="0" w:color="auto"/>
                                                      </w:divBdr>
                                                    </w:div>
                                                  </w:divsChild>
                                                </w:div>
                                                <w:div w:id="1902905455">
                                                  <w:marLeft w:val="0"/>
                                                  <w:marRight w:val="0"/>
                                                  <w:marTop w:val="0"/>
                                                  <w:marBottom w:val="0"/>
                                                  <w:divBdr>
                                                    <w:top w:val="none" w:sz="0" w:space="0" w:color="auto"/>
                                                    <w:left w:val="none" w:sz="0" w:space="0" w:color="auto"/>
                                                    <w:bottom w:val="none" w:sz="0" w:space="0" w:color="auto"/>
                                                    <w:right w:val="none" w:sz="0" w:space="0" w:color="auto"/>
                                                  </w:divBdr>
                                                  <w:divsChild>
                                                    <w:div w:id="588345752">
                                                      <w:marLeft w:val="0"/>
                                                      <w:marRight w:val="0"/>
                                                      <w:marTop w:val="0"/>
                                                      <w:marBottom w:val="0"/>
                                                      <w:divBdr>
                                                        <w:top w:val="none" w:sz="0" w:space="0" w:color="auto"/>
                                                        <w:left w:val="none" w:sz="0" w:space="0" w:color="auto"/>
                                                        <w:bottom w:val="none" w:sz="0" w:space="0" w:color="auto"/>
                                                        <w:right w:val="none" w:sz="0" w:space="0" w:color="auto"/>
                                                      </w:divBdr>
                                                    </w:div>
                                                  </w:divsChild>
                                                </w:div>
                                                <w:div w:id="1444036991">
                                                  <w:marLeft w:val="0"/>
                                                  <w:marRight w:val="0"/>
                                                  <w:marTop w:val="0"/>
                                                  <w:marBottom w:val="0"/>
                                                  <w:divBdr>
                                                    <w:top w:val="none" w:sz="0" w:space="0" w:color="auto"/>
                                                    <w:left w:val="none" w:sz="0" w:space="0" w:color="auto"/>
                                                    <w:bottom w:val="none" w:sz="0" w:space="0" w:color="auto"/>
                                                    <w:right w:val="none" w:sz="0" w:space="0" w:color="auto"/>
                                                  </w:divBdr>
                                                  <w:divsChild>
                                                    <w:div w:id="146479471">
                                                      <w:marLeft w:val="0"/>
                                                      <w:marRight w:val="0"/>
                                                      <w:marTop w:val="0"/>
                                                      <w:marBottom w:val="0"/>
                                                      <w:divBdr>
                                                        <w:top w:val="none" w:sz="0" w:space="0" w:color="auto"/>
                                                        <w:left w:val="none" w:sz="0" w:space="0" w:color="auto"/>
                                                        <w:bottom w:val="none" w:sz="0" w:space="0" w:color="auto"/>
                                                        <w:right w:val="none" w:sz="0" w:space="0" w:color="auto"/>
                                                      </w:divBdr>
                                                    </w:div>
                                                  </w:divsChild>
                                                </w:div>
                                                <w:div w:id="173963125">
                                                  <w:marLeft w:val="0"/>
                                                  <w:marRight w:val="0"/>
                                                  <w:marTop w:val="0"/>
                                                  <w:marBottom w:val="0"/>
                                                  <w:divBdr>
                                                    <w:top w:val="none" w:sz="0" w:space="0" w:color="auto"/>
                                                    <w:left w:val="none" w:sz="0" w:space="0" w:color="auto"/>
                                                    <w:bottom w:val="none" w:sz="0" w:space="0" w:color="auto"/>
                                                    <w:right w:val="none" w:sz="0" w:space="0" w:color="auto"/>
                                                  </w:divBdr>
                                                  <w:divsChild>
                                                    <w:div w:id="849032106">
                                                      <w:marLeft w:val="0"/>
                                                      <w:marRight w:val="0"/>
                                                      <w:marTop w:val="0"/>
                                                      <w:marBottom w:val="0"/>
                                                      <w:divBdr>
                                                        <w:top w:val="none" w:sz="0" w:space="0" w:color="auto"/>
                                                        <w:left w:val="none" w:sz="0" w:space="0" w:color="auto"/>
                                                        <w:bottom w:val="none" w:sz="0" w:space="0" w:color="auto"/>
                                                        <w:right w:val="none" w:sz="0" w:space="0" w:color="auto"/>
                                                      </w:divBdr>
                                                    </w:div>
                                                  </w:divsChild>
                                                </w:div>
                                                <w:div w:id="2119328875">
                                                  <w:marLeft w:val="0"/>
                                                  <w:marRight w:val="0"/>
                                                  <w:marTop w:val="0"/>
                                                  <w:marBottom w:val="0"/>
                                                  <w:divBdr>
                                                    <w:top w:val="none" w:sz="0" w:space="0" w:color="auto"/>
                                                    <w:left w:val="none" w:sz="0" w:space="0" w:color="auto"/>
                                                    <w:bottom w:val="none" w:sz="0" w:space="0" w:color="auto"/>
                                                    <w:right w:val="none" w:sz="0" w:space="0" w:color="auto"/>
                                                  </w:divBdr>
                                                  <w:divsChild>
                                                    <w:div w:id="1779762940">
                                                      <w:marLeft w:val="0"/>
                                                      <w:marRight w:val="0"/>
                                                      <w:marTop w:val="0"/>
                                                      <w:marBottom w:val="0"/>
                                                      <w:divBdr>
                                                        <w:top w:val="none" w:sz="0" w:space="0" w:color="auto"/>
                                                        <w:left w:val="none" w:sz="0" w:space="0" w:color="auto"/>
                                                        <w:bottom w:val="none" w:sz="0" w:space="0" w:color="auto"/>
                                                        <w:right w:val="none" w:sz="0" w:space="0" w:color="auto"/>
                                                      </w:divBdr>
                                                    </w:div>
                                                  </w:divsChild>
                                                </w:div>
                                                <w:div w:id="1928348314">
                                                  <w:marLeft w:val="0"/>
                                                  <w:marRight w:val="0"/>
                                                  <w:marTop w:val="0"/>
                                                  <w:marBottom w:val="0"/>
                                                  <w:divBdr>
                                                    <w:top w:val="none" w:sz="0" w:space="0" w:color="auto"/>
                                                    <w:left w:val="none" w:sz="0" w:space="0" w:color="auto"/>
                                                    <w:bottom w:val="none" w:sz="0" w:space="0" w:color="auto"/>
                                                    <w:right w:val="none" w:sz="0" w:space="0" w:color="auto"/>
                                                  </w:divBdr>
                                                  <w:divsChild>
                                                    <w:div w:id="2114981979">
                                                      <w:marLeft w:val="0"/>
                                                      <w:marRight w:val="0"/>
                                                      <w:marTop w:val="0"/>
                                                      <w:marBottom w:val="0"/>
                                                      <w:divBdr>
                                                        <w:top w:val="none" w:sz="0" w:space="0" w:color="auto"/>
                                                        <w:left w:val="none" w:sz="0" w:space="0" w:color="auto"/>
                                                        <w:bottom w:val="none" w:sz="0" w:space="0" w:color="auto"/>
                                                        <w:right w:val="none" w:sz="0" w:space="0" w:color="auto"/>
                                                      </w:divBdr>
                                                    </w:div>
                                                  </w:divsChild>
                                                </w:div>
                                                <w:div w:id="450133019">
                                                  <w:marLeft w:val="0"/>
                                                  <w:marRight w:val="0"/>
                                                  <w:marTop w:val="0"/>
                                                  <w:marBottom w:val="0"/>
                                                  <w:divBdr>
                                                    <w:top w:val="none" w:sz="0" w:space="0" w:color="auto"/>
                                                    <w:left w:val="none" w:sz="0" w:space="0" w:color="auto"/>
                                                    <w:bottom w:val="none" w:sz="0" w:space="0" w:color="auto"/>
                                                    <w:right w:val="none" w:sz="0" w:space="0" w:color="auto"/>
                                                  </w:divBdr>
                                                  <w:divsChild>
                                                    <w:div w:id="990599475">
                                                      <w:marLeft w:val="0"/>
                                                      <w:marRight w:val="0"/>
                                                      <w:marTop w:val="0"/>
                                                      <w:marBottom w:val="0"/>
                                                      <w:divBdr>
                                                        <w:top w:val="none" w:sz="0" w:space="0" w:color="auto"/>
                                                        <w:left w:val="none" w:sz="0" w:space="0" w:color="auto"/>
                                                        <w:bottom w:val="none" w:sz="0" w:space="0" w:color="auto"/>
                                                        <w:right w:val="none" w:sz="0" w:space="0" w:color="auto"/>
                                                      </w:divBdr>
                                                    </w:div>
                                                  </w:divsChild>
                                                </w:div>
                                                <w:div w:id="560141898">
                                                  <w:marLeft w:val="0"/>
                                                  <w:marRight w:val="0"/>
                                                  <w:marTop w:val="0"/>
                                                  <w:marBottom w:val="0"/>
                                                  <w:divBdr>
                                                    <w:top w:val="none" w:sz="0" w:space="0" w:color="auto"/>
                                                    <w:left w:val="none" w:sz="0" w:space="0" w:color="auto"/>
                                                    <w:bottom w:val="none" w:sz="0" w:space="0" w:color="auto"/>
                                                    <w:right w:val="none" w:sz="0" w:space="0" w:color="auto"/>
                                                  </w:divBdr>
                                                  <w:divsChild>
                                                    <w:div w:id="1097168008">
                                                      <w:marLeft w:val="0"/>
                                                      <w:marRight w:val="0"/>
                                                      <w:marTop w:val="0"/>
                                                      <w:marBottom w:val="0"/>
                                                      <w:divBdr>
                                                        <w:top w:val="none" w:sz="0" w:space="0" w:color="auto"/>
                                                        <w:left w:val="none" w:sz="0" w:space="0" w:color="auto"/>
                                                        <w:bottom w:val="none" w:sz="0" w:space="0" w:color="auto"/>
                                                        <w:right w:val="none" w:sz="0" w:space="0" w:color="auto"/>
                                                      </w:divBdr>
                                                    </w:div>
                                                  </w:divsChild>
                                                </w:div>
                                                <w:div w:id="1802067479">
                                                  <w:marLeft w:val="0"/>
                                                  <w:marRight w:val="0"/>
                                                  <w:marTop w:val="0"/>
                                                  <w:marBottom w:val="0"/>
                                                  <w:divBdr>
                                                    <w:top w:val="none" w:sz="0" w:space="0" w:color="auto"/>
                                                    <w:left w:val="none" w:sz="0" w:space="0" w:color="auto"/>
                                                    <w:bottom w:val="none" w:sz="0" w:space="0" w:color="auto"/>
                                                    <w:right w:val="none" w:sz="0" w:space="0" w:color="auto"/>
                                                  </w:divBdr>
                                                  <w:divsChild>
                                                    <w:div w:id="893976769">
                                                      <w:marLeft w:val="0"/>
                                                      <w:marRight w:val="0"/>
                                                      <w:marTop w:val="0"/>
                                                      <w:marBottom w:val="0"/>
                                                      <w:divBdr>
                                                        <w:top w:val="none" w:sz="0" w:space="0" w:color="auto"/>
                                                        <w:left w:val="none" w:sz="0" w:space="0" w:color="auto"/>
                                                        <w:bottom w:val="none" w:sz="0" w:space="0" w:color="auto"/>
                                                        <w:right w:val="none" w:sz="0" w:space="0" w:color="auto"/>
                                                      </w:divBdr>
                                                    </w:div>
                                                  </w:divsChild>
                                                </w:div>
                                                <w:div w:id="1788354830">
                                                  <w:marLeft w:val="0"/>
                                                  <w:marRight w:val="0"/>
                                                  <w:marTop w:val="0"/>
                                                  <w:marBottom w:val="0"/>
                                                  <w:divBdr>
                                                    <w:top w:val="none" w:sz="0" w:space="0" w:color="auto"/>
                                                    <w:left w:val="none" w:sz="0" w:space="0" w:color="auto"/>
                                                    <w:bottom w:val="none" w:sz="0" w:space="0" w:color="auto"/>
                                                    <w:right w:val="none" w:sz="0" w:space="0" w:color="auto"/>
                                                  </w:divBdr>
                                                  <w:divsChild>
                                                    <w:div w:id="1113207834">
                                                      <w:marLeft w:val="0"/>
                                                      <w:marRight w:val="0"/>
                                                      <w:marTop w:val="0"/>
                                                      <w:marBottom w:val="0"/>
                                                      <w:divBdr>
                                                        <w:top w:val="none" w:sz="0" w:space="0" w:color="auto"/>
                                                        <w:left w:val="none" w:sz="0" w:space="0" w:color="auto"/>
                                                        <w:bottom w:val="none" w:sz="0" w:space="0" w:color="auto"/>
                                                        <w:right w:val="none" w:sz="0" w:space="0" w:color="auto"/>
                                                      </w:divBdr>
                                                    </w:div>
                                                  </w:divsChild>
                                                </w:div>
                                                <w:div w:id="613750947">
                                                  <w:marLeft w:val="0"/>
                                                  <w:marRight w:val="0"/>
                                                  <w:marTop w:val="0"/>
                                                  <w:marBottom w:val="0"/>
                                                  <w:divBdr>
                                                    <w:top w:val="none" w:sz="0" w:space="0" w:color="auto"/>
                                                    <w:left w:val="none" w:sz="0" w:space="0" w:color="auto"/>
                                                    <w:bottom w:val="none" w:sz="0" w:space="0" w:color="auto"/>
                                                    <w:right w:val="none" w:sz="0" w:space="0" w:color="auto"/>
                                                  </w:divBdr>
                                                  <w:divsChild>
                                                    <w:div w:id="888305376">
                                                      <w:marLeft w:val="0"/>
                                                      <w:marRight w:val="0"/>
                                                      <w:marTop w:val="0"/>
                                                      <w:marBottom w:val="0"/>
                                                      <w:divBdr>
                                                        <w:top w:val="none" w:sz="0" w:space="0" w:color="auto"/>
                                                        <w:left w:val="none" w:sz="0" w:space="0" w:color="auto"/>
                                                        <w:bottom w:val="none" w:sz="0" w:space="0" w:color="auto"/>
                                                        <w:right w:val="none" w:sz="0" w:space="0" w:color="auto"/>
                                                      </w:divBdr>
                                                    </w:div>
                                                  </w:divsChild>
                                                </w:div>
                                                <w:div w:id="927690939">
                                                  <w:marLeft w:val="0"/>
                                                  <w:marRight w:val="0"/>
                                                  <w:marTop w:val="0"/>
                                                  <w:marBottom w:val="0"/>
                                                  <w:divBdr>
                                                    <w:top w:val="none" w:sz="0" w:space="0" w:color="auto"/>
                                                    <w:left w:val="none" w:sz="0" w:space="0" w:color="auto"/>
                                                    <w:bottom w:val="none" w:sz="0" w:space="0" w:color="auto"/>
                                                    <w:right w:val="none" w:sz="0" w:space="0" w:color="auto"/>
                                                  </w:divBdr>
                                                  <w:divsChild>
                                                    <w:div w:id="681207883">
                                                      <w:marLeft w:val="0"/>
                                                      <w:marRight w:val="0"/>
                                                      <w:marTop w:val="0"/>
                                                      <w:marBottom w:val="0"/>
                                                      <w:divBdr>
                                                        <w:top w:val="none" w:sz="0" w:space="0" w:color="auto"/>
                                                        <w:left w:val="none" w:sz="0" w:space="0" w:color="auto"/>
                                                        <w:bottom w:val="none" w:sz="0" w:space="0" w:color="auto"/>
                                                        <w:right w:val="none" w:sz="0" w:space="0" w:color="auto"/>
                                                      </w:divBdr>
                                                    </w:div>
                                                  </w:divsChild>
                                                </w:div>
                                                <w:div w:id="581991189">
                                                  <w:marLeft w:val="0"/>
                                                  <w:marRight w:val="0"/>
                                                  <w:marTop w:val="0"/>
                                                  <w:marBottom w:val="0"/>
                                                  <w:divBdr>
                                                    <w:top w:val="none" w:sz="0" w:space="0" w:color="auto"/>
                                                    <w:left w:val="none" w:sz="0" w:space="0" w:color="auto"/>
                                                    <w:bottom w:val="none" w:sz="0" w:space="0" w:color="auto"/>
                                                    <w:right w:val="none" w:sz="0" w:space="0" w:color="auto"/>
                                                  </w:divBdr>
                                                  <w:divsChild>
                                                    <w:div w:id="1506163790">
                                                      <w:marLeft w:val="0"/>
                                                      <w:marRight w:val="0"/>
                                                      <w:marTop w:val="0"/>
                                                      <w:marBottom w:val="0"/>
                                                      <w:divBdr>
                                                        <w:top w:val="none" w:sz="0" w:space="0" w:color="auto"/>
                                                        <w:left w:val="none" w:sz="0" w:space="0" w:color="auto"/>
                                                        <w:bottom w:val="none" w:sz="0" w:space="0" w:color="auto"/>
                                                        <w:right w:val="none" w:sz="0" w:space="0" w:color="auto"/>
                                                      </w:divBdr>
                                                    </w:div>
                                                  </w:divsChild>
                                                </w:div>
                                                <w:div w:id="612057724">
                                                  <w:marLeft w:val="0"/>
                                                  <w:marRight w:val="0"/>
                                                  <w:marTop w:val="0"/>
                                                  <w:marBottom w:val="0"/>
                                                  <w:divBdr>
                                                    <w:top w:val="none" w:sz="0" w:space="0" w:color="auto"/>
                                                    <w:left w:val="none" w:sz="0" w:space="0" w:color="auto"/>
                                                    <w:bottom w:val="none" w:sz="0" w:space="0" w:color="auto"/>
                                                    <w:right w:val="none" w:sz="0" w:space="0" w:color="auto"/>
                                                  </w:divBdr>
                                                  <w:divsChild>
                                                    <w:div w:id="189225284">
                                                      <w:marLeft w:val="0"/>
                                                      <w:marRight w:val="0"/>
                                                      <w:marTop w:val="0"/>
                                                      <w:marBottom w:val="0"/>
                                                      <w:divBdr>
                                                        <w:top w:val="none" w:sz="0" w:space="0" w:color="auto"/>
                                                        <w:left w:val="none" w:sz="0" w:space="0" w:color="auto"/>
                                                        <w:bottom w:val="none" w:sz="0" w:space="0" w:color="auto"/>
                                                        <w:right w:val="none" w:sz="0" w:space="0" w:color="auto"/>
                                                      </w:divBdr>
                                                    </w:div>
                                                  </w:divsChild>
                                                </w:div>
                                                <w:div w:id="830222153">
                                                  <w:marLeft w:val="0"/>
                                                  <w:marRight w:val="0"/>
                                                  <w:marTop w:val="0"/>
                                                  <w:marBottom w:val="0"/>
                                                  <w:divBdr>
                                                    <w:top w:val="none" w:sz="0" w:space="0" w:color="auto"/>
                                                    <w:left w:val="none" w:sz="0" w:space="0" w:color="auto"/>
                                                    <w:bottom w:val="none" w:sz="0" w:space="0" w:color="auto"/>
                                                    <w:right w:val="none" w:sz="0" w:space="0" w:color="auto"/>
                                                  </w:divBdr>
                                                  <w:divsChild>
                                                    <w:div w:id="696547071">
                                                      <w:marLeft w:val="0"/>
                                                      <w:marRight w:val="0"/>
                                                      <w:marTop w:val="0"/>
                                                      <w:marBottom w:val="0"/>
                                                      <w:divBdr>
                                                        <w:top w:val="none" w:sz="0" w:space="0" w:color="auto"/>
                                                        <w:left w:val="none" w:sz="0" w:space="0" w:color="auto"/>
                                                        <w:bottom w:val="none" w:sz="0" w:space="0" w:color="auto"/>
                                                        <w:right w:val="none" w:sz="0" w:space="0" w:color="auto"/>
                                                      </w:divBdr>
                                                    </w:div>
                                                  </w:divsChild>
                                                </w:div>
                                                <w:div w:id="1947300773">
                                                  <w:marLeft w:val="0"/>
                                                  <w:marRight w:val="0"/>
                                                  <w:marTop w:val="0"/>
                                                  <w:marBottom w:val="0"/>
                                                  <w:divBdr>
                                                    <w:top w:val="none" w:sz="0" w:space="0" w:color="auto"/>
                                                    <w:left w:val="none" w:sz="0" w:space="0" w:color="auto"/>
                                                    <w:bottom w:val="none" w:sz="0" w:space="0" w:color="auto"/>
                                                    <w:right w:val="none" w:sz="0" w:space="0" w:color="auto"/>
                                                  </w:divBdr>
                                                  <w:divsChild>
                                                    <w:div w:id="205683607">
                                                      <w:marLeft w:val="0"/>
                                                      <w:marRight w:val="0"/>
                                                      <w:marTop w:val="0"/>
                                                      <w:marBottom w:val="0"/>
                                                      <w:divBdr>
                                                        <w:top w:val="none" w:sz="0" w:space="0" w:color="auto"/>
                                                        <w:left w:val="none" w:sz="0" w:space="0" w:color="auto"/>
                                                        <w:bottom w:val="none" w:sz="0" w:space="0" w:color="auto"/>
                                                        <w:right w:val="none" w:sz="0" w:space="0" w:color="auto"/>
                                                      </w:divBdr>
                                                    </w:div>
                                                  </w:divsChild>
                                                </w:div>
                                                <w:div w:id="417870871">
                                                  <w:marLeft w:val="0"/>
                                                  <w:marRight w:val="0"/>
                                                  <w:marTop w:val="0"/>
                                                  <w:marBottom w:val="0"/>
                                                  <w:divBdr>
                                                    <w:top w:val="none" w:sz="0" w:space="0" w:color="auto"/>
                                                    <w:left w:val="none" w:sz="0" w:space="0" w:color="auto"/>
                                                    <w:bottom w:val="none" w:sz="0" w:space="0" w:color="auto"/>
                                                    <w:right w:val="none" w:sz="0" w:space="0" w:color="auto"/>
                                                  </w:divBdr>
                                                  <w:divsChild>
                                                    <w:div w:id="926769433">
                                                      <w:marLeft w:val="0"/>
                                                      <w:marRight w:val="0"/>
                                                      <w:marTop w:val="0"/>
                                                      <w:marBottom w:val="0"/>
                                                      <w:divBdr>
                                                        <w:top w:val="none" w:sz="0" w:space="0" w:color="auto"/>
                                                        <w:left w:val="none" w:sz="0" w:space="0" w:color="auto"/>
                                                        <w:bottom w:val="none" w:sz="0" w:space="0" w:color="auto"/>
                                                        <w:right w:val="none" w:sz="0" w:space="0" w:color="auto"/>
                                                      </w:divBdr>
                                                    </w:div>
                                                  </w:divsChild>
                                                </w:div>
                                                <w:div w:id="283585505">
                                                  <w:marLeft w:val="0"/>
                                                  <w:marRight w:val="0"/>
                                                  <w:marTop w:val="0"/>
                                                  <w:marBottom w:val="0"/>
                                                  <w:divBdr>
                                                    <w:top w:val="none" w:sz="0" w:space="0" w:color="auto"/>
                                                    <w:left w:val="none" w:sz="0" w:space="0" w:color="auto"/>
                                                    <w:bottom w:val="none" w:sz="0" w:space="0" w:color="auto"/>
                                                    <w:right w:val="none" w:sz="0" w:space="0" w:color="auto"/>
                                                  </w:divBdr>
                                                  <w:divsChild>
                                                    <w:div w:id="1800995961">
                                                      <w:marLeft w:val="0"/>
                                                      <w:marRight w:val="0"/>
                                                      <w:marTop w:val="0"/>
                                                      <w:marBottom w:val="0"/>
                                                      <w:divBdr>
                                                        <w:top w:val="none" w:sz="0" w:space="0" w:color="auto"/>
                                                        <w:left w:val="none" w:sz="0" w:space="0" w:color="auto"/>
                                                        <w:bottom w:val="none" w:sz="0" w:space="0" w:color="auto"/>
                                                        <w:right w:val="none" w:sz="0" w:space="0" w:color="auto"/>
                                                      </w:divBdr>
                                                    </w:div>
                                                  </w:divsChild>
                                                </w:div>
                                                <w:div w:id="1449086360">
                                                  <w:marLeft w:val="0"/>
                                                  <w:marRight w:val="0"/>
                                                  <w:marTop w:val="0"/>
                                                  <w:marBottom w:val="0"/>
                                                  <w:divBdr>
                                                    <w:top w:val="none" w:sz="0" w:space="0" w:color="auto"/>
                                                    <w:left w:val="none" w:sz="0" w:space="0" w:color="auto"/>
                                                    <w:bottom w:val="none" w:sz="0" w:space="0" w:color="auto"/>
                                                    <w:right w:val="none" w:sz="0" w:space="0" w:color="auto"/>
                                                  </w:divBdr>
                                                  <w:divsChild>
                                                    <w:div w:id="1585800315">
                                                      <w:marLeft w:val="0"/>
                                                      <w:marRight w:val="0"/>
                                                      <w:marTop w:val="0"/>
                                                      <w:marBottom w:val="0"/>
                                                      <w:divBdr>
                                                        <w:top w:val="none" w:sz="0" w:space="0" w:color="auto"/>
                                                        <w:left w:val="none" w:sz="0" w:space="0" w:color="auto"/>
                                                        <w:bottom w:val="none" w:sz="0" w:space="0" w:color="auto"/>
                                                        <w:right w:val="none" w:sz="0" w:space="0" w:color="auto"/>
                                                      </w:divBdr>
                                                    </w:div>
                                                  </w:divsChild>
                                                </w:div>
                                                <w:div w:id="239026071">
                                                  <w:marLeft w:val="0"/>
                                                  <w:marRight w:val="0"/>
                                                  <w:marTop w:val="0"/>
                                                  <w:marBottom w:val="0"/>
                                                  <w:divBdr>
                                                    <w:top w:val="none" w:sz="0" w:space="0" w:color="auto"/>
                                                    <w:left w:val="none" w:sz="0" w:space="0" w:color="auto"/>
                                                    <w:bottom w:val="none" w:sz="0" w:space="0" w:color="auto"/>
                                                    <w:right w:val="none" w:sz="0" w:space="0" w:color="auto"/>
                                                  </w:divBdr>
                                                  <w:divsChild>
                                                    <w:div w:id="1912887676">
                                                      <w:marLeft w:val="0"/>
                                                      <w:marRight w:val="0"/>
                                                      <w:marTop w:val="0"/>
                                                      <w:marBottom w:val="0"/>
                                                      <w:divBdr>
                                                        <w:top w:val="none" w:sz="0" w:space="0" w:color="auto"/>
                                                        <w:left w:val="none" w:sz="0" w:space="0" w:color="auto"/>
                                                        <w:bottom w:val="none" w:sz="0" w:space="0" w:color="auto"/>
                                                        <w:right w:val="none" w:sz="0" w:space="0" w:color="auto"/>
                                                      </w:divBdr>
                                                    </w:div>
                                                  </w:divsChild>
                                                </w:div>
                                                <w:div w:id="187332697">
                                                  <w:marLeft w:val="0"/>
                                                  <w:marRight w:val="0"/>
                                                  <w:marTop w:val="0"/>
                                                  <w:marBottom w:val="0"/>
                                                  <w:divBdr>
                                                    <w:top w:val="none" w:sz="0" w:space="0" w:color="auto"/>
                                                    <w:left w:val="none" w:sz="0" w:space="0" w:color="auto"/>
                                                    <w:bottom w:val="none" w:sz="0" w:space="0" w:color="auto"/>
                                                    <w:right w:val="none" w:sz="0" w:space="0" w:color="auto"/>
                                                  </w:divBdr>
                                                  <w:divsChild>
                                                    <w:div w:id="195314599">
                                                      <w:marLeft w:val="0"/>
                                                      <w:marRight w:val="0"/>
                                                      <w:marTop w:val="0"/>
                                                      <w:marBottom w:val="0"/>
                                                      <w:divBdr>
                                                        <w:top w:val="none" w:sz="0" w:space="0" w:color="auto"/>
                                                        <w:left w:val="none" w:sz="0" w:space="0" w:color="auto"/>
                                                        <w:bottom w:val="none" w:sz="0" w:space="0" w:color="auto"/>
                                                        <w:right w:val="none" w:sz="0" w:space="0" w:color="auto"/>
                                                      </w:divBdr>
                                                    </w:div>
                                                  </w:divsChild>
                                                </w:div>
                                                <w:div w:id="1656103681">
                                                  <w:marLeft w:val="0"/>
                                                  <w:marRight w:val="0"/>
                                                  <w:marTop w:val="0"/>
                                                  <w:marBottom w:val="0"/>
                                                  <w:divBdr>
                                                    <w:top w:val="none" w:sz="0" w:space="0" w:color="auto"/>
                                                    <w:left w:val="none" w:sz="0" w:space="0" w:color="auto"/>
                                                    <w:bottom w:val="none" w:sz="0" w:space="0" w:color="auto"/>
                                                    <w:right w:val="none" w:sz="0" w:space="0" w:color="auto"/>
                                                  </w:divBdr>
                                                  <w:divsChild>
                                                    <w:div w:id="547645723">
                                                      <w:marLeft w:val="0"/>
                                                      <w:marRight w:val="0"/>
                                                      <w:marTop w:val="0"/>
                                                      <w:marBottom w:val="0"/>
                                                      <w:divBdr>
                                                        <w:top w:val="none" w:sz="0" w:space="0" w:color="auto"/>
                                                        <w:left w:val="none" w:sz="0" w:space="0" w:color="auto"/>
                                                        <w:bottom w:val="none" w:sz="0" w:space="0" w:color="auto"/>
                                                        <w:right w:val="none" w:sz="0" w:space="0" w:color="auto"/>
                                                      </w:divBdr>
                                                    </w:div>
                                                  </w:divsChild>
                                                </w:div>
                                                <w:div w:id="148333468">
                                                  <w:marLeft w:val="0"/>
                                                  <w:marRight w:val="0"/>
                                                  <w:marTop w:val="0"/>
                                                  <w:marBottom w:val="0"/>
                                                  <w:divBdr>
                                                    <w:top w:val="none" w:sz="0" w:space="0" w:color="auto"/>
                                                    <w:left w:val="none" w:sz="0" w:space="0" w:color="auto"/>
                                                    <w:bottom w:val="none" w:sz="0" w:space="0" w:color="auto"/>
                                                    <w:right w:val="none" w:sz="0" w:space="0" w:color="auto"/>
                                                  </w:divBdr>
                                                  <w:divsChild>
                                                    <w:div w:id="1777559116">
                                                      <w:marLeft w:val="0"/>
                                                      <w:marRight w:val="0"/>
                                                      <w:marTop w:val="0"/>
                                                      <w:marBottom w:val="0"/>
                                                      <w:divBdr>
                                                        <w:top w:val="none" w:sz="0" w:space="0" w:color="auto"/>
                                                        <w:left w:val="none" w:sz="0" w:space="0" w:color="auto"/>
                                                        <w:bottom w:val="none" w:sz="0" w:space="0" w:color="auto"/>
                                                        <w:right w:val="none" w:sz="0" w:space="0" w:color="auto"/>
                                                      </w:divBdr>
                                                    </w:div>
                                                  </w:divsChild>
                                                </w:div>
                                                <w:div w:id="402334478">
                                                  <w:marLeft w:val="0"/>
                                                  <w:marRight w:val="0"/>
                                                  <w:marTop w:val="0"/>
                                                  <w:marBottom w:val="0"/>
                                                  <w:divBdr>
                                                    <w:top w:val="none" w:sz="0" w:space="0" w:color="auto"/>
                                                    <w:left w:val="none" w:sz="0" w:space="0" w:color="auto"/>
                                                    <w:bottom w:val="none" w:sz="0" w:space="0" w:color="auto"/>
                                                    <w:right w:val="none" w:sz="0" w:space="0" w:color="auto"/>
                                                  </w:divBdr>
                                                  <w:divsChild>
                                                    <w:div w:id="2047752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24547774">
      <w:bodyDiv w:val="1"/>
      <w:marLeft w:val="0"/>
      <w:marRight w:val="0"/>
      <w:marTop w:val="0"/>
      <w:marBottom w:val="0"/>
      <w:divBdr>
        <w:top w:val="none" w:sz="0" w:space="0" w:color="auto"/>
        <w:left w:val="none" w:sz="0" w:space="0" w:color="auto"/>
        <w:bottom w:val="none" w:sz="0" w:space="0" w:color="auto"/>
        <w:right w:val="none" w:sz="0" w:space="0" w:color="auto"/>
      </w:divBdr>
      <w:divsChild>
        <w:div w:id="1727608186">
          <w:marLeft w:val="806"/>
          <w:marRight w:val="0"/>
          <w:marTop w:val="120"/>
          <w:marBottom w:val="0"/>
          <w:divBdr>
            <w:top w:val="none" w:sz="0" w:space="0" w:color="auto"/>
            <w:left w:val="none" w:sz="0" w:space="0" w:color="auto"/>
            <w:bottom w:val="none" w:sz="0" w:space="0" w:color="auto"/>
            <w:right w:val="none" w:sz="0" w:space="0" w:color="auto"/>
          </w:divBdr>
        </w:div>
        <w:div w:id="189268067">
          <w:marLeft w:val="1526"/>
          <w:marRight w:val="0"/>
          <w:marTop w:val="120"/>
          <w:marBottom w:val="0"/>
          <w:divBdr>
            <w:top w:val="none" w:sz="0" w:space="0" w:color="auto"/>
            <w:left w:val="none" w:sz="0" w:space="0" w:color="auto"/>
            <w:bottom w:val="none" w:sz="0" w:space="0" w:color="auto"/>
            <w:right w:val="none" w:sz="0" w:space="0" w:color="auto"/>
          </w:divBdr>
        </w:div>
      </w:divsChild>
    </w:div>
    <w:div w:id="1846629212">
      <w:bodyDiv w:val="1"/>
      <w:marLeft w:val="0"/>
      <w:marRight w:val="0"/>
      <w:marTop w:val="0"/>
      <w:marBottom w:val="0"/>
      <w:divBdr>
        <w:top w:val="none" w:sz="0" w:space="0" w:color="auto"/>
        <w:left w:val="none" w:sz="0" w:space="0" w:color="auto"/>
        <w:bottom w:val="none" w:sz="0" w:space="0" w:color="auto"/>
        <w:right w:val="none" w:sz="0" w:space="0" w:color="auto"/>
      </w:divBdr>
    </w:div>
    <w:div w:id="1929456866">
      <w:bodyDiv w:val="1"/>
      <w:marLeft w:val="0"/>
      <w:marRight w:val="0"/>
      <w:marTop w:val="0"/>
      <w:marBottom w:val="0"/>
      <w:divBdr>
        <w:top w:val="none" w:sz="0" w:space="0" w:color="auto"/>
        <w:left w:val="none" w:sz="0" w:space="0" w:color="auto"/>
        <w:bottom w:val="none" w:sz="0" w:space="0" w:color="auto"/>
        <w:right w:val="none" w:sz="0" w:space="0" w:color="auto"/>
      </w:divBdr>
    </w:div>
    <w:div w:id="2040279055">
      <w:bodyDiv w:val="1"/>
      <w:marLeft w:val="0"/>
      <w:marRight w:val="0"/>
      <w:marTop w:val="0"/>
      <w:marBottom w:val="0"/>
      <w:divBdr>
        <w:top w:val="none" w:sz="0" w:space="0" w:color="auto"/>
        <w:left w:val="none" w:sz="0" w:space="0" w:color="auto"/>
        <w:bottom w:val="none" w:sz="0" w:space="0" w:color="auto"/>
        <w:right w:val="none" w:sz="0" w:space="0" w:color="auto"/>
      </w:divBdr>
      <w:divsChild>
        <w:div w:id="1127894504">
          <w:marLeft w:val="806"/>
          <w:marRight w:val="0"/>
          <w:marTop w:val="96"/>
          <w:marBottom w:val="0"/>
          <w:divBdr>
            <w:top w:val="none" w:sz="0" w:space="0" w:color="auto"/>
            <w:left w:val="none" w:sz="0" w:space="0" w:color="auto"/>
            <w:bottom w:val="none" w:sz="0" w:space="0" w:color="auto"/>
            <w:right w:val="none" w:sz="0" w:space="0" w:color="auto"/>
          </w:divBdr>
        </w:div>
        <w:div w:id="1090005655">
          <w:marLeft w:val="806"/>
          <w:marRight w:val="0"/>
          <w:marTop w:val="96"/>
          <w:marBottom w:val="0"/>
          <w:divBdr>
            <w:top w:val="none" w:sz="0" w:space="0" w:color="auto"/>
            <w:left w:val="none" w:sz="0" w:space="0" w:color="auto"/>
            <w:bottom w:val="none" w:sz="0" w:space="0" w:color="auto"/>
            <w:right w:val="none" w:sz="0" w:space="0" w:color="auto"/>
          </w:divBdr>
        </w:div>
        <w:div w:id="1993635057">
          <w:marLeft w:val="806"/>
          <w:marRight w:val="0"/>
          <w:marTop w:val="96"/>
          <w:marBottom w:val="0"/>
          <w:divBdr>
            <w:top w:val="none" w:sz="0" w:space="0" w:color="auto"/>
            <w:left w:val="none" w:sz="0" w:space="0" w:color="auto"/>
            <w:bottom w:val="none" w:sz="0" w:space="0" w:color="auto"/>
            <w:right w:val="none" w:sz="0" w:space="0" w:color="auto"/>
          </w:divBdr>
        </w:div>
      </w:divsChild>
    </w:div>
    <w:div w:id="2060322470">
      <w:bodyDiv w:val="1"/>
      <w:marLeft w:val="0"/>
      <w:marRight w:val="0"/>
      <w:marTop w:val="0"/>
      <w:marBottom w:val="0"/>
      <w:divBdr>
        <w:top w:val="none" w:sz="0" w:space="0" w:color="auto"/>
        <w:left w:val="none" w:sz="0" w:space="0" w:color="auto"/>
        <w:bottom w:val="none" w:sz="0" w:space="0" w:color="auto"/>
        <w:right w:val="none" w:sz="0" w:space="0" w:color="auto"/>
      </w:divBdr>
    </w:div>
    <w:div w:id="2136680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chart" Target="charts/chart1.xml"/><Relationship Id="rId26" Type="http://schemas.openxmlformats.org/officeDocument/2006/relationships/chart" Target="charts/chart3.xml"/><Relationship Id="rId39" Type="http://schemas.openxmlformats.org/officeDocument/2006/relationships/hyperlink" Target="https://zenodo.org/records/5772776" TargetMode="External"/><Relationship Id="rId21" Type="http://schemas.openxmlformats.org/officeDocument/2006/relationships/hyperlink" Target="https://gitlab.com/cortext/patents/risis-patents-database" TargetMode="External"/><Relationship Id="rId34" Type="http://schemas.openxmlformats.org/officeDocument/2006/relationships/chart" Target="charts/chart6.xml"/><Relationship Id="rId42" Type="http://schemas.openxmlformats.org/officeDocument/2006/relationships/hyperlink" Target="https://ssrn.com/abstract=4546856" TargetMode="External"/><Relationship Id="rId47" Type="http://schemas.openxmlformats.org/officeDocument/2006/relationships/image" Target="media/image19.png"/><Relationship Id="rId50" Type="http://schemas.openxmlformats.org/officeDocument/2006/relationships/image" Target="media/image22.png"/><Relationship Id="rId55" Type="http://schemas.microsoft.com/office/2014/relationships/chartEx" Target="charts/chartEx1.xml"/><Relationship Id="rId63" Type="http://schemas.openxmlformats.org/officeDocument/2006/relationships/hyperlink" Target="https://zenodo.org/records/7870672" TargetMode="External"/><Relationship Id="rId68" Type="http://schemas.openxmlformats.org/officeDocument/2006/relationships/image" Target="media/image31.png"/><Relationship Id="rId76" Type="http://schemas.openxmlformats.org/officeDocument/2006/relationships/chart" Target="charts/chart7.xml"/><Relationship Id="rId84" Type="http://schemas.openxmlformats.org/officeDocument/2006/relationships/hyperlink" Target="https://zenodo.org/records/4705508" TargetMode="External"/><Relationship Id="rId89"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s://ror.org/" TargetMode="Externa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hyperlink" Target="https://rcf.risis2.eu/dataset/14/metadata" TargetMode="External"/><Relationship Id="rId11" Type="http://schemas.openxmlformats.org/officeDocument/2006/relationships/image" Target="media/image4.png"/><Relationship Id="rId24" Type="http://schemas.openxmlformats.org/officeDocument/2006/relationships/image" Target="media/image13.emf"/><Relationship Id="rId32" Type="http://schemas.openxmlformats.org/officeDocument/2006/relationships/hyperlink" Target="https://github.com/pelias/pelias" TargetMode="External"/><Relationship Id="rId37" Type="http://schemas.openxmlformats.org/officeDocument/2006/relationships/hyperlink" Target="https://bit.ly/ESIDapp" TargetMode="External"/><Relationship Id="rId40" Type="http://schemas.openxmlformats.org/officeDocument/2006/relationships/hyperlink" Target="https://github.com/EuropeanSocialInnovationDatabase/ESID_v2.5" TargetMode="External"/><Relationship Id="rId45" Type="http://schemas.openxmlformats.org/officeDocument/2006/relationships/hyperlink" Target="https://link.springer.com/chapter/10.1007/978-3-319-91947-8_42" TargetMode="External"/><Relationship Id="rId53" Type="http://schemas.openxmlformats.org/officeDocument/2006/relationships/image" Target="media/image25.png"/><Relationship Id="rId58" Type="http://schemas.openxmlformats.org/officeDocument/2006/relationships/hyperlink" Target="https://www.eter-project.com/" TargetMode="External"/><Relationship Id="rId66" Type="http://schemas.openxmlformats.org/officeDocument/2006/relationships/hyperlink" Target="https://www.eter-project.com/2022/06/01/country-reports-2/" TargetMode="External"/><Relationship Id="rId74" Type="http://schemas.openxmlformats.org/officeDocument/2006/relationships/hyperlink" Target="https://si-per.eu/siper-en/index.php" TargetMode="External"/><Relationship Id="rId79" Type="http://schemas.openxmlformats.org/officeDocument/2006/relationships/hyperlink" Target="https://www.isi.fraunhofer.de/en/competence-center/politik-gesellschaft/projekte/inspire.html" TargetMode="External"/><Relationship Id="rId87" Type="http://schemas.openxmlformats.org/officeDocument/2006/relationships/header" Target="header2.xml"/><Relationship Id="rId5" Type="http://schemas.openxmlformats.org/officeDocument/2006/relationships/webSettings" Target="webSettings.xml"/><Relationship Id="rId61" Type="http://schemas.openxmlformats.org/officeDocument/2006/relationships/image" Target="media/image28.png"/><Relationship Id="rId82" Type="http://schemas.openxmlformats.org/officeDocument/2006/relationships/image" Target="media/image38.png"/><Relationship Id="rId90" Type="http://schemas.openxmlformats.org/officeDocument/2006/relationships/glossaryDocument" Target="glossary/document.xml"/><Relationship Id="rId19" Type="http://schemas.openxmlformats.org/officeDocument/2006/relationships/chart" Target="charts/chart2.xml"/><Relationship Id="rId14" Type="http://schemas.openxmlformats.org/officeDocument/2006/relationships/image" Target="media/image7.png"/><Relationship Id="rId22" Type="http://schemas.openxmlformats.org/officeDocument/2006/relationships/image" Target="media/image11.emf"/><Relationship Id="rId27" Type="http://schemas.openxmlformats.org/officeDocument/2006/relationships/chart" Target="charts/chart4.xml"/><Relationship Id="rId30" Type="http://schemas.openxmlformats.org/officeDocument/2006/relationships/image" Target="media/image15.png"/><Relationship Id="rId35" Type="http://schemas.openxmlformats.org/officeDocument/2006/relationships/hyperlink" Target="https://zenodo.org/record/4605814" TargetMode="External"/><Relationship Id="rId43" Type="http://schemas.openxmlformats.org/officeDocument/2006/relationships/hyperlink" Target="https://www.nature.com/articles/s41597-022-01818-0" TargetMode="External"/><Relationship Id="rId48" Type="http://schemas.openxmlformats.org/officeDocument/2006/relationships/image" Target="media/image20.png"/><Relationship Id="rId56" Type="http://schemas.openxmlformats.org/officeDocument/2006/relationships/image" Target="media/image160.png"/><Relationship Id="rId64" Type="http://schemas.openxmlformats.org/officeDocument/2006/relationships/hyperlink" Target="https://zenodo.org/records/8379426" TargetMode="External"/><Relationship Id="rId69" Type="http://schemas.openxmlformats.org/officeDocument/2006/relationships/image" Target="media/image32.png"/><Relationship Id="rId77" Type="http://schemas.openxmlformats.org/officeDocument/2006/relationships/chart" Target="charts/chart8.xml"/><Relationship Id="rId8" Type="http://schemas.openxmlformats.org/officeDocument/2006/relationships/image" Target="media/image1.png"/><Relationship Id="rId51" Type="http://schemas.openxmlformats.org/officeDocument/2006/relationships/image" Target="media/image23.png"/><Relationship Id="rId72" Type="http://schemas.openxmlformats.org/officeDocument/2006/relationships/image" Target="media/image34.png"/><Relationship Id="rId80" Type="http://schemas.openxmlformats.org/officeDocument/2006/relationships/image" Target="media/image36.png"/><Relationship Id="rId85"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4.png"/><Relationship Id="rId33" Type="http://schemas.openxmlformats.org/officeDocument/2006/relationships/image" Target="media/image16.png"/><Relationship Id="rId38" Type="http://schemas.openxmlformats.org/officeDocument/2006/relationships/image" Target="media/image17.png"/><Relationship Id="rId46" Type="http://schemas.openxmlformats.org/officeDocument/2006/relationships/image" Target="media/image18.png"/><Relationship Id="rId59" Type="http://schemas.openxmlformats.org/officeDocument/2006/relationships/hyperlink" Target="https://www.eter-project.com/category/results/use-cases/" TargetMode="External"/><Relationship Id="rId67" Type="http://schemas.openxmlformats.org/officeDocument/2006/relationships/image" Target="media/image30.emf"/><Relationship Id="rId20" Type="http://schemas.openxmlformats.org/officeDocument/2006/relationships/image" Target="media/image10.emf"/><Relationship Id="rId41" Type="http://schemas.openxmlformats.org/officeDocument/2006/relationships/hyperlink" Target="https://papers.ssrn.com/sol3/papers.cfm?abstract_id=4561144" TargetMode="External"/><Relationship Id="rId54" Type="http://schemas.openxmlformats.org/officeDocument/2006/relationships/hyperlink" Target="https://zenodo.org/records/10353414" TargetMode="External"/><Relationship Id="rId62" Type="http://schemas.openxmlformats.org/officeDocument/2006/relationships/image" Target="media/image29.png"/><Relationship Id="rId70" Type="http://schemas.openxmlformats.org/officeDocument/2006/relationships/image" Target="media/image33.emf"/><Relationship Id="rId75" Type="http://schemas.openxmlformats.org/officeDocument/2006/relationships/hyperlink" Target="https://rcf.risis2.eu/" TargetMode="External"/><Relationship Id="rId83" Type="http://schemas.openxmlformats.org/officeDocument/2006/relationships/image" Target="media/image39.png"/><Relationship Id="rId88" Type="http://schemas.openxmlformats.org/officeDocument/2006/relationships/footer" Target="footer2.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zenodo.org/record/3724562" TargetMode="External"/><Relationship Id="rId23" Type="http://schemas.openxmlformats.org/officeDocument/2006/relationships/image" Target="media/image12.emf"/><Relationship Id="rId28" Type="http://schemas.openxmlformats.org/officeDocument/2006/relationships/hyperlink" Target="https://rcf.risis2.eu/datasets" TargetMode="External"/><Relationship Id="rId36" Type="http://schemas.openxmlformats.org/officeDocument/2006/relationships/hyperlink" Target="https://www.nature.com/articles/s41597-022-01818-0" TargetMode="External"/><Relationship Id="rId49" Type="http://schemas.openxmlformats.org/officeDocument/2006/relationships/image" Target="media/image21.emf"/><Relationship Id="rId57" Type="http://schemas.openxmlformats.org/officeDocument/2006/relationships/image" Target="media/image26.png"/><Relationship Id="rId10" Type="http://schemas.openxmlformats.org/officeDocument/2006/relationships/image" Target="media/image3.emf"/><Relationship Id="rId31" Type="http://schemas.openxmlformats.org/officeDocument/2006/relationships/chart" Target="charts/chart5.xml"/><Relationship Id="rId44" Type="http://schemas.openxmlformats.org/officeDocument/2006/relationships/hyperlink" Target="https://link.springer.com/chapter/10.1007/978-3-030-23281-8_13" TargetMode="External"/><Relationship Id="rId52" Type="http://schemas.openxmlformats.org/officeDocument/2006/relationships/image" Target="media/image24.png"/><Relationship Id="rId60" Type="http://schemas.openxmlformats.org/officeDocument/2006/relationships/image" Target="media/image27.emf"/><Relationship Id="rId65" Type="http://schemas.openxmlformats.org/officeDocument/2006/relationships/hyperlink" Target="https://zenodo.org/records/10075185" TargetMode="External"/><Relationship Id="rId73" Type="http://schemas.openxmlformats.org/officeDocument/2006/relationships/image" Target="media/image35.png"/><Relationship Id="rId78" Type="http://schemas.openxmlformats.org/officeDocument/2006/relationships/hyperlink" Target="https://stip.oecd.org/stip.html" TargetMode="External"/><Relationship Id="rId81" Type="http://schemas.openxmlformats.org/officeDocument/2006/relationships/image" Target="media/image37.png"/><Relationship Id="rId86"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_rels/footer2.xml.rels><?xml version="1.0" encoding="UTF-8" standalone="yes"?>
<Relationships xmlns="http://schemas.openxmlformats.org/package/2006/relationships"><Relationship Id="rId8" Type="http://schemas.openxmlformats.org/officeDocument/2006/relationships/image" Target="media/image49.jpg"/><Relationship Id="rId13" Type="http://schemas.openxmlformats.org/officeDocument/2006/relationships/image" Target="media/image90.png"/><Relationship Id="rId3" Type="http://schemas.openxmlformats.org/officeDocument/2006/relationships/image" Target="media/image44.jpg"/><Relationship Id="rId7" Type="http://schemas.openxmlformats.org/officeDocument/2006/relationships/image" Target="media/image48.png"/><Relationship Id="rId12" Type="http://schemas.openxmlformats.org/officeDocument/2006/relationships/image" Target="media/image80.png"/><Relationship Id="rId2" Type="http://schemas.openxmlformats.org/officeDocument/2006/relationships/image" Target="media/image43.png"/><Relationship Id="rId1" Type="http://schemas.openxmlformats.org/officeDocument/2006/relationships/image" Target="media/image42.png"/><Relationship Id="rId6" Type="http://schemas.openxmlformats.org/officeDocument/2006/relationships/image" Target="media/image47.png"/><Relationship Id="rId11" Type="http://schemas.openxmlformats.org/officeDocument/2006/relationships/image" Target="media/image70.png"/><Relationship Id="rId5" Type="http://schemas.openxmlformats.org/officeDocument/2006/relationships/image" Target="media/image46.png"/><Relationship Id="rId15" Type="http://schemas.openxmlformats.org/officeDocument/2006/relationships/image" Target="media/image110.jpg"/><Relationship Id="rId10" Type="http://schemas.openxmlformats.org/officeDocument/2006/relationships/image" Target="media/image60.jpg"/><Relationship Id="rId4" Type="http://schemas.openxmlformats.org/officeDocument/2006/relationships/image" Target="media/image45.png"/><Relationship Id="rId9" Type="http://schemas.openxmlformats.org/officeDocument/2006/relationships/image" Target="media/image50.png"/><Relationship Id="rId14" Type="http://schemas.openxmlformats.org/officeDocument/2006/relationships/image" Target="media/image100.png"/></Relationships>
</file>

<file path=word/_rels/header1.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40.jpg"/></Relationships>
</file>

<file path=word/_rels/header2.xml.rels><?xml version="1.0" encoding="UTF-8" standalone="yes"?>
<Relationships xmlns="http://schemas.openxmlformats.org/package/2006/relationships"><Relationship Id="rId1" Type="http://schemas.openxmlformats.org/officeDocument/2006/relationships/image" Target="media/image41.jpeg"/></Relationships>
</file>

<file path=word/charts/_rels/chart1.xml.rels><?xml version="1.0" encoding="UTF-8" standalone="yes"?>
<Relationships xmlns="http://schemas.openxmlformats.org/package/2006/relationships"><Relationship Id="rId3" Type="http://schemas.openxmlformats.org/officeDocument/2006/relationships/oleObject" Target="Classeur27"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Classeur27"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filer2\vol2\team\I\Projekte\RISIS2_368083\4_Meetings_Kommunikation\RISIS_Conference_2023\structural_analyses22a.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filer2\vol2\team\I\Projekte\RISIS2_368083\4_Meetings_Kommunikation\RISIS_Conference_2023\USPTO_Analysen_RISIS.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filer2\vol2\team\I\Projekte\RISIS2_368083\3_Arbeitspakete\trademarks_classification\Patente\pat_tm_wipo35.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bach5\vol2\team\I\Projekte\EUIPO_Academic_2022\3_Arbeitspakete\deskriptive_analysen\sme_analyses22a.xlsx" TargetMode="Externa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8.xml"/><Relationship Id="rId1" Type="http://schemas.microsoft.com/office/2011/relationships/chartStyle" Target="style8.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9.xml"/><Relationship Id="rId1" Type="http://schemas.microsoft.com/office/2011/relationships/chartStyle" Target="style9.xml"/></Relationships>
</file>

<file path=word/charts/_rels/chartEx1.xml.rels><?xml version="1.0" encoding="UTF-8" standalone="yes"?>
<Relationships xmlns="http://schemas.openxmlformats.org/package/2006/relationships"><Relationship Id="rId3" Type="http://schemas.microsoft.com/office/2011/relationships/chartColorStyle" Target="colors7.xml"/><Relationship Id="rId2" Type="http://schemas.microsoft.com/office/2011/relationships/chartStyle" Target="style7.xml"/><Relationship Id="rId1" Type="http://schemas.openxmlformats.org/officeDocument/2006/relationships/oleObject" Target="Classeur28"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r>
              <a:rPr lang="fr-FR" sz="1100" b="1"/>
              <a:t>Number</a:t>
            </a:r>
            <a:r>
              <a:rPr lang="fr-FR" sz="1100" b="1" baseline="0"/>
              <a:t> of priority patents across the IP5 patent offices</a:t>
            </a:r>
            <a:endParaRPr lang="fr-FR" sz="1100" b="1"/>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endParaRPr lang="de-DE"/>
        </a:p>
      </c:txPr>
    </c:title>
    <c:autoTitleDeleted val="0"/>
    <c:plotArea>
      <c:layout/>
      <c:scatterChart>
        <c:scatterStyle val="lineMarker"/>
        <c:varyColors val="0"/>
        <c:ser>
          <c:idx val="0"/>
          <c:order val="0"/>
          <c:tx>
            <c:strRef>
              <c:f>Feuil2!$B$31</c:f>
              <c:strCache>
                <c:ptCount val="1"/>
                <c:pt idx="0">
                  <c:v>CN</c:v>
                </c:pt>
              </c:strCache>
            </c:strRef>
          </c:tx>
          <c:spPr>
            <a:ln w="25400" cap="rnd">
              <a:noFill/>
              <a:round/>
            </a:ln>
            <a:effectLst/>
          </c:spPr>
          <c:marker>
            <c:symbol val="circle"/>
            <c:size val="5"/>
            <c:spPr>
              <a:solidFill>
                <a:schemeClr val="accent1"/>
              </a:solidFill>
              <a:ln w="9525">
                <a:solidFill>
                  <a:schemeClr val="accent1"/>
                </a:solidFill>
              </a:ln>
              <a:effectLst/>
            </c:spPr>
          </c:marker>
          <c:xVal>
            <c:numRef>
              <c:f>Feuil2!$A$32:$A$51</c:f>
              <c:numCache>
                <c:formatCode>General</c:formatCode>
                <c:ptCount val="20"/>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numCache>
            </c:numRef>
          </c:xVal>
          <c:yVal>
            <c:numRef>
              <c:f>Feuil2!$B$32:$B$51</c:f>
              <c:numCache>
                <c:formatCode>General</c:formatCode>
                <c:ptCount val="20"/>
                <c:pt idx="0">
                  <c:v>14806</c:v>
                </c:pt>
                <c:pt idx="1">
                  <c:v>18263</c:v>
                </c:pt>
                <c:pt idx="2">
                  <c:v>26841</c:v>
                </c:pt>
                <c:pt idx="3">
                  <c:v>38892</c:v>
                </c:pt>
                <c:pt idx="4">
                  <c:v>47793</c:v>
                </c:pt>
                <c:pt idx="5">
                  <c:v>67079</c:v>
                </c:pt>
                <c:pt idx="6">
                  <c:v>84805</c:v>
                </c:pt>
                <c:pt idx="7">
                  <c:v>103880</c:v>
                </c:pt>
                <c:pt idx="8">
                  <c:v>132954</c:v>
                </c:pt>
                <c:pt idx="9">
                  <c:v>166023</c:v>
                </c:pt>
                <c:pt idx="10">
                  <c:v>207181</c:v>
                </c:pt>
                <c:pt idx="11">
                  <c:v>275804</c:v>
                </c:pt>
                <c:pt idx="12">
                  <c:v>387994</c:v>
                </c:pt>
                <c:pt idx="13">
                  <c:v>505179</c:v>
                </c:pt>
                <c:pt idx="14">
                  <c:v>575121</c:v>
                </c:pt>
                <c:pt idx="15">
                  <c:v>697111</c:v>
                </c:pt>
                <c:pt idx="16">
                  <c:v>880895</c:v>
                </c:pt>
                <c:pt idx="17">
                  <c:v>1070429</c:v>
                </c:pt>
                <c:pt idx="18">
                  <c:v>1209863</c:v>
                </c:pt>
                <c:pt idx="19">
                  <c:v>1031121</c:v>
                </c:pt>
              </c:numCache>
            </c:numRef>
          </c:yVal>
          <c:smooth val="0"/>
          <c:extLst>
            <c:ext xmlns:c16="http://schemas.microsoft.com/office/drawing/2014/chart" uri="{C3380CC4-5D6E-409C-BE32-E72D297353CC}">
              <c16:uniqueId val="{00000000-E6C9-4DE7-94E5-4AE07F62CFD5}"/>
            </c:ext>
          </c:extLst>
        </c:ser>
        <c:ser>
          <c:idx val="1"/>
          <c:order val="1"/>
          <c:tx>
            <c:strRef>
              <c:f>Feuil2!$C$31</c:f>
              <c:strCache>
                <c:ptCount val="1"/>
                <c:pt idx="0">
                  <c:v>EP</c:v>
                </c:pt>
              </c:strCache>
            </c:strRef>
          </c:tx>
          <c:spPr>
            <a:ln w="25400" cap="rnd">
              <a:noFill/>
              <a:round/>
            </a:ln>
            <a:effectLst/>
          </c:spPr>
          <c:marker>
            <c:symbol val="circle"/>
            <c:size val="5"/>
            <c:spPr>
              <a:solidFill>
                <a:schemeClr val="accent2"/>
              </a:solidFill>
              <a:ln w="9525">
                <a:solidFill>
                  <a:schemeClr val="accent2"/>
                </a:solidFill>
              </a:ln>
              <a:effectLst/>
            </c:spPr>
          </c:marker>
          <c:xVal>
            <c:numRef>
              <c:f>Feuil2!$A$32:$A$51</c:f>
              <c:numCache>
                <c:formatCode>General</c:formatCode>
                <c:ptCount val="20"/>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numCache>
            </c:numRef>
          </c:xVal>
          <c:yVal>
            <c:numRef>
              <c:f>Feuil2!$C$32:$C$51</c:f>
              <c:numCache>
                <c:formatCode>General</c:formatCode>
                <c:ptCount val="20"/>
                <c:pt idx="0">
                  <c:v>8552</c:v>
                </c:pt>
                <c:pt idx="1">
                  <c:v>9448</c:v>
                </c:pt>
                <c:pt idx="2">
                  <c:v>10459</c:v>
                </c:pt>
                <c:pt idx="3">
                  <c:v>11687</c:v>
                </c:pt>
                <c:pt idx="4">
                  <c:v>13292</c:v>
                </c:pt>
                <c:pt idx="5">
                  <c:v>14526</c:v>
                </c:pt>
                <c:pt idx="6">
                  <c:v>15986</c:v>
                </c:pt>
                <c:pt idx="7">
                  <c:v>17046</c:v>
                </c:pt>
                <c:pt idx="8">
                  <c:v>17658</c:v>
                </c:pt>
                <c:pt idx="9">
                  <c:v>16558</c:v>
                </c:pt>
                <c:pt idx="10">
                  <c:v>17013</c:v>
                </c:pt>
                <c:pt idx="11">
                  <c:v>18588</c:v>
                </c:pt>
                <c:pt idx="12">
                  <c:v>18101</c:v>
                </c:pt>
                <c:pt idx="13">
                  <c:v>19513</c:v>
                </c:pt>
                <c:pt idx="14">
                  <c:v>20034</c:v>
                </c:pt>
                <c:pt idx="15">
                  <c:v>20212</c:v>
                </c:pt>
                <c:pt idx="16">
                  <c:v>20675</c:v>
                </c:pt>
                <c:pt idx="17">
                  <c:v>22197</c:v>
                </c:pt>
                <c:pt idx="18">
                  <c:v>22944</c:v>
                </c:pt>
                <c:pt idx="19">
                  <c:v>13322</c:v>
                </c:pt>
              </c:numCache>
            </c:numRef>
          </c:yVal>
          <c:smooth val="0"/>
          <c:extLst>
            <c:ext xmlns:c16="http://schemas.microsoft.com/office/drawing/2014/chart" uri="{C3380CC4-5D6E-409C-BE32-E72D297353CC}">
              <c16:uniqueId val="{00000001-E6C9-4DE7-94E5-4AE07F62CFD5}"/>
            </c:ext>
          </c:extLst>
        </c:ser>
        <c:ser>
          <c:idx val="2"/>
          <c:order val="2"/>
          <c:tx>
            <c:strRef>
              <c:f>Feuil2!$D$31</c:f>
              <c:strCache>
                <c:ptCount val="1"/>
                <c:pt idx="0">
                  <c:v>JP</c:v>
                </c:pt>
              </c:strCache>
            </c:strRef>
          </c:tx>
          <c:spPr>
            <a:ln w="25400" cap="rnd">
              <a:noFill/>
              <a:round/>
            </a:ln>
            <a:effectLst/>
          </c:spPr>
          <c:marker>
            <c:symbol val="circle"/>
            <c:size val="5"/>
            <c:spPr>
              <a:solidFill>
                <a:schemeClr val="accent3"/>
              </a:solidFill>
              <a:ln w="9525">
                <a:solidFill>
                  <a:schemeClr val="accent3"/>
                </a:solidFill>
              </a:ln>
              <a:effectLst/>
            </c:spPr>
          </c:marker>
          <c:xVal>
            <c:numRef>
              <c:f>Feuil2!$A$32:$A$51</c:f>
              <c:numCache>
                <c:formatCode>General</c:formatCode>
                <c:ptCount val="20"/>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numCache>
            </c:numRef>
          </c:xVal>
          <c:yVal>
            <c:numRef>
              <c:f>Feuil2!$D$32:$D$51</c:f>
              <c:numCache>
                <c:formatCode>General</c:formatCode>
                <c:ptCount val="20"/>
                <c:pt idx="0">
                  <c:v>342528</c:v>
                </c:pt>
                <c:pt idx="1">
                  <c:v>342570</c:v>
                </c:pt>
                <c:pt idx="2">
                  <c:v>327424</c:v>
                </c:pt>
                <c:pt idx="3">
                  <c:v>319963</c:v>
                </c:pt>
                <c:pt idx="4">
                  <c:v>324734</c:v>
                </c:pt>
                <c:pt idx="5">
                  <c:v>322760</c:v>
                </c:pt>
                <c:pt idx="6">
                  <c:v>302430</c:v>
                </c:pt>
                <c:pt idx="7">
                  <c:v>290012</c:v>
                </c:pt>
                <c:pt idx="8">
                  <c:v>286605</c:v>
                </c:pt>
                <c:pt idx="9">
                  <c:v>253677</c:v>
                </c:pt>
                <c:pt idx="10">
                  <c:v>248368</c:v>
                </c:pt>
                <c:pt idx="11">
                  <c:v>243412</c:v>
                </c:pt>
                <c:pt idx="12">
                  <c:v>239837</c:v>
                </c:pt>
                <c:pt idx="13">
                  <c:v>226737</c:v>
                </c:pt>
                <c:pt idx="14">
                  <c:v>220397</c:v>
                </c:pt>
                <c:pt idx="15">
                  <c:v>212383</c:v>
                </c:pt>
                <c:pt idx="16">
                  <c:v>213868</c:v>
                </c:pt>
                <c:pt idx="17">
                  <c:v>212782</c:v>
                </c:pt>
                <c:pt idx="18">
                  <c:v>206693</c:v>
                </c:pt>
                <c:pt idx="19">
                  <c:v>72008</c:v>
                </c:pt>
              </c:numCache>
            </c:numRef>
          </c:yVal>
          <c:smooth val="0"/>
          <c:extLst>
            <c:ext xmlns:c16="http://schemas.microsoft.com/office/drawing/2014/chart" uri="{C3380CC4-5D6E-409C-BE32-E72D297353CC}">
              <c16:uniqueId val="{00000002-E6C9-4DE7-94E5-4AE07F62CFD5}"/>
            </c:ext>
          </c:extLst>
        </c:ser>
        <c:ser>
          <c:idx val="3"/>
          <c:order val="3"/>
          <c:tx>
            <c:strRef>
              <c:f>Feuil2!$E$31</c:f>
              <c:strCache>
                <c:ptCount val="1"/>
                <c:pt idx="0">
                  <c:v>KR</c:v>
                </c:pt>
              </c:strCache>
            </c:strRef>
          </c:tx>
          <c:spPr>
            <a:ln w="25400" cap="rnd">
              <a:noFill/>
              <a:round/>
            </a:ln>
            <a:effectLst/>
          </c:spPr>
          <c:marker>
            <c:symbol val="circle"/>
            <c:size val="5"/>
            <c:spPr>
              <a:solidFill>
                <a:schemeClr val="accent4"/>
              </a:solidFill>
              <a:ln w="9525">
                <a:solidFill>
                  <a:schemeClr val="accent4"/>
                </a:solidFill>
              </a:ln>
              <a:effectLst/>
            </c:spPr>
          </c:marker>
          <c:xVal>
            <c:numRef>
              <c:f>Feuil2!$A$32:$A$51</c:f>
              <c:numCache>
                <c:formatCode>General</c:formatCode>
                <c:ptCount val="20"/>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numCache>
            </c:numRef>
          </c:xVal>
          <c:yVal>
            <c:numRef>
              <c:f>Feuil2!$E$32:$E$51</c:f>
              <c:numCache>
                <c:formatCode>General</c:formatCode>
                <c:ptCount val="20"/>
                <c:pt idx="0">
                  <c:v>49331</c:v>
                </c:pt>
                <c:pt idx="1">
                  <c:v>53037</c:v>
                </c:pt>
                <c:pt idx="2">
                  <c:v>56431</c:v>
                </c:pt>
                <c:pt idx="3">
                  <c:v>68344</c:v>
                </c:pt>
                <c:pt idx="4">
                  <c:v>81181</c:v>
                </c:pt>
                <c:pt idx="5">
                  <c:v>84996</c:v>
                </c:pt>
                <c:pt idx="6">
                  <c:v>89356</c:v>
                </c:pt>
                <c:pt idx="7">
                  <c:v>88290</c:v>
                </c:pt>
                <c:pt idx="8">
                  <c:v>87872</c:v>
                </c:pt>
                <c:pt idx="9">
                  <c:v>83114</c:v>
                </c:pt>
                <c:pt idx="10">
                  <c:v>90407</c:v>
                </c:pt>
                <c:pt idx="11">
                  <c:v>86867</c:v>
                </c:pt>
                <c:pt idx="12">
                  <c:v>98935</c:v>
                </c:pt>
                <c:pt idx="13">
                  <c:v>93457</c:v>
                </c:pt>
                <c:pt idx="14">
                  <c:v>105502</c:v>
                </c:pt>
                <c:pt idx="15">
                  <c:v>104762</c:v>
                </c:pt>
                <c:pt idx="16">
                  <c:v>103169</c:v>
                </c:pt>
                <c:pt idx="17">
                  <c:v>99809</c:v>
                </c:pt>
                <c:pt idx="18">
                  <c:v>103347</c:v>
                </c:pt>
                <c:pt idx="19">
                  <c:v>57747</c:v>
                </c:pt>
              </c:numCache>
            </c:numRef>
          </c:yVal>
          <c:smooth val="0"/>
          <c:extLst>
            <c:ext xmlns:c16="http://schemas.microsoft.com/office/drawing/2014/chart" uri="{C3380CC4-5D6E-409C-BE32-E72D297353CC}">
              <c16:uniqueId val="{00000003-E6C9-4DE7-94E5-4AE07F62CFD5}"/>
            </c:ext>
          </c:extLst>
        </c:ser>
        <c:ser>
          <c:idx val="4"/>
          <c:order val="4"/>
          <c:tx>
            <c:strRef>
              <c:f>Feuil2!$F$31</c:f>
              <c:strCache>
                <c:ptCount val="1"/>
                <c:pt idx="0">
                  <c:v>US</c:v>
                </c:pt>
              </c:strCache>
            </c:strRef>
          </c:tx>
          <c:spPr>
            <a:ln w="25400" cap="rnd">
              <a:noFill/>
              <a:round/>
            </a:ln>
            <a:effectLst/>
          </c:spPr>
          <c:marker>
            <c:symbol val="circle"/>
            <c:size val="5"/>
            <c:spPr>
              <a:solidFill>
                <a:schemeClr val="accent5"/>
              </a:solidFill>
              <a:ln w="9525">
                <a:solidFill>
                  <a:schemeClr val="accent5"/>
                </a:solidFill>
              </a:ln>
              <a:effectLst/>
            </c:spPr>
          </c:marker>
          <c:xVal>
            <c:numRef>
              <c:f>Feuil2!$A$32:$A$51</c:f>
              <c:numCache>
                <c:formatCode>General</c:formatCode>
                <c:ptCount val="20"/>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numCache>
            </c:numRef>
          </c:xVal>
          <c:yVal>
            <c:numRef>
              <c:f>Feuil2!$F$32:$F$51</c:f>
              <c:numCache>
                <c:formatCode>General</c:formatCode>
                <c:ptCount val="20"/>
                <c:pt idx="0">
                  <c:v>128247</c:v>
                </c:pt>
                <c:pt idx="1">
                  <c:v>128618</c:v>
                </c:pt>
                <c:pt idx="2">
                  <c:v>126873</c:v>
                </c:pt>
                <c:pt idx="3">
                  <c:v>120678</c:v>
                </c:pt>
                <c:pt idx="4">
                  <c:v>104246</c:v>
                </c:pt>
                <c:pt idx="5">
                  <c:v>106214</c:v>
                </c:pt>
                <c:pt idx="6">
                  <c:v>110817</c:v>
                </c:pt>
                <c:pt idx="7">
                  <c:v>118079</c:v>
                </c:pt>
                <c:pt idx="8">
                  <c:v>118487</c:v>
                </c:pt>
                <c:pt idx="9">
                  <c:v>108912</c:v>
                </c:pt>
                <c:pt idx="10">
                  <c:v>116306</c:v>
                </c:pt>
                <c:pt idx="11">
                  <c:v>127330</c:v>
                </c:pt>
                <c:pt idx="12">
                  <c:v>146824</c:v>
                </c:pt>
                <c:pt idx="13">
                  <c:v>161152</c:v>
                </c:pt>
                <c:pt idx="14">
                  <c:v>152420</c:v>
                </c:pt>
                <c:pt idx="15">
                  <c:v>152630</c:v>
                </c:pt>
                <c:pt idx="16">
                  <c:v>152362</c:v>
                </c:pt>
                <c:pt idx="17">
                  <c:v>150889</c:v>
                </c:pt>
                <c:pt idx="18">
                  <c:v>131847</c:v>
                </c:pt>
                <c:pt idx="19">
                  <c:v>68863</c:v>
                </c:pt>
              </c:numCache>
            </c:numRef>
          </c:yVal>
          <c:smooth val="0"/>
          <c:extLst>
            <c:ext xmlns:c16="http://schemas.microsoft.com/office/drawing/2014/chart" uri="{C3380CC4-5D6E-409C-BE32-E72D297353CC}">
              <c16:uniqueId val="{00000004-E6C9-4DE7-94E5-4AE07F62CFD5}"/>
            </c:ext>
          </c:extLst>
        </c:ser>
        <c:ser>
          <c:idx val="5"/>
          <c:order val="5"/>
          <c:tx>
            <c:strRef>
              <c:f>Feuil2!$G$31</c:f>
              <c:strCache>
                <c:ptCount val="1"/>
                <c:pt idx="0">
                  <c:v>Total </c:v>
                </c:pt>
              </c:strCache>
            </c:strRef>
          </c:tx>
          <c:spPr>
            <a:ln w="25400" cap="rnd">
              <a:noFill/>
              <a:round/>
            </a:ln>
            <a:effectLst/>
          </c:spPr>
          <c:marker>
            <c:symbol val="circle"/>
            <c:size val="5"/>
            <c:spPr>
              <a:solidFill>
                <a:schemeClr val="accent6"/>
              </a:solidFill>
              <a:ln w="9525">
                <a:solidFill>
                  <a:schemeClr val="accent6"/>
                </a:solidFill>
              </a:ln>
              <a:effectLst/>
            </c:spPr>
          </c:marker>
          <c:xVal>
            <c:numRef>
              <c:f>Feuil2!$A$32:$A$51</c:f>
              <c:numCache>
                <c:formatCode>General</c:formatCode>
                <c:ptCount val="20"/>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numCache>
            </c:numRef>
          </c:xVal>
          <c:yVal>
            <c:numRef>
              <c:f>Feuil2!$G$32:$G$51</c:f>
              <c:numCache>
                <c:formatCode>General</c:formatCode>
                <c:ptCount val="20"/>
                <c:pt idx="0">
                  <c:v>670245</c:v>
                </c:pt>
                <c:pt idx="1">
                  <c:v>678265</c:v>
                </c:pt>
                <c:pt idx="2">
                  <c:v>665576</c:v>
                </c:pt>
                <c:pt idx="3">
                  <c:v>680682</c:v>
                </c:pt>
                <c:pt idx="4">
                  <c:v>693834</c:v>
                </c:pt>
                <c:pt idx="5">
                  <c:v>730992</c:v>
                </c:pt>
                <c:pt idx="6">
                  <c:v>746253</c:v>
                </c:pt>
                <c:pt idx="7">
                  <c:v>765074</c:v>
                </c:pt>
                <c:pt idx="8">
                  <c:v>793153</c:v>
                </c:pt>
                <c:pt idx="9">
                  <c:v>775383</c:v>
                </c:pt>
                <c:pt idx="10">
                  <c:v>833730</c:v>
                </c:pt>
                <c:pt idx="11">
                  <c:v>906741</c:v>
                </c:pt>
                <c:pt idx="12">
                  <c:v>1042377</c:v>
                </c:pt>
                <c:pt idx="13">
                  <c:v>1160214</c:v>
                </c:pt>
                <c:pt idx="14">
                  <c:v>1223779</c:v>
                </c:pt>
                <c:pt idx="15">
                  <c:v>1339724</c:v>
                </c:pt>
                <c:pt idx="16">
                  <c:v>1526923</c:v>
                </c:pt>
                <c:pt idx="17">
                  <c:v>1716362</c:v>
                </c:pt>
                <c:pt idx="18">
                  <c:v>1833727</c:v>
                </c:pt>
                <c:pt idx="19">
                  <c:v>1341263</c:v>
                </c:pt>
              </c:numCache>
            </c:numRef>
          </c:yVal>
          <c:smooth val="0"/>
          <c:extLst>
            <c:ext xmlns:c16="http://schemas.microsoft.com/office/drawing/2014/chart" uri="{C3380CC4-5D6E-409C-BE32-E72D297353CC}">
              <c16:uniqueId val="{00000005-E6C9-4DE7-94E5-4AE07F62CFD5}"/>
            </c:ext>
          </c:extLst>
        </c:ser>
        <c:dLbls>
          <c:showLegendKey val="0"/>
          <c:showVal val="0"/>
          <c:showCatName val="0"/>
          <c:showSerName val="0"/>
          <c:showPercent val="0"/>
          <c:showBubbleSize val="0"/>
        </c:dLbls>
        <c:axId val="1103450255"/>
        <c:axId val="1103857343"/>
      </c:scatterChart>
      <c:valAx>
        <c:axId val="1103450255"/>
        <c:scaling>
          <c:orientation val="minMax"/>
          <c:max val="2020"/>
          <c:min val="2000"/>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1103857343"/>
        <c:crosses val="autoZero"/>
        <c:crossBetween val="midCat"/>
      </c:valAx>
      <c:valAx>
        <c:axId val="1103857343"/>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1103450255"/>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fr-FR" sz="1100" b="1" i="0" u="none" strike="noStrike" baseline="0">
                <a:effectLst/>
              </a:rPr>
              <a:t>Number of 2IP5 priority patents across the IP5 patent offices</a:t>
            </a:r>
            <a:r>
              <a:rPr lang="fr-FR" sz="1100" b="0" i="0" u="none" strike="noStrike" baseline="0"/>
              <a:t> </a:t>
            </a:r>
            <a:endParaRPr lang="fr-FR" sz="11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de-DE"/>
        </a:p>
      </c:txPr>
    </c:title>
    <c:autoTitleDeleted val="0"/>
    <c:plotArea>
      <c:layout/>
      <c:scatterChart>
        <c:scatterStyle val="lineMarker"/>
        <c:varyColors val="0"/>
        <c:ser>
          <c:idx val="0"/>
          <c:order val="0"/>
          <c:tx>
            <c:strRef>
              <c:f>Feuil4!$B$31</c:f>
              <c:strCache>
                <c:ptCount val="1"/>
                <c:pt idx="0">
                  <c:v>CN</c:v>
                </c:pt>
              </c:strCache>
            </c:strRef>
          </c:tx>
          <c:spPr>
            <a:ln w="19050" cap="rnd">
              <a:noFill/>
              <a:round/>
            </a:ln>
            <a:effectLst/>
          </c:spPr>
          <c:marker>
            <c:symbol val="circle"/>
            <c:size val="5"/>
            <c:spPr>
              <a:solidFill>
                <a:schemeClr val="accent1"/>
              </a:solidFill>
              <a:ln w="9525">
                <a:solidFill>
                  <a:schemeClr val="accent1"/>
                </a:solidFill>
              </a:ln>
              <a:effectLst/>
            </c:spPr>
          </c:marker>
          <c:xVal>
            <c:numRef>
              <c:f>Feuil4!$A$32:$A$51</c:f>
              <c:numCache>
                <c:formatCode>General</c:formatCode>
                <c:ptCount val="20"/>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numCache>
            </c:numRef>
          </c:xVal>
          <c:yVal>
            <c:numRef>
              <c:f>Feuil4!$B$32:$B$51</c:f>
              <c:numCache>
                <c:formatCode>General</c:formatCode>
                <c:ptCount val="20"/>
                <c:pt idx="0">
                  <c:v>291</c:v>
                </c:pt>
                <c:pt idx="1">
                  <c:v>400</c:v>
                </c:pt>
                <c:pt idx="2">
                  <c:v>545</c:v>
                </c:pt>
                <c:pt idx="3">
                  <c:v>811</c:v>
                </c:pt>
                <c:pt idx="4">
                  <c:v>1289</c:v>
                </c:pt>
                <c:pt idx="5">
                  <c:v>2900</c:v>
                </c:pt>
                <c:pt idx="6">
                  <c:v>3485</c:v>
                </c:pt>
                <c:pt idx="7">
                  <c:v>5061</c:v>
                </c:pt>
                <c:pt idx="8">
                  <c:v>6221</c:v>
                </c:pt>
                <c:pt idx="9">
                  <c:v>7651</c:v>
                </c:pt>
                <c:pt idx="10">
                  <c:v>8137</c:v>
                </c:pt>
                <c:pt idx="11">
                  <c:v>9573</c:v>
                </c:pt>
                <c:pt idx="12">
                  <c:v>12445</c:v>
                </c:pt>
                <c:pt idx="13">
                  <c:v>13217</c:v>
                </c:pt>
                <c:pt idx="14">
                  <c:v>14334</c:v>
                </c:pt>
                <c:pt idx="15">
                  <c:v>16942</c:v>
                </c:pt>
                <c:pt idx="16">
                  <c:v>18843</c:v>
                </c:pt>
                <c:pt idx="17">
                  <c:v>23639</c:v>
                </c:pt>
                <c:pt idx="18">
                  <c:v>16809</c:v>
                </c:pt>
                <c:pt idx="19">
                  <c:v>5737</c:v>
                </c:pt>
              </c:numCache>
            </c:numRef>
          </c:yVal>
          <c:smooth val="0"/>
          <c:extLst>
            <c:ext xmlns:c16="http://schemas.microsoft.com/office/drawing/2014/chart" uri="{C3380CC4-5D6E-409C-BE32-E72D297353CC}">
              <c16:uniqueId val="{00000000-590F-4523-9CDB-B9FE0DA6ABCD}"/>
            </c:ext>
          </c:extLst>
        </c:ser>
        <c:ser>
          <c:idx val="1"/>
          <c:order val="1"/>
          <c:tx>
            <c:strRef>
              <c:f>Feuil4!$C$31</c:f>
              <c:strCache>
                <c:ptCount val="1"/>
                <c:pt idx="0">
                  <c:v>EP</c:v>
                </c:pt>
              </c:strCache>
            </c:strRef>
          </c:tx>
          <c:spPr>
            <a:ln w="19050" cap="rnd">
              <a:noFill/>
              <a:round/>
            </a:ln>
            <a:effectLst/>
          </c:spPr>
          <c:marker>
            <c:symbol val="circle"/>
            <c:size val="5"/>
            <c:spPr>
              <a:solidFill>
                <a:schemeClr val="accent2"/>
              </a:solidFill>
              <a:ln w="9525">
                <a:solidFill>
                  <a:schemeClr val="accent2"/>
                </a:solidFill>
              </a:ln>
              <a:effectLst/>
            </c:spPr>
          </c:marker>
          <c:xVal>
            <c:numRef>
              <c:f>Feuil4!$A$32:$A$51</c:f>
              <c:numCache>
                <c:formatCode>General</c:formatCode>
                <c:ptCount val="20"/>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numCache>
            </c:numRef>
          </c:xVal>
          <c:yVal>
            <c:numRef>
              <c:f>Feuil4!$C$32:$C$51</c:f>
              <c:numCache>
                <c:formatCode>General</c:formatCode>
                <c:ptCount val="20"/>
                <c:pt idx="0">
                  <c:v>5723</c:v>
                </c:pt>
                <c:pt idx="1">
                  <c:v>6304</c:v>
                </c:pt>
                <c:pt idx="2">
                  <c:v>6897</c:v>
                </c:pt>
                <c:pt idx="3">
                  <c:v>7494</c:v>
                </c:pt>
                <c:pt idx="4">
                  <c:v>8197</c:v>
                </c:pt>
                <c:pt idx="5">
                  <c:v>9108</c:v>
                </c:pt>
                <c:pt idx="6">
                  <c:v>9845</c:v>
                </c:pt>
                <c:pt idx="7">
                  <c:v>10104</c:v>
                </c:pt>
                <c:pt idx="8">
                  <c:v>10394</c:v>
                </c:pt>
                <c:pt idx="9">
                  <c:v>10305</c:v>
                </c:pt>
                <c:pt idx="10">
                  <c:v>10878</c:v>
                </c:pt>
                <c:pt idx="11">
                  <c:v>11612</c:v>
                </c:pt>
                <c:pt idx="12">
                  <c:v>11546</c:v>
                </c:pt>
                <c:pt idx="13">
                  <c:v>12797</c:v>
                </c:pt>
                <c:pt idx="14">
                  <c:v>13513</c:v>
                </c:pt>
                <c:pt idx="15">
                  <c:v>14191</c:v>
                </c:pt>
                <c:pt idx="16">
                  <c:v>14521</c:v>
                </c:pt>
                <c:pt idx="17">
                  <c:v>14748</c:v>
                </c:pt>
                <c:pt idx="18">
                  <c:v>8502</c:v>
                </c:pt>
                <c:pt idx="19">
                  <c:v>2747</c:v>
                </c:pt>
              </c:numCache>
            </c:numRef>
          </c:yVal>
          <c:smooth val="0"/>
          <c:extLst>
            <c:ext xmlns:c16="http://schemas.microsoft.com/office/drawing/2014/chart" uri="{C3380CC4-5D6E-409C-BE32-E72D297353CC}">
              <c16:uniqueId val="{00000001-590F-4523-9CDB-B9FE0DA6ABCD}"/>
            </c:ext>
          </c:extLst>
        </c:ser>
        <c:ser>
          <c:idx val="2"/>
          <c:order val="2"/>
          <c:tx>
            <c:strRef>
              <c:f>Feuil4!$D$31</c:f>
              <c:strCache>
                <c:ptCount val="1"/>
                <c:pt idx="0">
                  <c:v>JP</c:v>
                </c:pt>
              </c:strCache>
            </c:strRef>
          </c:tx>
          <c:spPr>
            <a:ln w="19050" cap="rnd">
              <a:noFill/>
              <a:round/>
            </a:ln>
            <a:effectLst/>
          </c:spPr>
          <c:marker>
            <c:symbol val="circle"/>
            <c:size val="5"/>
            <c:spPr>
              <a:solidFill>
                <a:schemeClr val="accent3"/>
              </a:solidFill>
              <a:ln w="9525">
                <a:solidFill>
                  <a:schemeClr val="accent3"/>
                </a:solidFill>
              </a:ln>
              <a:effectLst/>
            </c:spPr>
          </c:marker>
          <c:xVal>
            <c:numRef>
              <c:f>Feuil4!$A$32:$A$51</c:f>
              <c:numCache>
                <c:formatCode>General</c:formatCode>
                <c:ptCount val="20"/>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numCache>
            </c:numRef>
          </c:xVal>
          <c:yVal>
            <c:numRef>
              <c:f>Feuil4!$D$32:$D$51</c:f>
              <c:numCache>
                <c:formatCode>General</c:formatCode>
                <c:ptCount val="20"/>
                <c:pt idx="0">
                  <c:v>55851</c:v>
                </c:pt>
                <c:pt idx="1">
                  <c:v>54617</c:v>
                </c:pt>
                <c:pt idx="2">
                  <c:v>56222</c:v>
                </c:pt>
                <c:pt idx="3">
                  <c:v>59457</c:v>
                </c:pt>
                <c:pt idx="4">
                  <c:v>63877</c:v>
                </c:pt>
                <c:pt idx="5">
                  <c:v>63493</c:v>
                </c:pt>
                <c:pt idx="6">
                  <c:v>62932</c:v>
                </c:pt>
                <c:pt idx="7">
                  <c:v>61850</c:v>
                </c:pt>
                <c:pt idx="8">
                  <c:v>58879</c:v>
                </c:pt>
                <c:pt idx="9">
                  <c:v>55963</c:v>
                </c:pt>
                <c:pt idx="10">
                  <c:v>62811</c:v>
                </c:pt>
                <c:pt idx="11">
                  <c:v>64273</c:v>
                </c:pt>
                <c:pt idx="12">
                  <c:v>62816</c:v>
                </c:pt>
                <c:pt idx="13">
                  <c:v>61444</c:v>
                </c:pt>
                <c:pt idx="14">
                  <c:v>61133</c:v>
                </c:pt>
                <c:pt idx="15">
                  <c:v>59479</c:v>
                </c:pt>
                <c:pt idx="16">
                  <c:v>62068</c:v>
                </c:pt>
                <c:pt idx="17">
                  <c:v>64135</c:v>
                </c:pt>
                <c:pt idx="18">
                  <c:v>43773</c:v>
                </c:pt>
                <c:pt idx="19">
                  <c:v>9686</c:v>
                </c:pt>
              </c:numCache>
            </c:numRef>
          </c:yVal>
          <c:smooth val="0"/>
          <c:extLst>
            <c:ext xmlns:c16="http://schemas.microsoft.com/office/drawing/2014/chart" uri="{C3380CC4-5D6E-409C-BE32-E72D297353CC}">
              <c16:uniqueId val="{00000002-590F-4523-9CDB-B9FE0DA6ABCD}"/>
            </c:ext>
          </c:extLst>
        </c:ser>
        <c:ser>
          <c:idx val="3"/>
          <c:order val="3"/>
          <c:tx>
            <c:strRef>
              <c:f>Feuil4!$E$31</c:f>
              <c:strCache>
                <c:ptCount val="1"/>
                <c:pt idx="0">
                  <c:v>KR</c:v>
                </c:pt>
              </c:strCache>
            </c:strRef>
          </c:tx>
          <c:spPr>
            <a:ln w="19050" cap="rnd">
              <a:noFill/>
              <a:round/>
            </a:ln>
            <a:effectLst/>
          </c:spPr>
          <c:marker>
            <c:symbol val="circle"/>
            <c:size val="5"/>
            <c:spPr>
              <a:solidFill>
                <a:schemeClr val="accent4"/>
              </a:solidFill>
              <a:ln w="9525">
                <a:solidFill>
                  <a:schemeClr val="accent4"/>
                </a:solidFill>
              </a:ln>
              <a:effectLst/>
            </c:spPr>
          </c:marker>
          <c:xVal>
            <c:numRef>
              <c:f>Feuil4!$A$32:$A$51</c:f>
              <c:numCache>
                <c:formatCode>General</c:formatCode>
                <c:ptCount val="20"/>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numCache>
            </c:numRef>
          </c:xVal>
          <c:yVal>
            <c:numRef>
              <c:f>Feuil4!$E$32:$E$51</c:f>
              <c:numCache>
                <c:formatCode>General</c:formatCode>
                <c:ptCount val="20"/>
                <c:pt idx="0">
                  <c:v>5261</c:v>
                </c:pt>
                <c:pt idx="1">
                  <c:v>6592</c:v>
                </c:pt>
                <c:pt idx="2">
                  <c:v>8612</c:v>
                </c:pt>
                <c:pt idx="3">
                  <c:v>12338</c:v>
                </c:pt>
                <c:pt idx="4">
                  <c:v>15455</c:v>
                </c:pt>
                <c:pt idx="5">
                  <c:v>16701</c:v>
                </c:pt>
                <c:pt idx="6">
                  <c:v>16691</c:v>
                </c:pt>
                <c:pt idx="7">
                  <c:v>16511</c:v>
                </c:pt>
                <c:pt idx="8">
                  <c:v>14603</c:v>
                </c:pt>
                <c:pt idx="9">
                  <c:v>14623</c:v>
                </c:pt>
                <c:pt idx="10">
                  <c:v>17111</c:v>
                </c:pt>
                <c:pt idx="11">
                  <c:v>15949</c:v>
                </c:pt>
                <c:pt idx="12">
                  <c:v>19675</c:v>
                </c:pt>
                <c:pt idx="13">
                  <c:v>19863</c:v>
                </c:pt>
                <c:pt idx="14">
                  <c:v>23240</c:v>
                </c:pt>
                <c:pt idx="15">
                  <c:v>22653</c:v>
                </c:pt>
                <c:pt idx="16">
                  <c:v>21361</c:v>
                </c:pt>
                <c:pt idx="17">
                  <c:v>19893</c:v>
                </c:pt>
                <c:pt idx="18">
                  <c:v>17253</c:v>
                </c:pt>
                <c:pt idx="19">
                  <c:v>7252</c:v>
                </c:pt>
              </c:numCache>
            </c:numRef>
          </c:yVal>
          <c:smooth val="0"/>
          <c:extLst>
            <c:ext xmlns:c16="http://schemas.microsoft.com/office/drawing/2014/chart" uri="{C3380CC4-5D6E-409C-BE32-E72D297353CC}">
              <c16:uniqueId val="{00000003-590F-4523-9CDB-B9FE0DA6ABCD}"/>
            </c:ext>
          </c:extLst>
        </c:ser>
        <c:ser>
          <c:idx val="4"/>
          <c:order val="4"/>
          <c:tx>
            <c:strRef>
              <c:f>Feuil4!$F$31</c:f>
              <c:strCache>
                <c:ptCount val="1"/>
                <c:pt idx="0">
                  <c:v>US</c:v>
                </c:pt>
              </c:strCache>
            </c:strRef>
          </c:tx>
          <c:spPr>
            <a:ln w="19050" cap="rnd">
              <a:noFill/>
              <a:round/>
            </a:ln>
            <a:effectLst/>
          </c:spPr>
          <c:marker>
            <c:symbol val="circle"/>
            <c:size val="5"/>
            <c:spPr>
              <a:solidFill>
                <a:schemeClr val="accent5"/>
              </a:solidFill>
              <a:ln w="9525">
                <a:solidFill>
                  <a:schemeClr val="accent5"/>
                </a:solidFill>
              </a:ln>
              <a:effectLst/>
            </c:spPr>
          </c:marker>
          <c:xVal>
            <c:numRef>
              <c:f>Feuil4!$A$32:$A$51</c:f>
              <c:numCache>
                <c:formatCode>General</c:formatCode>
                <c:ptCount val="20"/>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numCache>
            </c:numRef>
          </c:xVal>
          <c:yVal>
            <c:numRef>
              <c:f>Feuil4!$F$32:$F$51</c:f>
              <c:numCache>
                <c:formatCode>General</c:formatCode>
                <c:ptCount val="20"/>
                <c:pt idx="0">
                  <c:v>46364</c:v>
                </c:pt>
                <c:pt idx="1">
                  <c:v>42273</c:v>
                </c:pt>
                <c:pt idx="2">
                  <c:v>42511</c:v>
                </c:pt>
                <c:pt idx="3">
                  <c:v>42777</c:v>
                </c:pt>
                <c:pt idx="4">
                  <c:v>42406</c:v>
                </c:pt>
                <c:pt idx="5">
                  <c:v>45067</c:v>
                </c:pt>
                <c:pt idx="6">
                  <c:v>45833</c:v>
                </c:pt>
                <c:pt idx="7">
                  <c:v>48884</c:v>
                </c:pt>
                <c:pt idx="8">
                  <c:v>50308</c:v>
                </c:pt>
                <c:pt idx="9">
                  <c:v>51704</c:v>
                </c:pt>
                <c:pt idx="10">
                  <c:v>56669</c:v>
                </c:pt>
                <c:pt idx="11">
                  <c:v>62501</c:v>
                </c:pt>
                <c:pt idx="12">
                  <c:v>68994</c:v>
                </c:pt>
                <c:pt idx="13">
                  <c:v>72879</c:v>
                </c:pt>
                <c:pt idx="14">
                  <c:v>70151</c:v>
                </c:pt>
                <c:pt idx="15">
                  <c:v>71656</c:v>
                </c:pt>
                <c:pt idx="16">
                  <c:v>73008</c:v>
                </c:pt>
                <c:pt idx="17">
                  <c:v>74480</c:v>
                </c:pt>
                <c:pt idx="18">
                  <c:v>44302</c:v>
                </c:pt>
                <c:pt idx="19">
                  <c:v>12863</c:v>
                </c:pt>
              </c:numCache>
            </c:numRef>
          </c:yVal>
          <c:smooth val="0"/>
          <c:extLst>
            <c:ext xmlns:c16="http://schemas.microsoft.com/office/drawing/2014/chart" uri="{C3380CC4-5D6E-409C-BE32-E72D297353CC}">
              <c16:uniqueId val="{00000004-590F-4523-9CDB-B9FE0DA6ABCD}"/>
            </c:ext>
          </c:extLst>
        </c:ser>
        <c:ser>
          <c:idx val="5"/>
          <c:order val="5"/>
          <c:tx>
            <c:strRef>
              <c:f>Feuil4!$G$31</c:f>
              <c:strCache>
                <c:ptCount val="1"/>
                <c:pt idx="0">
                  <c:v>Total</c:v>
                </c:pt>
              </c:strCache>
            </c:strRef>
          </c:tx>
          <c:spPr>
            <a:ln w="19050" cap="rnd">
              <a:noFill/>
              <a:round/>
            </a:ln>
            <a:effectLst/>
          </c:spPr>
          <c:marker>
            <c:symbol val="circle"/>
            <c:size val="5"/>
            <c:spPr>
              <a:solidFill>
                <a:schemeClr val="accent6"/>
              </a:solidFill>
              <a:ln w="9525">
                <a:solidFill>
                  <a:schemeClr val="accent6"/>
                </a:solidFill>
              </a:ln>
              <a:effectLst/>
            </c:spPr>
          </c:marker>
          <c:xVal>
            <c:numRef>
              <c:f>Feuil4!$A$32:$A$51</c:f>
              <c:numCache>
                <c:formatCode>General</c:formatCode>
                <c:ptCount val="20"/>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numCache>
            </c:numRef>
          </c:xVal>
          <c:yVal>
            <c:numRef>
              <c:f>Feuil4!$G$32:$G$51</c:f>
              <c:numCache>
                <c:formatCode>General</c:formatCode>
                <c:ptCount val="20"/>
                <c:pt idx="0">
                  <c:v>145756</c:v>
                </c:pt>
                <c:pt idx="1">
                  <c:v>141771</c:v>
                </c:pt>
                <c:pt idx="2">
                  <c:v>144721</c:v>
                </c:pt>
                <c:pt idx="3">
                  <c:v>152607</c:v>
                </c:pt>
                <c:pt idx="4">
                  <c:v>161966</c:v>
                </c:pt>
                <c:pt idx="5">
                  <c:v>168345</c:v>
                </c:pt>
                <c:pt idx="6">
                  <c:v>170819</c:v>
                </c:pt>
                <c:pt idx="7">
                  <c:v>172762</c:v>
                </c:pt>
                <c:pt idx="8">
                  <c:v>171228</c:v>
                </c:pt>
                <c:pt idx="9">
                  <c:v>173813</c:v>
                </c:pt>
                <c:pt idx="10">
                  <c:v>191577</c:v>
                </c:pt>
                <c:pt idx="11">
                  <c:v>204279</c:v>
                </c:pt>
                <c:pt idx="12">
                  <c:v>216954</c:v>
                </c:pt>
                <c:pt idx="13">
                  <c:v>222981</c:v>
                </c:pt>
                <c:pt idx="14">
                  <c:v>226482</c:v>
                </c:pt>
                <c:pt idx="15">
                  <c:v>229825</c:v>
                </c:pt>
                <c:pt idx="16">
                  <c:v>235008</c:v>
                </c:pt>
                <c:pt idx="17">
                  <c:v>242176</c:v>
                </c:pt>
                <c:pt idx="18">
                  <c:v>149925</c:v>
                </c:pt>
                <c:pt idx="19">
                  <c:v>43838</c:v>
                </c:pt>
              </c:numCache>
            </c:numRef>
          </c:yVal>
          <c:smooth val="0"/>
          <c:extLst>
            <c:ext xmlns:c16="http://schemas.microsoft.com/office/drawing/2014/chart" uri="{C3380CC4-5D6E-409C-BE32-E72D297353CC}">
              <c16:uniqueId val="{00000005-590F-4523-9CDB-B9FE0DA6ABCD}"/>
            </c:ext>
          </c:extLst>
        </c:ser>
        <c:dLbls>
          <c:showLegendKey val="0"/>
          <c:showVal val="0"/>
          <c:showCatName val="0"/>
          <c:showSerName val="0"/>
          <c:showPercent val="0"/>
          <c:showBubbleSize val="0"/>
        </c:dLbls>
        <c:axId val="758020671"/>
        <c:axId val="758022319"/>
      </c:scatterChart>
      <c:valAx>
        <c:axId val="758020671"/>
        <c:scaling>
          <c:orientation val="minMax"/>
          <c:min val="200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758022319"/>
        <c:crosses val="autoZero"/>
        <c:crossBetween val="midCat"/>
      </c:valAx>
      <c:valAx>
        <c:axId val="758022319"/>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758020671"/>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5"/>
    </mc:Choice>
    <mc:Fallback>
      <c:style val="5"/>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de-DE"/>
              <a:t>EUIPO</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de-DE"/>
        </a:p>
      </c:txPr>
    </c:title>
    <c:autoTitleDeleted val="0"/>
    <c:plotArea>
      <c:layout/>
      <c:barChart>
        <c:barDir val="col"/>
        <c:grouping val="percentStacked"/>
        <c:varyColors val="0"/>
        <c:ser>
          <c:idx val="1"/>
          <c:order val="1"/>
          <c:tx>
            <c:strRef>
              <c:f>Fig1_general!$E$27</c:f>
              <c:strCache>
                <c:ptCount val="1"/>
                <c:pt idx="0">
                  <c:v>share product marks</c:v>
                </c:pt>
              </c:strCache>
            </c:strRef>
          </c:tx>
          <c:spPr>
            <a:solidFill>
              <a:schemeClr val="accent3">
                <a:shade val="86000"/>
              </a:schemeClr>
            </a:solidFill>
            <a:ln>
              <a:noFill/>
            </a:ln>
            <a:effectLst/>
          </c:spPr>
          <c:invertIfNegative val="0"/>
          <c:cat>
            <c:numRef>
              <c:f>Fig1_general!$C$28:$C$49</c:f>
              <c:numCache>
                <c:formatCode>General</c:formatCode>
                <c:ptCount val="22"/>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pt idx="21">
                  <c:v>2021</c:v>
                </c:pt>
              </c:numCache>
            </c:numRef>
          </c:cat>
          <c:val>
            <c:numRef>
              <c:f>Fig1_general!$E$28:$E$49</c:f>
              <c:numCache>
                <c:formatCode>0%</c:formatCode>
                <c:ptCount val="22"/>
                <c:pt idx="0">
                  <c:v>0.46929085928781578</c:v>
                </c:pt>
                <c:pt idx="1">
                  <c:v>0.51376857525177833</c:v>
                </c:pt>
                <c:pt idx="2">
                  <c:v>0.57113075802481539</c:v>
                </c:pt>
                <c:pt idx="3">
                  <c:v>0.59616515704034823</c:v>
                </c:pt>
                <c:pt idx="4">
                  <c:v>0.5827781024741866</c:v>
                </c:pt>
                <c:pt idx="5">
                  <c:v>0.56038266963248751</c:v>
                </c:pt>
                <c:pt idx="6">
                  <c:v>0.52536510376633361</c:v>
                </c:pt>
                <c:pt idx="7">
                  <c:v>0.50653523411423407</c:v>
                </c:pt>
                <c:pt idx="8">
                  <c:v>0.49621619884638252</c:v>
                </c:pt>
                <c:pt idx="9">
                  <c:v>0.50340535649081586</c:v>
                </c:pt>
                <c:pt idx="10">
                  <c:v>0.50103760980185919</c:v>
                </c:pt>
                <c:pt idx="11">
                  <c:v>0.48299529471694574</c:v>
                </c:pt>
                <c:pt idx="12">
                  <c:v>0.475081263900404</c:v>
                </c:pt>
                <c:pt idx="13">
                  <c:v>0.46775250157351866</c:v>
                </c:pt>
                <c:pt idx="14">
                  <c:v>0.46224411789688269</c:v>
                </c:pt>
                <c:pt idx="15">
                  <c:v>0.45776110476811832</c:v>
                </c:pt>
                <c:pt idx="16">
                  <c:v>0.50615048074477287</c:v>
                </c:pt>
                <c:pt idx="17">
                  <c:v>0.53050724067369748</c:v>
                </c:pt>
                <c:pt idx="18">
                  <c:v>0.52289724027503059</c:v>
                </c:pt>
                <c:pt idx="19">
                  <c:v>0.51722242076037062</c:v>
                </c:pt>
                <c:pt idx="20">
                  <c:v>0.55260597916018972</c:v>
                </c:pt>
                <c:pt idx="21">
                  <c:v>0.53889931721471462</c:v>
                </c:pt>
              </c:numCache>
            </c:numRef>
          </c:val>
          <c:extLst>
            <c:ext xmlns:c16="http://schemas.microsoft.com/office/drawing/2014/chart" uri="{C3380CC4-5D6E-409C-BE32-E72D297353CC}">
              <c16:uniqueId val="{00000000-D777-429A-9930-28DF35A5AED9}"/>
            </c:ext>
          </c:extLst>
        </c:ser>
        <c:ser>
          <c:idx val="2"/>
          <c:order val="2"/>
          <c:tx>
            <c:strRef>
              <c:f>Fig1_general!$F$27</c:f>
              <c:strCache>
                <c:ptCount val="1"/>
                <c:pt idx="0">
                  <c:v>share service marks</c:v>
                </c:pt>
              </c:strCache>
            </c:strRef>
          </c:tx>
          <c:spPr>
            <a:solidFill>
              <a:schemeClr val="accent3">
                <a:tint val="86000"/>
              </a:schemeClr>
            </a:solidFill>
            <a:ln>
              <a:noFill/>
            </a:ln>
            <a:effectLst/>
          </c:spPr>
          <c:invertIfNegative val="0"/>
          <c:cat>
            <c:numRef>
              <c:f>Fig1_general!$C$28:$C$49</c:f>
              <c:numCache>
                <c:formatCode>General</c:formatCode>
                <c:ptCount val="22"/>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pt idx="21">
                  <c:v>2021</c:v>
                </c:pt>
              </c:numCache>
            </c:numRef>
          </c:cat>
          <c:val>
            <c:numRef>
              <c:f>Fig1_general!$F$28:$F$49</c:f>
              <c:numCache>
                <c:formatCode>0%</c:formatCode>
                <c:ptCount val="22"/>
                <c:pt idx="0">
                  <c:v>0.16832707720401746</c:v>
                </c:pt>
                <c:pt idx="1">
                  <c:v>0.14153578890532198</c:v>
                </c:pt>
                <c:pt idx="2">
                  <c:v>0.11340232079168132</c:v>
                </c:pt>
                <c:pt idx="3">
                  <c:v>9.7910049798062976E-2</c:v>
                </c:pt>
                <c:pt idx="4">
                  <c:v>0.10393532047535554</c:v>
                </c:pt>
                <c:pt idx="5">
                  <c:v>0.11539142930257279</c:v>
                </c:pt>
                <c:pt idx="6">
                  <c:v>0.13358605268674445</c:v>
                </c:pt>
                <c:pt idx="7">
                  <c:v>0.14368156720841002</c:v>
                </c:pt>
                <c:pt idx="8">
                  <c:v>0.14307749160494224</c:v>
                </c:pt>
                <c:pt idx="9">
                  <c:v>0.1333724936099954</c:v>
                </c:pt>
                <c:pt idx="10">
                  <c:v>0.13288512380248457</c:v>
                </c:pt>
                <c:pt idx="11">
                  <c:v>0.13353083904178453</c:v>
                </c:pt>
                <c:pt idx="12">
                  <c:v>0.13377288220353481</c:v>
                </c:pt>
                <c:pt idx="13">
                  <c:v>0.13780169811563114</c:v>
                </c:pt>
                <c:pt idx="14">
                  <c:v>0.13795488466345512</c:v>
                </c:pt>
                <c:pt idx="15">
                  <c:v>0.13738922416136573</c:v>
                </c:pt>
                <c:pt idx="16">
                  <c:v>0.14976853029455156</c:v>
                </c:pt>
                <c:pt idx="17">
                  <c:v>0.15141468597512986</c:v>
                </c:pt>
                <c:pt idx="18">
                  <c:v>0.15141753791089763</c:v>
                </c:pt>
                <c:pt idx="19">
                  <c:v>0.15357689382485271</c:v>
                </c:pt>
                <c:pt idx="20">
                  <c:v>0.13109624622667054</c:v>
                </c:pt>
                <c:pt idx="21">
                  <c:v>0.13924931011015801</c:v>
                </c:pt>
              </c:numCache>
            </c:numRef>
          </c:val>
          <c:extLst>
            <c:ext xmlns:c16="http://schemas.microsoft.com/office/drawing/2014/chart" uri="{C3380CC4-5D6E-409C-BE32-E72D297353CC}">
              <c16:uniqueId val="{00000001-D777-429A-9930-28DF35A5AED9}"/>
            </c:ext>
          </c:extLst>
        </c:ser>
        <c:ser>
          <c:idx val="3"/>
          <c:order val="3"/>
          <c:tx>
            <c:strRef>
              <c:f>Fig1_general!$G$27</c:f>
              <c:strCache>
                <c:ptCount val="1"/>
                <c:pt idx="0">
                  <c:v>share mixed marks</c:v>
                </c:pt>
              </c:strCache>
            </c:strRef>
          </c:tx>
          <c:spPr>
            <a:solidFill>
              <a:schemeClr val="accent3">
                <a:tint val="58000"/>
              </a:schemeClr>
            </a:solidFill>
            <a:ln>
              <a:noFill/>
            </a:ln>
            <a:effectLst/>
          </c:spPr>
          <c:invertIfNegative val="0"/>
          <c:cat>
            <c:numRef>
              <c:f>Fig1_general!$C$28:$C$49</c:f>
              <c:numCache>
                <c:formatCode>General</c:formatCode>
                <c:ptCount val="22"/>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pt idx="21">
                  <c:v>2021</c:v>
                </c:pt>
              </c:numCache>
            </c:numRef>
          </c:cat>
          <c:val>
            <c:numRef>
              <c:f>Fig1_general!$G$28:$G$49</c:f>
              <c:numCache>
                <c:formatCode>0%</c:formatCode>
                <c:ptCount val="22"/>
                <c:pt idx="0">
                  <c:v>0.36230090291163641</c:v>
                </c:pt>
                <c:pt idx="1">
                  <c:v>0.34460173251637438</c:v>
                </c:pt>
                <c:pt idx="2">
                  <c:v>0.31524087004571255</c:v>
                </c:pt>
                <c:pt idx="3">
                  <c:v>0.30592479316158883</c:v>
                </c:pt>
                <c:pt idx="4">
                  <c:v>0.3132476134813949</c:v>
                </c:pt>
                <c:pt idx="5">
                  <c:v>0.32420621641306274</c:v>
                </c:pt>
                <c:pt idx="6">
                  <c:v>0.34096149814827753</c:v>
                </c:pt>
                <c:pt idx="7">
                  <c:v>0.34978319867735597</c:v>
                </c:pt>
                <c:pt idx="8">
                  <c:v>0.36067417535628787</c:v>
                </c:pt>
                <c:pt idx="9">
                  <c:v>0.36322214989918877</c:v>
                </c:pt>
                <c:pt idx="10">
                  <c:v>0.36607726639565624</c:v>
                </c:pt>
                <c:pt idx="11">
                  <c:v>0.38347386624126978</c:v>
                </c:pt>
                <c:pt idx="12">
                  <c:v>0.39114585389606116</c:v>
                </c:pt>
                <c:pt idx="13">
                  <c:v>0.39444580031085019</c:v>
                </c:pt>
                <c:pt idx="14">
                  <c:v>0.39980099743966219</c:v>
                </c:pt>
                <c:pt idx="15">
                  <c:v>0.40484967107051595</c:v>
                </c:pt>
                <c:pt idx="16">
                  <c:v>0.34408098896067557</c:v>
                </c:pt>
                <c:pt idx="17">
                  <c:v>0.31807807335117266</c:v>
                </c:pt>
                <c:pt idx="18">
                  <c:v>0.32568522181407178</c:v>
                </c:pt>
                <c:pt idx="19">
                  <c:v>0.32920068541477676</c:v>
                </c:pt>
                <c:pt idx="20">
                  <c:v>0.31629777461313974</c:v>
                </c:pt>
                <c:pt idx="21">
                  <c:v>0.32185137267512731</c:v>
                </c:pt>
              </c:numCache>
            </c:numRef>
          </c:val>
          <c:extLst>
            <c:ext xmlns:c16="http://schemas.microsoft.com/office/drawing/2014/chart" uri="{C3380CC4-5D6E-409C-BE32-E72D297353CC}">
              <c16:uniqueId val="{00000002-D777-429A-9930-28DF35A5AED9}"/>
            </c:ext>
          </c:extLst>
        </c:ser>
        <c:dLbls>
          <c:showLegendKey val="0"/>
          <c:showVal val="0"/>
          <c:showCatName val="0"/>
          <c:showSerName val="0"/>
          <c:showPercent val="0"/>
          <c:showBubbleSize val="0"/>
        </c:dLbls>
        <c:gapWidth val="150"/>
        <c:overlap val="100"/>
        <c:axId val="389928144"/>
        <c:axId val="389929784"/>
      </c:barChart>
      <c:lineChart>
        <c:grouping val="standard"/>
        <c:varyColors val="0"/>
        <c:ser>
          <c:idx val="0"/>
          <c:order val="0"/>
          <c:tx>
            <c:strRef>
              <c:f>Fig1_general!$D$27</c:f>
              <c:strCache>
                <c:ptCount val="1"/>
                <c:pt idx="0">
                  <c:v># trademarks</c:v>
                </c:pt>
              </c:strCache>
            </c:strRef>
          </c:tx>
          <c:spPr>
            <a:ln w="28575" cap="rnd">
              <a:solidFill>
                <a:schemeClr val="accent3">
                  <a:shade val="58000"/>
                </a:schemeClr>
              </a:solidFill>
              <a:round/>
            </a:ln>
            <a:effectLst/>
          </c:spPr>
          <c:marker>
            <c:symbol val="none"/>
          </c:marker>
          <c:cat>
            <c:numRef>
              <c:f>Fig1_general!$C$28:$C$49</c:f>
              <c:numCache>
                <c:formatCode>General</c:formatCode>
                <c:ptCount val="22"/>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pt idx="21">
                  <c:v>2021</c:v>
                </c:pt>
              </c:numCache>
            </c:numRef>
          </c:cat>
          <c:val>
            <c:numRef>
              <c:f>Fig1_general!$D$28:$D$49</c:f>
              <c:numCache>
                <c:formatCode>General</c:formatCode>
                <c:ptCount val="22"/>
                <c:pt idx="0">
                  <c:v>49285</c:v>
                </c:pt>
                <c:pt idx="1">
                  <c:v>42597</c:v>
                </c:pt>
                <c:pt idx="2">
                  <c:v>39814</c:v>
                </c:pt>
                <c:pt idx="3">
                  <c:v>51006</c:v>
                </c:pt>
                <c:pt idx="4">
                  <c:v>51330</c:v>
                </c:pt>
                <c:pt idx="5">
                  <c:v>50801</c:v>
                </c:pt>
                <c:pt idx="6">
                  <c:v>57244</c:v>
                </c:pt>
                <c:pt idx="7">
                  <c:v>64114</c:v>
                </c:pt>
                <c:pt idx="8">
                  <c:v>62239</c:v>
                </c:pt>
                <c:pt idx="9">
                  <c:v>62989</c:v>
                </c:pt>
                <c:pt idx="10">
                  <c:v>70354</c:v>
                </c:pt>
                <c:pt idx="11">
                  <c:v>74597</c:v>
                </c:pt>
                <c:pt idx="12">
                  <c:v>75987</c:v>
                </c:pt>
                <c:pt idx="13">
                  <c:v>77851</c:v>
                </c:pt>
                <c:pt idx="14">
                  <c:v>82411</c:v>
                </c:pt>
                <c:pt idx="15">
                  <c:v>91965</c:v>
                </c:pt>
                <c:pt idx="16">
                  <c:v>98285</c:v>
                </c:pt>
                <c:pt idx="17">
                  <c:v>101648</c:v>
                </c:pt>
                <c:pt idx="18">
                  <c:v>106170</c:v>
                </c:pt>
                <c:pt idx="19">
                  <c:v>109131</c:v>
                </c:pt>
                <c:pt idx="20">
                  <c:v>99713</c:v>
                </c:pt>
                <c:pt idx="21">
                  <c:v>133717</c:v>
                </c:pt>
              </c:numCache>
            </c:numRef>
          </c:val>
          <c:smooth val="0"/>
          <c:extLst>
            <c:ext xmlns:c16="http://schemas.microsoft.com/office/drawing/2014/chart" uri="{C3380CC4-5D6E-409C-BE32-E72D297353CC}">
              <c16:uniqueId val="{00000003-D777-429A-9930-28DF35A5AED9}"/>
            </c:ext>
          </c:extLst>
        </c:ser>
        <c:dLbls>
          <c:showLegendKey val="0"/>
          <c:showVal val="0"/>
          <c:showCatName val="0"/>
          <c:showSerName val="0"/>
          <c:showPercent val="0"/>
          <c:showBubbleSize val="0"/>
        </c:dLbls>
        <c:marker val="1"/>
        <c:smooth val="0"/>
        <c:axId val="427863880"/>
        <c:axId val="427863552"/>
      </c:lineChart>
      <c:valAx>
        <c:axId val="389929784"/>
        <c:scaling>
          <c:orientation val="minMax"/>
        </c:scaling>
        <c:delete val="0"/>
        <c:axPos val="r"/>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389928144"/>
        <c:crosses val="max"/>
        <c:crossBetween val="between"/>
      </c:valAx>
      <c:catAx>
        <c:axId val="3899281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389929784"/>
        <c:crosses val="autoZero"/>
        <c:auto val="1"/>
        <c:lblAlgn val="ctr"/>
        <c:lblOffset val="100"/>
        <c:noMultiLvlLbl val="0"/>
      </c:catAx>
      <c:valAx>
        <c:axId val="427863552"/>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427863880"/>
        <c:crosses val="autoZero"/>
        <c:crossBetween val="between"/>
      </c:valAx>
      <c:catAx>
        <c:axId val="427863880"/>
        <c:scaling>
          <c:orientation val="minMax"/>
        </c:scaling>
        <c:delete val="1"/>
        <c:axPos val="b"/>
        <c:numFmt formatCode="General" sourceLinked="1"/>
        <c:majorTickMark val="none"/>
        <c:minorTickMark val="none"/>
        <c:tickLblPos val="nextTo"/>
        <c:crossAx val="427863552"/>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showDLblsOverMax val="0"/>
  </c:chart>
  <c:spPr>
    <a:solidFill>
      <a:schemeClr val="bg1"/>
    </a:solidFill>
    <a:ln w="9525" cap="flat" cmpd="sng" algn="ctr">
      <a:noFill/>
      <a:round/>
    </a:ln>
    <a:effectLst/>
  </c:spPr>
  <c:txPr>
    <a:bodyPr/>
    <a:lstStyle/>
    <a:p>
      <a:pPr>
        <a:defRPr/>
      </a:pPr>
      <a:endParaRPr lang="de-DE"/>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lineChart>
        <c:grouping val="standard"/>
        <c:varyColors val="0"/>
        <c:ser>
          <c:idx val="0"/>
          <c:order val="0"/>
          <c:tx>
            <c:strRef>
              <c:f>Tabelle1!$C$2</c:f>
              <c:strCache>
                <c:ptCount val="1"/>
                <c:pt idx="0">
                  <c:v>Total</c:v>
                </c:pt>
              </c:strCache>
            </c:strRef>
          </c:tx>
          <c:spPr>
            <a:ln w="28575" cap="rnd">
              <a:solidFill>
                <a:schemeClr val="accent1">
                  <a:shade val="76000"/>
                </a:schemeClr>
              </a:solidFill>
              <a:round/>
            </a:ln>
            <a:effectLst/>
          </c:spPr>
          <c:marker>
            <c:symbol val="none"/>
          </c:marker>
          <c:cat>
            <c:numRef>
              <c:f>Tabelle1!$B$3:$B$24</c:f>
              <c:numCache>
                <c:formatCode>General</c:formatCode>
                <c:ptCount val="22"/>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pt idx="21">
                  <c:v>2021</c:v>
                </c:pt>
              </c:numCache>
            </c:numRef>
          </c:cat>
          <c:val>
            <c:numRef>
              <c:f>Tabelle1!$C$3:$C$24</c:f>
              <c:numCache>
                <c:formatCode>General</c:formatCode>
                <c:ptCount val="22"/>
                <c:pt idx="0">
                  <c:v>285858</c:v>
                </c:pt>
                <c:pt idx="1">
                  <c:v>218588</c:v>
                </c:pt>
                <c:pt idx="2">
                  <c:v>214502</c:v>
                </c:pt>
                <c:pt idx="3">
                  <c:v>225184</c:v>
                </c:pt>
                <c:pt idx="4">
                  <c:v>251373</c:v>
                </c:pt>
                <c:pt idx="5">
                  <c:v>266770</c:v>
                </c:pt>
                <c:pt idx="6">
                  <c:v>280775</c:v>
                </c:pt>
                <c:pt idx="7">
                  <c:v>306602</c:v>
                </c:pt>
                <c:pt idx="8">
                  <c:v>294321</c:v>
                </c:pt>
                <c:pt idx="9">
                  <c:v>269399</c:v>
                </c:pt>
                <c:pt idx="10">
                  <c:v>284561</c:v>
                </c:pt>
                <c:pt idx="11">
                  <c:v>308767</c:v>
                </c:pt>
                <c:pt idx="12">
                  <c:v>317035</c:v>
                </c:pt>
                <c:pt idx="13">
                  <c:v>328201</c:v>
                </c:pt>
                <c:pt idx="14">
                  <c:v>346970</c:v>
                </c:pt>
                <c:pt idx="15">
                  <c:v>380272</c:v>
                </c:pt>
                <c:pt idx="16">
                  <c:v>401623</c:v>
                </c:pt>
                <c:pt idx="17">
                  <c:v>452753</c:v>
                </c:pt>
                <c:pt idx="18">
                  <c:v>471899</c:v>
                </c:pt>
                <c:pt idx="19">
                  <c:v>497221</c:v>
                </c:pt>
                <c:pt idx="20">
                  <c:v>663236</c:v>
                </c:pt>
                <c:pt idx="21">
                  <c:v>665594</c:v>
                </c:pt>
              </c:numCache>
            </c:numRef>
          </c:val>
          <c:smooth val="0"/>
          <c:extLst>
            <c:ext xmlns:c16="http://schemas.microsoft.com/office/drawing/2014/chart" uri="{C3380CC4-5D6E-409C-BE32-E72D297353CC}">
              <c16:uniqueId val="{00000000-907B-4B1F-A172-6C4B71AAB439}"/>
            </c:ext>
          </c:extLst>
        </c:ser>
        <c:dLbls>
          <c:showLegendKey val="0"/>
          <c:showVal val="0"/>
          <c:showCatName val="0"/>
          <c:showSerName val="0"/>
          <c:showPercent val="0"/>
          <c:showBubbleSize val="0"/>
        </c:dLbls>
        <c:marker val="1"/>
        <c:smooth val="0"/>
        <c:axId val="639136024"/>
        <c:axId val="639137008"/>
      </c:lineChart>
      <c:lineChart>
        <c:grouping val="standard"/>
        <c:varyColors val="0"/>
        <c:ser>
          <c:idx val="1"/>
          <c:order val="1"/>
          <c:tx>
            <c:strRef>
              <c:f>Tabelle1!$F$2</c:f>
              <c:strCache>
                <c:ptCount val="1"/>
                <c:pt idx="0">
                  <c:v>US Share</c:v>
                </c:pt>
              </c:strCache>
            </c:strRef>
          </c:tx>
          <c:spPr>
            <a:ln w="28575" cap="rnd">
              <a:solidFill>
                <a:schemeClr val="accent1">
                  <a:tint val="77000"/>
                </a:schemeClr>
              </a:solidFill>
              <a:round/>
            </a:ln>
            <a:effectLst/>
          </c:spPr>
          <c:marker>
            <c:symbol val="none"/>
          </c:marker>
          <c:val>
            <c:numRef>
              <c:f>Tabelle1!$F$3:$F$24</c:f>
              <c:numCache>
                <c:formatCode>0%</c:formatCode>
                <c:ptCount val="22"/>
                <c:pt idx="0">
                  <c:v>0.71779310721465805</c:v>
                </c:pt>
                <c:pt idx="1">
                  <c:v>0.69590383101022824</c:v>
                </c:pt>
                <c:pt idx="2">
                  <c:v>0.69092891428364622</c:v>
                </c:pt>
                <c:pt idx="3">
                  <c:v>0.67745820894238296</c:v>
                </c:pt>
                <c:pt idx="4">
                  <c:v>0.67272453203569782</c:v>
                </c:pt>
                <c:pt idx="5">
                  <c:v>0.68072702331961588</c:v>
                </c:pt>
                <c:pt idx="6">
                  <c:v>0.67708481367611428</c:v>
                </c:pt>
                <c:pt idx="7">
                  <c:v>0.67513267626990148</c:v>
                </c:pt>
                <c:pt idx="8">
                  <c:v>0.67484738012236178</c:v>
                </c:pt>
                <c:pt idx="9">
                  <c:v>0.67889176509828664</c:v>
                </c:pt>
                <c:pt idx="10">
                  <c:v>0.67427494179618019</c:v>
                </c:pt>
                <c:pt idx="11">
                  <c:v>0.66633281776921327</c:v>
                </c:pt>
                <c:pt idx="12">
                  <c:v>0.66550190008341825</c:v>
                </c:pt>
                <c:pt idx="13">
                  <c:v>0.6703578199405873</c:v>
                </c:pt>
                <c:pt idx="14">
                  <c:v>0.66643079135224492</c:v>
                </c:pt>
                <c:pt idx="15">
                  <c:v>0.6459849480843487</c:v>
                </c:pt>
                <c:pt idx="16">
                  <c:v>0.61140865467219752</c:v>
                </c:pt>
                <c:pt idx="17">
                  <c:v>0.58642828792128088</c:v>
                </c:pt>
                <c:pt idx="18">
                  <c:v>0.58425898338655735</c:v>
                </c:pt>
                <c:pt idx="19">
                  <c:v>0.56487294409699906</c:v>
                </c:pt>
                <c:pt idx="20">
                  <c:v>0.48017435531417846</c:v>
                </c:pt>
                <c:pt idx="21">
                  <c:v>0.47778074201080911</c:v>
                </c:pt>
              </c:numCache>
            </c:numRef>
          </c:val>
          <c:smooth val="0"/>
          <c:extLst>
            <c:ext xmlns:c16="http://schemas.microsoft.com/office/drawing/2014/chart" uri="{C3380CC4-5D6E-409C-BE32-E72D297353CC}">
              <c16:uniqueId val="{00000001-907B-4B1F-A172-6C4B71AAB439}"/>
            </c:ext>
          </c:extLst>
        </c:ser>
        <c:dLbls>
          <c:showLegendKey val="0"/>
          <c:showVal val="0"/>
          <c:showCatName val="0"/>
          <c:showSerName val="0"/>
          <c:showPercent val="0"/>
          <c:showBubbleSize val="0"/>
        </c:dLbls>
        <c:marker val="1"/>
        <c:smooth val="0"/>
        <c:axId val="759644440"/>
        <c:axId val="759649360"/>
      </c:lineChart>
      <c:catAx>
        <c:axId val="6391360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639137008"/>
        <c:crosses val="autoZero"/>
        <c:auto val="1"/>
        <c:lblAlgn val="ctr"/>
        <c:lblOffset val="100"/>
        <c:noMultiLvlLbl val="0"/>
      </c:catAx>
      <c:valAx>
        <c:axId val="63913700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639136024"/>
        <c:crosses val="autoZero"/>
        <c:crossBetween val="between"/>
      </c:valAx>
      <c:valAx>
        <c:axId val="759649360"/>
        <c:scaling>
          <c:orientation val="minMax"/>
        </c:scaling>
        <c:delete val="0"/>
        <c:axPos val="r"/>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759644440"/>
        <c:crosses val="max"/>
        <c:crossBetween val="between"/>
      </c:valAx>
      <c:catAx>
        <c:axId val="759644440"/>
        <c:scaling>
          <c:orientation val="minMax"/>
        </c:scaling>
        <c:delete val="1"/>
        <c:axPos val="b"/>
        <c:majorTickMark val="out"/>
        <c:minorTickMark val="none"/>
        <c:tickLblPos val="nextTo"/>
        <c:crossAx val="759649360"/>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showDLblsOverMax val="0"/>
  </c:chart>
  <c:spPr>
    <a:solidFill>
      <a:schemeClr val="bg1"/>
    </a:solidFill>
    <a:ln w="9525" cap="flat" cmpd="sng" algn="ctr">
      <a:noFill/>
      <a:round/>
    </a:ln>
    <a:effectLst/>
  </c:spPr>
  <c:txPr>
    <a:bodyPr/>
    <a:lstStyle/>
    <a:p>
      <a:pPr>
        <a:defRPr/>
      </a:pPr>
      <a:endParaRPr lang="de-DE"/>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Auswertungen!$M$118</c:f>
              <c:strCache>
                <c:ptCount val="1"/>
                <c:pt idx="0">
                  <c:v>Patents</c:v>
                </c:pt>
              </c:strCache>
            </c:strRef>
          </c:tx>
          <c:spPr>
            <a:solidFill>
              <a:schemeClr val="accent1"/>
            </a:solidFill>
            <a:ln>
              <a:noFill/>
            </a:ln>
            <a:effectLst/>
          </c:spPr>
          <c:invertIfNegative val="0"/>
          <c:cat>
            <c:strRef>
              <c:f>Auswertungen!$L$119:$L$146</c:f>
              <c:strCache>
                <c:ptCount val="28"/>
                <c:pt idx="0">
                  <c:v>Analysis of biological materials</c:v>
                </c:pt>
                <c:pt idx="1">
                  <c:v>Micro-structural and nano-technology</c:v>
                </c:pt>
                <c:pt idx="2">
                  <c:v>Engines, pumps, turbines</c:v>
                </c:pt>
                <c:pt idx="3">
                  <c:v>Mechanical elements</c:v>
                </c:pt>
                <c:pt idx="4">
                  <c:v>Handling</c:v>
                </c:pt>
                <c:pt idx="5">
                  <c:v>Organic fine chemistry &amp; Biotech</c:v>
                </c:pt>
                <c:pt idx="6">
                  <c:v>Surface technology, coating</c:v>
                </c:pt>
                <c:pt idx="7">
                  <c:v>Macromolecular chemistry, polymers</c:v>
                </c:pt>
                <c:pt idx="8">
                  <c:v>Food chemistry</c:v>
                </c:pt>
                <c:pt idx="9">
                  <c:v>Thermal processes and apparatus</c:v>
                </c:pt>
                <c:pt idx="10">
                  <c:v>Optics</c:v>
                </c:pt>
                <c:pt idx="11">
                  <c:v>Environmental technology</c:v>
                </c:pt>
                <c:pt idx="12">
                  <c:v>Civil engineering</c:v>
                </c:pt>
                <c:pt idx="13">
                  <c:v>Electrical machinery, apparatus, energy</c:v>
                </c:pt>
                <c:pt idx="14">
                  <c:v>Pharmaceuticals</c:v>
                </c:pt>
                <c:pt idx="15">
                  <c:v>Control</c:v>
                </c:pt>
                <c:pt idx="16">
                  <c:v>Measurement</c:v>
                </c:pt>
                <c:pt idx="17">
                  <c:v>Furniture, games</c:v>
                </c:pt>
                <c:pt idx="18">
                  <c:v>Chemical engineering</c:v>
                </c:pt>
                <c:pt idx="19">
                  <c:v>Other special machines</c:v>
                </c:pt>
                <c:pt idx="20">
                  <c:v>Medical technology</c:v>
                </c:pt>
                <c:pt idx="21">
                  <c:v>Materials, metallurgy</c:v>
                </c:pt>
                <c:pt idx="22">
                  <c:v>Textile and paper machines</c:v>
                </c:pt>
                <c:pt idx="23">
                  <c:v>Transport</c:v>
                </c:pt>
                <c:pt idx="24">
                  <c:v>Basic materials chemistry</c:v>
                </c:pt>
                <c:pt idx="25">
                  <c:v>Machine tools</c:v>
                </c:pt>
                <c:pt idx="26">
                  <c:v>Other consumer goods</c:v>
                </c:pt>
                <c:pt idx="27">
                  <c:v>Audio Visual Technologies, Computers, Telecommunication</c:v>
                </c:pt>
              </c:strCache>
            </c:strRef>
          </c:cat>
          <c:val>
            <c:numRef>
              <c:f>Auswertungen!$M$119:$M$146</c:f>
              <c:numCache>
                <c:formatCode>0%</c:formatCode>
                <c:ptCount val="28"/>
                <c:pt idx="0">
                  <c:v>1.0321655285198562E-2</c:v>
                </c:pt>
                <c:pt idx="1">
                  <c:v>2.6147634858039539E-3</c:v>
                </c:pt>
                <c:pt idx="2">
                  <c:v>2.6021965353755467E-2</c:v>
                </c:pt>
                <c:pt idx="3">
                  <c:v>2.9311155179217278E-2</c:v>
                </c:pt>
                <c:pt idx="4">
                  <c:v>2.7269444632948701E-2</c:v>
                </c:pt>
                <c:pt idx="5">
                  <c:v>5.4441704849251052E-2</c:v>
                </c:pt>
                <c:pt idx="6">
                  <c:v>2.0161577470641508E-2</c:v>
                </c:pt>
                <c:pt idx="7">
                  <c:v>2.1232281647141815E-2</c:v>
                </c:pt>
                <c:pt idx="8">
                  <c:v>9.2450865318316668E-3</c:v>
                </c:pt>
                <c:pt idx="9">
                  <c:v>1.6770176448361981E-2</c:v>
                </c:pt>
                <c:pt idx="10">
                  <c:v>3.4284316362085676E-2</c:v>
                </c:pt>
                <c:pt idx="11">
                  <c:v>1.3744054785201494E-2</c:v>
                </c:pt>
                <c:pt idx="12">
                  <c:v>2.7482244993536398E-2</c:v>
                </c:pt>
                <c:pt idx="13">
                  <c:v>6.860549577876135E-2</c:v>
                </c:pt>
                <c:pt idx="14">
                  <c:v>3.8965086498319798E-2</c:v>
                </c:pt>
                <c:pt idx="15">
                  <c:v>2.7034023761589868E-2</c:v>
                </c:pt>
                <c:pt idx="16">
                  <c:v>5.2966344868956031E-2</c:v>
                </c:pt>
                <c:pt idx="17">
                  <c:v>1.9966370840653582E-2</c:v>
                </c:pt>
                <c:pt idx="18">
                  <c:v>2.5918916360242527E-2</c:v>
                </c:pt>
                <c:pt idx="19">
                  <c:v>3.4345475520837263E-2</c:v>
                </c:pt>
                <c:pt idx="20">
                  <c:v>5.7327076667613379E-2</c:v>
                </c:pt>
                <c:pt idx="21">
                  <c:v>2.1005238742735254E-2</c:v>
                </c:pt>
                <c:pt idx="22">
                  <c:v>1.3772539872839218E-2</c:v>
                </c:pt>
                <c:pt idx="23">
                  <c:v>5.2159546651452282E-2</c:v>
                </c:pt>
                <c:pt idx="24">
                  <c:v>2.7013916640904419E-2</c:v>
                </c:pt>
                <c:pt idx="25">
                  <c:v>1.9624549789000901E-2</c:v>
                </c:pt>
                <c:pt idx="26">
                  <c:v>2.3206968457792222E-2</c:v>
                </c:pt>
                <c:pt idx="27">
                  <c:v>0.22518802252332634</c:v>
                </c:pt>
              </c:numCache>
            </c:numRef>
          </c:val>
          <c:extLst>
            <c:ext xmlns:c16="http://schemas.microsoft.com/office/drawing/2014/chart" uri="{C3380CC4-5D6E-409C-BE32-E72D297353CC}">
              <c16:uniqueId val="{00000000-80F8-4386-9055-C4D92495A5BE}"/>
            </c:ext>
          </c:extLst>
        </c:ser>
        <c:ser>
          <c:idx val="1"/>
          <c:order val="1"/>
          <c:tx>
            <c:strRef>
              <c:f>Auswertungen!$N$118</c:f>
              <c:strCache>
                <c:ptCount val="1"/>
                <c:pt idx="0">
                  <c:v>Trademarks</c:v>
                </c:pt>
              </c:strCache>
            </c:strRef>
          </c:tx>
          <c:spPr>
            <a:solidFill>
              <a:schemeClr val="accent2"/>
            </a:solidFill>
            <a:ln>
              <a:noFill/>
            </a:ln>
            <a:effectLst/>
          </c:spPr>
          <c:invertIfNegative val="0"/>
          <c:cat>
            <c:strRef>
              <c:f>Auswertungen!$L$119:$L$146</c:f>
              <c:strCache>
                <c:ptCount val="28"/>
                <c:pt idx="0">
                  <c:v>Analysis of biological materials</c:v>
                </c:pt>
                <c:pt idx="1">
                  <c:v>Micro-structural and nano-technology</c:v>
                </c:pt>
                <c:pt idx="2">
                  <c:v>Engines, pumps, turbines</c:v>
                </c:pt>
                <c:pt idx="3">
                  <c:v>Mechanical elements</c:v>
                </c:pt>
                <c:pt idx="4">
                  <c:v>Handling</c:v>
                </c:pt>
                <c:pt idx="5">
                  <c:v>Organic fine chemistry &amp; Biotech</c:v>
                </c:pt>
                <c:pt idx="6">
                  <c:v>Surface technology, coating</c:v>
                </c:pt>
                <c:pt idx="7">
                  <c:v>Macromolecular chemistry, polymers</c:v>
                </c:pt>
                <c:pt idx="8">
                  <c:v>Food chemistry</c:v>
                </c:pt>
                <c:pt idx="9">
                  <c:v>Thermal processes and apparatus</c:v>
                </c:pt>
                <c:pt idx="10">
                  <c:v>Optics</c:v>
                </c:pt>
                <c:pt idx="11">
                  <c:v>Environmental technology</c:v>
                </c:pt>
                <c:pt idx="12">
                  <c:v>Civil engineering</c:v>
                </c:pt>
                <c:pt idx="13">
                  <c:v>Electrical machinery, apparatus, energy</c:v>
                </c:pt>
                <c:pt idx="14">
                  <c:v>Pharmaceuticals</c:v>
                </c:pt>
                <c:pt idx="15">
                  <c:v>Control</c:v>
                </c:pt>
                <c:pt idx="16">
                  <c:v>Measurement</c:v>
                </c:pt>
                <c:pt idx="17">
                  <c:v>Furniture, games</c:v>
                </c:pt>
                <c:pt idx="18">
                  <c:v>Chemical engineering</c:v>
                </c:pt>
                <c:pt idx="19">
                  <c:v>Other special machines</c:v>
                </c:pt>
                <c:pt idx="20">
                  <c:v>Medical technology</c:v>
                </c:pt>
                <c:pt idx="21">
                  <c:v>Materials, metallurgy</c:v>
                </c:pt>
                <c:pt idx="22">
                  <c:v>Textile and paper machines</c:v>
                </c:pt>
                <c:pt idx="23">
                  <c:v>Transport</c:v>
                </c:pt>
                <c:pt idx="24">
                  <c:v>Basic materials chemistry</c:v>
                </c:pt>
                <c:pt idx="25">
                  <c:v>Machine tools</c:v>
                </c:pt>
                <c:pt idx="26">
                  <c:v>Other consumer goods</c:v>
                </c:pt>
                <c:pt idx="27">
                  <c:v>Audio Visual Technologies, Computers, Telecommunication</c:v>
                </c:pt>
              </c:strCache>
            </c:strRef>
          </c:cat>
          <c:val>
            <c:numRef>
              <c:f>Auswertungen!$N$119:$N$146</c:f>
              <c:numCache>
                <c:formatCode>0%</c:formatCode>
                <c:ptCount val="28"/>
                <c:pt idx="0">
                  <c:v>0</c:v>
                </c:pt>
                <c:pt idx="1">
                  <c:v>0</c:v>
                </c:pt>
                <c:pt idx="2">
                  <c:v>5.0924877621153462E-4</c:v>
                </c:pt>
                <c:pt idx="3">
                  <c:v>1.0539630921949442E-3</c:v>
                </c:pt>
                <c:pt idx="4">
                  <c:v>1.1630878299545586E-3</c:v>
                </c:pt>
                <c:pt idx="5">
                  <c:v>2.4389378889273857E-3</c:v>
                </c:pt>
                <c:pt idx="6">
                  <c:v>2.5344220344670483E-3</c:v>
                </c:pt>
                <c:pt idx="7">
                  <c:v>3.6902348819042993E-3</c:v>
                </c:pt>
                <c:pt idx="8">
                  <c:v>8.1416148096819102E-3</c:v>
                </c:pt>
                <c:pt idx="9">
                  <c:v>9.45474915405594E-3</c:v>
                </c:pt>
                <c:pt idx="10">
                  <c:v>1.1832759064400874E-2</c:v>
                </c:pt>
                <c:pt idx="11">
                  <c:v>1.1930971328384526E-2</c:v>
                </c:pt>
                <c:pt idx="12">
                  <c:v>1.2240158085370101E-2</c:v>
                </c:pt>
                <c:pt idx="13">
                  <c:v>1.9176853915622932E-2</c:v>
                </c:pt>
                <c:pt idx="14">
                  <c:v>1.9657002761765238E-2</c:v>
                </c:pt>
                <c:pt idx="15">
                  <c:v>2.210048751476594E-2</c:v>
                </c:pt>
                <c:pt idx="16">
                  <c:v>2.579890675200221E-2</c:v>
                </c:pt>
                <c:pt idx="17">
                  <c:v>2.7054750609052443E-2</c:v>
                </c:pt>
                <c:pt idx="18">
                  <c:v>6.1863723208740166E-2</c:v>
                </c:pt>
                <c:pt idx="19">
                  <c:v>6.220473801423896E-2</c:v>
                </c:pt>
                <c:pt idx="20">
                  <c:v>6.7527297098464154E-2</c:v>
                </c:pt>
                <c:pt idx="21">
                  <c:v>6.9081415238724006E-2</c:v>
                </c:pt>
                <c:pt idx="22">
                  <c:v>7.1435781455887692E-2</c:v>
                </c:pt>
                <c:pt idx="23">
                  <c:v>7.1803168073011722E-2</c:v>
                </c:pt>
                <c:pt idx="24">
                  <c:v>7.2439729043276141E-2</c:v>
                </c:pt>
                <c:pt idx="25">
                  <c:v>7.2656159773166043E-2</c:v>
                </c:pt>
                <c:pt idx="26">
                  <c:v>0.13543653077908696</c:v>
                </c:pt>
                <c:pt idx="27">
                  <c:v>0.13677330881664224</c:v>
                </c:pt>
              </c:numCache>
            </c:numRef>
          </c:val>
          <c:extLst>
            <c:ext xmlns:c16="http://schemas.microsoft.com/office/drawing/2014/chart" uri="{C3380CC4-5D6E-409C-BE32-E72D297353CC}">
              <c16:uniqueId val="{00000001-80F8-4386-9055-C4D92495A5BE}"/>
            </c:ext>
          </c:extLst>
        </c:ser>
        <c:dLbls>
          <c:showLegendKey val="0"/>
          <c:showVal val="0"/>
          <c:showCatName val="0"/>
          <c:showSerName val="0"/>
          <c:showPercent val="0"/>
          <c:showBubbleSize val="0"/>
        </c:dLbls>
        <c:gapWidth val="182"/>
        <c:axId val="745167720"/>
        <c:axId val="745170344"/>
      </c:barChart>
      <c:catAx>
        <c:axId val="74516772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745170344"/>
        <c:crosses val="autoZero"/>
        <c:auto val="1"/>
        <c:lblAlgn val="ctr"/>
        <c:lblOffset val="100"/>
        <c:tickLblSkip val="1"/>
        <c:noMultiLvlLbl val="0"/>
      </c:catAx>
      <c:valAx>
        <c:axId val="745170344"/>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7451677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showDLblsOverMax val="0"/>
  </c:chart>
  <c:spPr>
    <a:solidFill>
      <a:schemeClr val="bg1"/>
    </a:solidFill>
    <a:ln w="9525" cap="flat" cmpd="sng" algn="ctr">
      <a:noFill/>
      <a:round/>
    </a:ln>
    <a:effectLst/>
  </c:spPr>
  <c:txPr>
    <a:bodyPr/>
    <a:lstStyle/>
    <a:p>
      <a:pPr>
        <a:defRPr/>
      </a:pPr>
      <a:endParaRPr lang="de-DE"/>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'Tab1 &amp; Fig3,4,5 -SME nrs_shares'!$D$28</c:f>
              <c:strCache>
                <c:ptCount val="1"/>
                <c:pt idx="0">
                  <c:v>SME</c:v>
                </c:pt>
              </c:strCache>
            </c:strRef>
          </c:tx>
          <c:spPr>
            <a:solidFill>
              <a:schemeClr val="accent1"/>
            </a:solidFill>
            <a:ln>
              <a:noFill/>
            </a:ln>
            <a:effectLst/>
          </c:spPr>
          <c:invertIfNegative val="0"/>
          <c:cat>
            <c:numRef>
              <c:f>'Tab1 &amp; Fig3,4,5 -SME nrs_shares'!$B$29:$B$50</c:f>
              <c:numCache>
                <c:formatCode>General</c:formatCode>
                <c:ptCount val="22"/>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pt idx="21">
                  <c:v>2021</c:v>
                </c:pt>
              </c:numCache>
            </c:numRef>
          </c:cat>
          <c:val>
            <c:numRef>
              <c:f>'Tab1 &amp; Fig3,4,5 -SME nrs_shares'!$D$29:$D$50</c:f>
              <c:numCache>
                <c:formatCode>0%</c:formatCode>
                <c:ptCount val="22"/>
                <c:pt idx="0">
                  <c:v>0.47183271368448865</c:v>
                </c:pt>
                <c:pt idx="1">
                  <c:v>0.44902848017034869</c:v>
                </c:pt>
                <c:pt idx="2">
                  <c:v>0.4568921513818332</c:v>
                </c:pt>
                <c:pt idx="3">
                  <c:v>0.44361332671831472</c:v>
                </c:pt>
                <c:pt idx="4">
                  <c:v>0.46745776962470381</c:v>
                </c:pt>
                <c:pt idx="5">
                  <c:v>0.46575501440977929</c:v>
                </c:pt>
                <c:pt idx="6">
                  <c:v>0.49135662314876927</c:v>
                </c:pt>
                <c:pt idx="7">
                  <c:v>0.49886139832594784</c:v>
                </c:pt>
                <c:pt idx="8">
                  <c:v>0.49456884230585996</c:v>
                </c:pt>
                <c:pt idx="9">
                  <c:v>0.50972995064289983</c:v>
                </c:pt>
                <c:pt idx="10">
                  <c:v>0.51118435880099167</c:v>
                </c:pt>
                <c:pt idx="11">
                  <c:v>0.52121510105909397</c:v>
                </c:pt>
                <c:pt idx="12">
                  <c:v>0.53094127153767956</c:v>
                </c:pt>
                <c:pt idx="13">
                  <c:v>0.53695354845245935</c:v>
                </c:pt>
                <c:pt idx="14">
                  <c:v>0.5573778376298576</c:v>
                </c:pt>
                <c:pt idx="15">
                  <c:v>0.56574491490692613</c:v>
                </c:pt>
                <c:pt idx="16">
                  <c:v>0.59223996207727758</c:v>
                </c:pt>
                <c:pt idx="17">
                  <c:v>0.61373599610326357</c:v>
                </c:pt>
                <c:pt idx="18">
                  <c:v>0.62210431923479304</c:v>
                </c:pt>
                <c:pt idx="19">
                  <c:v>0.6231524632309523</c:v>
                </c:pt>
                <c:pt idx="20">
                  <c:v>0.65737075508199649</c:v>
                </c:pt>
                <c:pt idx="21">
                  <c:v>0.6942371258918022</c:v>
                </c:pt>
              </c:numCache>
            </c:numRef>
          </c:val>
          <c:extLst>
            <c:ext xmlns:c16="http://schemas.microsoft.com/office/drawing/2014/chart" uri="{C3380CC4-5D6E-409C-BE32-E72D297353CC}">
              <c16:uniqueId val="{00000000-9A13-4A2B-BFED-C1F409A1B82C}"/>
            </c:ext>
          </c:extLst>
        </c:ser>
        <c:ser>
          <c:idx val="1"/>
          <c:order val="1"/>
          <c:tx>
            <c:strRef>
              <c:f>'Tab1 &amp; Fig3,4,5 -SME nrs_shares'!$E$28</c:f>
              <c:strCache>
                <c:ptCount val="1"/>
                <c:pt idx="0">
                  <c:v>LE</c:v>
                </c:pt>
              </c:strCache>
            </c:strRef>
          </c:tx>
          <c:spPr>
            <a:solidFill>
              <a:schemeClr val="accent2"/>
            </a:solidFill>
            <a:ln>
              <a:noFill/>
            </a:ln>
            <a:effectLst/>
          </c:spPr>
          <c:invertIfNegative val="0"/>
          <c:cat>
            <c:numRef>
              <c:f>'Tab1 &amp; Fig3,4,5 -SME nrs_shares'!$B$29:$B$50</c:f>
              <c:numCache>
                <c:formatCode>General</c:formatCode>
                <c:ptCount val="22"/>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pt idx="21">
                  <c:v>2021</c:v>
                </c:pt>
              </c:numCache>
            </c:numRef>
          </c:cat>
          <c:val>
            <c:numRef>
              <c:f>'Tab1 &amp; Fig3,4,5 -SME nrs_shares'!$E$29:$E$50</c:f>
              <c:numCache>
                <c:formatCode>0%</c:formatCode>
                <c:ptCount val="22"/>
                <c:pt idx="0">
                  <c:v>0.45645158246362316</c:v>
                </c:pt>
                <c:pt idx="1">
                  <c:v>0.49378937095200071</c:v>
                </c:pt>
                <c:pt idx="2">
                  <c:v>0.50885977492039569</c:v>
                </c:pt>
                <c:pt idx="3">
                  <c:v>0.52757317864366671</c:v>
                </c:pt>
                <c:pt idx="4">
                  <c:v>0.51180921806925017</c:v>
                </c:pt>
                <c:pt idx="5">
                  <c:v>0.51455484420030562</c:v>
                </c:pt>
                <c:pt idx="6">
                  <c:v>0.49053098715103977</c:v>
                </c:pt>
                <c:pt idx="7">
                  <c:v>0.48529049729197438</c:v>
                </c:pt>
                <c:pt idx="8">
                  <c:v>0.4912815626488804</c:v>
                </c:pt>
                <c:pt idx="9">
                  <c:v>0.47731774026218993</c:v>
                </c:pt>
                <c:pt idx="10">
                  <c:v>0.47768762677484788</c:v>
                </c:pt>
                <c:pt idx="11">
                  <c:v>0.46729034058442853</c:v>
                </c:pt>
                <c:pt idx="12">
                  <c:v>0.45696374110471027</c:v>
                </c:pt>
                <c:pt idx="13">
                  <c:v>0.44643128514259661</c:v>
                </c:pt>
                <c:pt idx="14">
                  <c:v>0.43122354751827624</c:v>
                </c:pt>
                <c:pt idx="15">
                  <c:v>0.42474277949138284</c:v>
                </c:pt>
                <c:pt idx="16">
                  <c:v>0.39797678241838041</c:v>
                </c:pt>
                <c:pt idx="17">
                  <c:v>0.37531417437895764</c:v>
                </c:pt>
                <c:pt idx="18">
                  <c:v>0.36836795695710656</c:v>
                </c:pt>
                <c:pt idx="19">
                  <c:v>0.3668819665876325</c:v>
                </c:pt>
                <c:pt idx="20">
                  <c:v>0.331001914739526</c:v>
                </c:pt>
                <c:pt idx="21">
                  <c:v>0.30440180080467849</c:v>
                </c:pt>
              </c:numCache>
            </c:numRef>
          </c:val>
          <c:extLst>
            <c:ext xmlns:c16="http://schemas.microsoft.com/office/drawing/2014/chart" uri="{C3380CC4-5D6E-409C-BE32-E72D297353CC}">
              <c16:uniqueId val="{00000001-9A13-4A2B-BFED-C1F409A1B82C}"/>
            </c:ext>
          </c:extLst>
        </c:ser>
        <c:ser>
          <c:idx val="2"/>
          <c:order val="2"/>
          <c:tx>
            <c:strRef>
              <c:f>'Tab1 &amp; Fig3,4,5 -SME nrs_shares'!$F$28</c:f>
              <c:strCache>
                <c:ptCount val="1"/>
                <c:pt idx="0">
                  <c:v>Research/public</c:v>
                </c:pt>
              </c:strCache>
            </c:strRef>
          </c:tx>
          <c:spPr>
            <a:solidFill>
              <a:schemeClr val="accent3"/>
            </a:solidFill>
            <a:ln>
              <a:noFill/>
            </a:ln>
            <a:effectLst/>
          </c:spPr>
          <c:invertIfNegative val="0"/>
          <c:cat>
            <c:numRef>
              <c:f>'Tab1 &amp; Fig3,4,5 -SME nrs_shares'!$B$29:$B$50</c:f>
              <c:numCache>
                <c:formatCode>General</c:formatCode>
                <c:ptCount val="22"/>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pt idx="21">
                  <c:v>2021</c:v>
                </c:pt>
              </c:numCache>
            </c:numRef>
          </c:cat>
          <c:val>
            <c:numRef>
              <c:f>'Tab1 &amp; Fig3,4,5 -SME nrs_shares'!$F$29:$F$50</c:f>
              <c:numCache>
                <c:formatCode>0.0%</c:formatCode>
                <c:ptCount val="22"/>
                <c:pt idx="0">
                  <c:v>1.9061279181686074E-3</c:v>
                </c:pt>
                <c:pt idx="1">
                  <c:v>1.463933989885547E-3</c:v>
                </c:pt>
                <c:pt idx="2">
                  <c:v>2.4306652730852435E-3</c:v>
                </c:pt>
                <c:pt idx="3">
                  <c:v>1.2784795634087701E-3</c:v>
                </c:pt>
                <c:pt idx="4">
                  <c:v>1.9682030115416955E-3</c:v>
                </c:pt>
                <c:pt idx="5">
                  <c:v>2.1276184213071315E-3</c:v>
                </c:pt>
                <c:pt idx="6">
                  <c:v>2.7005177425735763E-3</c:v>
                </c:pt>
                <c:pt idx="7">
                  <c:v>2.1387247661250617E-3</c:v>
                </c:pt>
                <c:pt idx="8">
                  <c:v>2.4932507543274575E-3</c:v>
                </c:pt>
                <c:pt idx="9">
                  <c:v>3.0337325914049484E-3</c:v>
                </c:pt>
                <c:pt idx="10">
                  <c:v>2.6340996168582377E-3</c:v>
                </c:pt>
                <c:pt idx="11">
                  <c:v>2.7772979150332876E-3</c:v>
                </c:pt>
                <c:pt idx="12">
                  <c:v>2.8152125746161668E-3</c:v>
                </c:pt>
                <c:pt idx="13">
                  <c:v>2.7480877361835774E-3</c:v>
                </c:pt>
                <c:pt idx="14">
                  <c:v>2.717391304347826E-3</c:v>
                </c:pt>
                <c:pt idx="15">
                  <c:v>2.200125105153038E-3</c:v>
                </c:pt>
                <c:pt idx="16">
                  <c:v>2.067595235453711E-3</c:v>
                </c:pt>
                <c:pt idx="17">
                  <c:v>1.8996590355577203E-3</c:v>
                </c:pt>
                <c:pt idx="18">
                  <c:v>2.1203855925870574E-3</c:v>
                </c:pt>
                <c:pt idx="19">
                  <c:v>2.1984211339129171E-3</c:v>
                </c:pt>
                <c:pt idx="20">
                  <c:v>1.7659255731817414E-3</c:v>
                </c:pt>
                <c:pt idx="21">
                  <c:v>2.1313510522143614E-3</c:v>
                </c:pt>
              </c:numCache>
            </c:numRef>
          </c:val>
          <c:extLst>
            <c:ext xmlns:c16="http://schemas.microsoft.com/office/drawing/2014/chart" uri="{C3380CC4-5D6E-409C-BE32-E72D297353CC}">
              <c16:uniqueId val="{00000002-9A13-4A2B-BFED-C1F409A1B82C}"/>
            </c:ext>
          </c:extLst>
        </c:ser>
        <c:ser>
          <c:idx val="3"/>
          <c:order val="3"/>
          <c:tx>
            <c:strRef>
              <c:f>'Tab1 &amp; Fig3,4,5 -SME nrs_shares'!$G$28</c:f>
              <c:strCache>
                <c:ptCount val="1"/>
                <c:pt idx="0">
                  <c:v>Other</c:v>
                </c:pt>
              </c:strCache>
            </c:strRef>
          </c:tx>
          <c:spPr>
            <a:solidFill>
              <a:schemeClr val="accent4"/>
            </a:solidFill>
            <a:ln>
              <a:noFill/>
            </a:ln>
            <a:effectLst/>
          </c:spPr>
          <c:invertIfNegative val="0"/>
          <c:cat>
            <c:numRef>
              <c:f>'Tab1 &amp; Fig3,4,5 -SME nrs_shares'!$B$29:$B$50</c:f>
              <c:numCache>
                <c:formatCode>General</c:formatCode>
                <c:ptCount val="22"/>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pt idx="21">
                  <c:v>2021</c:v>
                </c:pt>
              </c:numCache>
            </c:numRef>
          </c:cat>
          <c:val>
            <c:numRef>
              <c:f>'Tab1 &amp; Fig3,4,5 -SME nrs_shares'!$G$29:$G$50</c:f>
              <c:numCache>
                <c:formatCode>0%</c:formatCode>
                <c:ptCount val="22"/>
                <c:pt idx="0">
                  <c:v>7.1206144903466884E-2</c:v>
                </c:pt>
                <c:pt idx="1">
                  <c:v>5.7071244787507761E-2</c:v>
                </c:pt>
                <c:pt idx="2">
                  <c:v>3.3713327337692327E-2</c:v>
                </c:pt>
                <c:pt idx="3">
                  <c:v>2.9042476052360416E-2</c:v>
                </c:pt>
                <c:pt idx="4">
                  <c:v>2.0503707100817854E-2</c:v>
                </c:pt>
                <c:pt idx="5">
                  <c:v>1.8916461963985224E-2</c:v>
                </c:pt>
                <c:pt idx="6">
                  <c:v>1.7303954452414127E-2</c:v>
                </c:pt>
                <c:pt idx="7">
                  <c:v>1.5755785327424915E-2</c:v>
                </c:pt>
                <c:pt idx="8">
                  <c:v>1.3371446720660632E-2</c:v>
                </c:pt>
                <c:pt idx="9">
                  <c:v>1.1663365714106071E-2</c:v>
                </c:pt>
                <c:pt idx="10">
                  <c:v>1.0550484561640748E-2</c:v>
                </c:pt>
                <c:pt idx="11">
                  <c:v>1.0404900801296958E-2</c:v>
                </c:pt>
                <c:pt idx="12">
                  <c:v>1.097411568438339E-2</c:v>
                </c:pt>
                <c:pt idx="13">
                  <c:v>1.6095942454789524E-2</c:v>
                </c:pt>
                <c:pt idx="14">
                  <c:v>1.1651115813774529E-2</c:v>
                </c:pt>
                <c:pt idx="15">
                  <c:v>1.077414205905826E-2</c:v>
                </c:pt>
                <c:pt idx="16">
                  <c:v>1.1911365722296745E-2</c:v>
                </c:pt>
                <c:pt idx="17">
                  <c:v>1.2284461763273259E-2</c:v>
                </c:pt>
                <c:pt idx="18">
                  <c:v>1.1181064115976686E-2</c:v>
                </c:pt>
                <c:pt idx="19">
                  <c:v>1.1664350148529692E-2</c:v>
                </c:pt>
                <c:pt idx="20">
                  <c:v>1.3928985981725647E-2</c:v>
                </c:pt>
                <c:pt idx="21">
                  <c:v>2.0640452295128554E-3</c:v>
                </c:pt>
              </c:numCache>
            </c:numRef>
          </c:val>
          <c:extLst>
            <c:ext xmlns:c16="http://schemas.microsoft.com/office/drawing/2014/chart" uri="{C3380CC4-5D6E-409C-BE32-E72D297353CC}">
              <c16:uniqueId val="{00000003-9A13-4A2B-BFED-C1F409A1B82C}"/>
            </c:ext>
          </c:extLst>
        </c:ser>
        <c:dLbls>
          <c:showLegendKey val="0"/>
          <c:showVal val="0"/>
          <c:showCatName val="0"/>
          <c:showSerName val="0"/>
          <c:showPercent val="0"/>
          <c:showBubbleSize val="0"/>
        </c:dLbls>
        <c:gapWidth val="150"/>
        <c:overlap val="100"/>
        <c:axId val="580818832"/>
        <c:axId val="580820800"/>
      </c:barChart>
      <c:catAx>
        <c:axId val="5808188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Segoe UI" panose="020B0502040204020203" pitchFamily="34" charset="0"/>
                <a:ea typeface="+mn-ea"/>
                <a:cs typeface="Segoe UI" panose="020B0502040204020203" pitchFamily="34" charset="0"/>
              </a:defRPr>
            </a:pPr>
            <a:endParaRPr lang="de-DE"/>
          </a:p>
        </c:txPr>
        <c:crossAx val="580820800"/>
        <c:crosses val="autoZero"/>
        <c:auto val="1"/>
        <c:lblAlgn val="ctr"/>
        <c:lblOffset val="100"/>
        <c:noMultiLvlLbl val="0"/>
      </c:catAx>
      <c:valAx>
        <c:axId val="580820800"/>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Segoe UI" panose="020B0502040204020203" pitchFamily="34" charset="0"/>
                <a:ea typeface="+mn-ea"/>
                <a:cs typeface="Segoe UI" panose="020B0502040204020203" pitchFamily="34" charset="0"/>
              </a:defRPr>
            </a:pPr>
            <a:endParaRPr lang="de-DE"/>
          </a:p>
        </c:txPr>
        <c:crossAx val="5808188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Segoe UI" panose="020B0502040204020203" pitchFamily="34" charset="0"/>
              <a:ea typeface="+mn-ea"/>
              <a:cs typeface="Segoe UI" panose="020B0502040204020203" pitchFamily="34" charset="0"/>
            </a:defRPr>
          </a:pPr>
          <a:endParaRPr lang="de-DE"/>
        </a:p>
      </c:txPr>
    </c:legend>
    <c:plotVisOnly val="1"/>
    <c:dispBlanksAs val="gap"/>
    <c:showDLblsOverMax val="0"/>
  </c:chart>
  <c:spPr>
    <a:solidFill>
      <a:schemeClr val="bg1"/>
    </a:solidFill>
    <a:ln w="9525" cap="flat" cmpd="sng" algn="ctr">
      <a:noFill/>
      <a:round/>
    </a:ln>
    <a:effectLst/>
  </c:spPr>
  <c:txPr>
    <a:bodyPr/>
    <a:lstStyle/>
    <a:p>
      <a:pPr>
        <a:defRPr>
          <a:latin typeface="Segoe UI" panose="020B0502040204020203" pitchFamily="34" charset="0"/>
          <a:cs typeface="Segoe UI" panose="020B0502040204020203" pitchFamily="34" charset="0"/>
        </a:defRPr>
      </a:pPr>
      <a:endParaRPr lang="de-DE"/>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Tabelle1!$B$1</c:f>
              <c:strCache>
                <c:ptCount val="1"/>
                <c:pt idx="0">
                  <c:v>reports collected</c:v>
                </c:pt>
              </c:strCache>
            </c:strRef>
          </c:tx>
          <c:spPr>
            <a:ln w="28575" cap="rnd">
              <a:solidFill>
                <a:schemeClr val="accent1"/>
              </a:solidFill>
              <a:round/>
            </a:ln>
            <a:effectLst/>
          </c:spPr>
          <c:marker>
            <c:symbol val="none"/>
          </c:marker>
          <c:cat>
            <c:numRef>
              <c:f>Tabelle1!$A$2:$A$24</c:f>
              <c:numCache>
                <c:formatCode>General</c:formatCode>
                <c:ptCount val="2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pt idx="21">
                  <c:v>2021</c:v>
                </c:pt>
                <c:pt idx="22">
                  <c:v>2022</c:v>
                </c:pt>
              </c:numCache>
            </c:numRef>
          </c:cat>
          <c:val>
            <c:numRef>
              <c:f>Tabelle1!$B$2:$B$24</c:f>
              <c:numCache>
                <c:formatCode>General</c:formatCode>
                <c:ptCount val="23"/>
                <c:pt idx="0">
                  <c:v>5</c:v>
                </c:pt>
                <c:pt idx="1">
                  <c:v>7</c:v>
                </c:pt>
                <c:pt idx="2">
                  <c:v>5</c:v>
                </c:pt>
                <c:pt idx="3">
                  <c:v>11</c:v>
                </c:pt>
                <c:pt idx="4">
                  <c:v>21</c:v>
                </c:pt>
                <c:pt idx="5">
                  <c:v>23</c:v>
                </c:pt>
                <c:pt idx="6">
                  <c:v>48</c:v>
                </c:pt>
                <c:pt idx="7">
                  <c:v>34</c:v>
                </c:pt>
                <c:pt idx="8">
                  <c:v>52</c:v>
                </c:pt>
                <c:pt idx="9">
                  <c:v>53</c:v>
                </c:pt>
                <c:pt idx="10">
                  <c:v>64</c:v>
                </c:pt>
                <c:pt idx="11">
                  <c:v>81</c:v>
                </c:pt>
                <c:pt idx="12">
                  <c:v>86</c:v>
                </c:pt>
                <c:pt idx="13">
                  <c:v>74</c:v>
                </c:pt>
                <c:pt idx="14">
                  <c:v>87</c:v>
                </c:pt>
                <c:pt idx="15">
                  <c:v>78</c:v>
                </c:pt>
                <c:pt idx="16">
                  <c:v>66</c:v>
                </c:pt>
                <c:pt idx="17">
                  <c:v>118</c:v>
                </c:pt>
                <c:pt idx="18">
                  <c:v>79</c:v>
                </c:pt>
                <c:pt idx="19">
                  <c:v>78</c:v>
                </c:pt>
                <c:pt idx="20">
                  <c:v>65</c:v>
                </c:pt>
                <c:pt idx="21">
                  <c:v>57</c:v>
                </c:pt>
                <c:pt idx="22">
                  <c:v>25</c:v>
                </c:pt>
              </c:numCache>
            </c:numRef>
          </c:val>
          <c:smooth val="0"/>
          <c:extLst>
            <c:ext xmlns:c16="http://schemas.microsoft.com/office/drawing/2014/chart" uri="{C3380CC4-5D6E-409C-BE32-E72D297353CC}">
              <c16:uniqueId val="{00000000-3472-4BD3-8778-1ED7425E90E0}"/>
            </c:ext>
          </c:extLst>
        </c:ser>
        <c:ser>
          <c:idx val="1"/>
          <c:order val="1"/>
          <c:tx>
            <c:strRef>
              <c:f>Tabelle1!$C$1</c:f>
              <c:strCache>
                <c:ptCount val="1"/>
                <c:pt idx="0">
                  <c:v>reports coded</c:v>
                </c:pt>
              </c:strCache>
            </c:strRef>
          </c:tx>
          <c:spPr>
            <a:ln w="28575" cap="rnd">
              <a:solidFill>
                <a:schemeClr val="accent2"/>
              </a:solidFill>
              <a:round/>
            </a:ln>
            <a:effectLst/>
          </c:spPr>
          <c:marker>
            <c:symbol val="none"/>
          </c:marker>
          <c:cat>
            <c:numRef>
              <c:f>Tabelle1!$A$2:$A$24</c:f>
              <c:numCache>
                <c:formatCode>General</c:formatCode>
                <c:ptCount val="2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pt idx="21">
                  <c:v>2021</c:v>
                </c:pt>
                <c:pt idx="22">
                  <c:v>2022</c:v>
                </c:pt>
              </c:numCache>
            </c:numRef>
          </c:cat>
          <c:val>
            <c:numRef>
              <c:f>Tabelle1!$C$2:$C$24</c:f>
              <c:numCache>
                <c:formatCode>General</c:formatCode>
                <c:ptCount val="23"/>
                <c:pt idx="0">
                  <c:v>2</c:v>
                </c:pt>
                <c:pt idx="1">
                  <c:v>6</c:v>
                </c:pt>
                <c:pt idx="2">
                  <c:v>4</c:v>
                </c:pt>
                <c:pt idx="3">
                  <c:v>9</c:v>
                </c:pt>
                <c:pt idx="4">
                  <c:v>13</c:v>
                </c:pt>
                <c:pt idx="5">
                  <c:v>17</c:v>
                </c:pt>
                <c:pt idx="6">
                  <c:v>37</c:v>
                </c:pt>
                <c:pt idx="7">
                  <c:v>30</c:v>
                </c:pt>
                <c:pt idx="8">
                  <c:v>52</c:v>
                </c:pt>
                <c:pt idx="9">
                  <c:v>50</c:v>
                </c:pt>
                <c:pt idx="10">
                  <c:v>54</c:v>
                </c:pt>
                <c:pt idx="11">
                  <c:v>71</c:v>
                </c:pt>
                <c:pt idx="12">
                  <c:v>82</c:v>
                </c:pt>
                <c:pt idx="13">
                  <c:v>74</c:v>
                </c:pt>
                <c:pt idx="14">
                  <c:v>86</c:v>
                </c:pt>
                <c:pt idx="15">
                  <c:v>76</c:v>
                </c:pt>
                <c:pt idx="16">
                  <c:v>60</c:v>
                </c:pt>
                <c:pt idx="17">
                  <c:v>55</c:v>
                </c:pt>
                <c:pt idx="18">
                  <c:v>21</c:v>
                </c:pt>
                <c:pt idx="19">
                  <c:v>19</c:v>
                </c:pt>
                <c:pt idx="20">
                  <c:v>14</c:v>
                </c:pt>
                <c:pt idx="21">
                  <c:v>16</c:v>
                </c:pt>
                <c:pt idx="22">
                  <c:v>15</c:v>
                </c:pt>
              </c:numCache>
            </c:numRef>
          </c:val>
          <c:smooth val="0"/>
          <c:extLst>
            <c:ext xmlns:c16="http://schemas.microsoft.com/office/drawing/2014/chart" uri="{C3380CC4-5D6E-409C-BE32-E72D297353CC}">
              <c16:uniqueId val="{00000001-3472-4BD3-8778-1ED7425E90E0}"/>
            </c:ext>
          </c:extLst>
        </c:ser>
        <c:dLbls>
          <c:showLegendKey val="0"/>
          <c:showVal val="0"/>
          <c:showCatName val="0"/>
          <c:showSerName val="0"/>
          <c:showPercent val="0"/>
          <c:showBubbleSize val="0"/>
        </c:dLbls>
        <c:smooth val="0"/>
        <c:axId val="693586288"/>
        <c:axId val="693581040"/>
      </c:lineChart>
      <c:catAx>
        <c:axId val="6935862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693581040"/>
        <c:crosses val="autoZero"/>
        <c:auto val="1"/>
        <c:lblAlgn val="ctr"/>
        <c:lblOffset val="100"/>
        <c:noMultiLvlLbl val="0"/>
      </c:catAx>
      <c:valAx>
        <c:axId val="693581040"/>
        <c:scaling>
          <c:orientation val="minMax"/>
          <c:max val="130"/>
          <c:min val="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6935862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537301537433816"/>
          <c:y val="4.3650793650793648E-2"/>
          <c:w val="0.71782732061894194"/>
          <c:h val="0.89109361329833769"/>
        </c:manualLayout>
      </c:layout>
      <c:barChart>
        <c:barDir val="bar"/>
        <c:grouping val="clustered"/>
        <c:varyColors val="0"/>
        <c:ser>
          <c:idx val="0"/>
          <c:order val="0"/>
          <c:tx>
            <c:strRef>
              <c:f>Tabelle1!$B$1</c:f>
              <c:strCache>
                <c:ptCount val="1"/>
                <c:pt idx="0">
                  <c:v>reports coded</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de-DE"/>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Tabelle1!$A$2:$A$12</c:f>
              <c:strCache>
                <c:ptCount val="11"/>
                <c:pt idx="0">
                  <c:v>Asia</c:v>
                </c:pt>
                <c:pt idx="1">
                  <c:v>Others</c:v>
                </c:pt>
                <c:pt idx="2">
                  <c:v>Scandinavian Countries</c:v>
                </c:pt>
                <c:pt idx="3">
                  <c:v>Other European Countries</c:v>
                </c:pt>
                <c:pt idx="4">
                  <c:v>Latin America</c:v>
                </c:pt>
                <c:pt idx="5">
                  <c:v>France</c:v>
                </c:pt>
                <c:pt idx="6">
                  <c:v>Germany</c:v>
                </c:pt>
                <c:pt idx="7">
                  <c:v>Canada</c:v>
                </c:pt>
                <c:pt idx="8">
                  <c:v>Supranational Body (mainly EU)</c:v>
                </c:pt>
                <c:pt idx="9">
                  <c:v>Austria</c:v>
                </c:pt>
                <c:pt idx="10">
                  <c:v>United Kingdom</c:v>
                </c:pt>
              </c:strCache>
            </c:strRef>
          </c:cat>
          <c:val>
            <c:numRef>
              <c:f>Tabelle1!$B$2:$B$12</c:f>
              <c:numCache>
                <c:formatCode>General</c:formatCode>
                <c:ptCount val="11"/>
                <c:pt idx="0">
                  <c:v>5</c:v>
                </c:pt>
                <c:pt idx="1">
                  <c:v>65</c:v>
                </c:pt>
                <c:pt idx="2">
                  <c:v>60</c:v>
                </c:pt>
                <c:pt idx="3">
                  <c:v>51</c:v>
                </c:pt>
                <c:pt idx="4">
                  <c:v>155</c:v>
                </c:pt>
                <c:pt idx="5">
                  <c:v>51</c:v>
                </c:pt>
                <c:pt idx="6">
                  <c:v>54</c:v>
                </c:pt>
                <c:pt idx="7">
                  <c:v>71</c:v>
                </c:pt>
                <c:pt idx="8">
                  <c:v>108</c:v>
                </c:pt>
                <c:pt idx="9">
                  <c:v>71</c:v>
                </c:pt>
                <c:pt idx="10">
                  <c:v>173</c:v>
                </c:pt>
              </c:numCache>
            </c:numRef>
          </c:val>
          <c:extLst>
            <c:ext xmlns:c16="http://schemas.microsoft.com/office/drawing/2014/chart" uri="{C3380CC4-5D6E-409C-BE32-E72D297353CC}">
              <c16:uniqueId val="{00000000-0D3F-460F-ABF8-5FD767EFA341}"/>
            </c:ext>
          </c:extLst>
        </c:ser>
        <c:ser>
          <c:idx val="1"/>
          <c:order val="1"/>
          <c:tx>
            <c:strRef>
              <c:f>Tabelle1!$C$1</c:f>
              <c:strCache>
                <c:ptCount val="1"/>
                <c:pt idx="0">
                  <c:v>reports collected</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de-DE"/>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Tabelle1!$A$2:$A$12</c:f>
              <c:strCache>
                <c:ptCount val="11"/>
                <c:pt idx="0">
                  <c:v>Asia</c:v>
                </c:pt>
                <c:pt idx="1">
                  <c:v>Others</c:v>
                </c:pt>
                <c:pt idx="2">
                  <c:v>Scandinavian Countries</c:v>
                </c:pt>
                <c:pt idx="3">
                  <c:v>Other European Countries</c:v>
                </c:pt>
                <c:pt idx="4">
                  <c:v>Latin America</c:v>
                </c:pt>
                <c:pt idx="5">
                  <c:v>France</c:v>
                </c:pt>
                <c:pt idx="6">
                  <c:v>Germany</c:v>
                </c:pt>
                <c:pt idx="7">
                  <c:v>Canada</c:v>
                </c:pt>
                <c:pt idx="8">
                  <c:v>Supranational Body (mainly EU)</c:v>
                </c:pt>
                <c:pt idx="9">
                  <c:v>Austria</c:v>
                </c:pt>
                <c:pt idx="10">
                  <c:v>United Kingdom</c:v>
                </c:pt>
              </c:strCache>
            </c:strRef>
          </c:cat>
          <c:val>
            <c:numRef>
              <c:f>Tabelle1!$C$2:$C$12</c:f>
              <c:numCache>
                <c:formatCode>General</c:formatCode>
                <c:ptCount val="11"/>
                <c:pt idx="0">
                  <c:v>13</c:v>
                </c:pt>
                <c:pt idx="1">
                  <c:v>112</c:v>
                </c:pt>
                <c:pt idx="2">
                  <c:v>122</c:v>
                </c:pt>
                <c:pt idx="3">
                  <c:v>138</c:v>
                </c:pt>
                <c:pt idx="4">
                  <c:v>160</c:v>
                </c:pt>
                <c:pt idx="5">
                  <c:v>61</c:v>
                </c:pt>
                <c:pt idx="6">
                  <c:v>79</c:v>
                </c:pt>
                <c:pt idx="7">
                  <c:v>86</c:v>
                </c:pt>
                <c:pt idx="8">
                  <c:v>135</c:v>
                </c:pt>
                <c:pt idx="9">
                  <c:v>140</c:v>
                </c:pt>
                <c:pt idx="10">
                  <c:v>177</c:v>
                </c:pt>
              </c:numCache>
            </c:numRef>
          </c:val>
          <c:extLst>
            <c:ext xmlns:c16="http://schemas.microsoft.com/office/drawing/2014/chart" uri="{C3380CC4-5D6E-409C-BE32-E72D297353CC}">
              <c16:uniqueId val="{00000001-0D3F-460F-ABF8-5FD767EFA341}"/>
            </c:ext>
          </c:extLst>
        </c:ser>
        <c:dLbls>
          <c:dLblPos val="outEnd"/>
          <c:showLegendKey val="0"/>
          <c:showVal val="1"/>
          <c:showCatName val="0"/>
          <c:showSerName val="0"/>
          <c:showPercent val="0"/>
          <c:showBubbleSize val="0"/>
        </c:dLbls>
        <c:gapWidth val="50"/>
        <c:overlap val="-6"/>
        <c:axId val="866882560"/>
        <c:axId val="866875344"/>
      </c:barChart>
      <c:catAx>
        <c:axId val="86688256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866875344"/>
        <c:crosses val="autoZero"/>
        <c:auto val="1"/>
        <c:lblAlgn val="ctr"/>
        <c:lblOffset val="100"/>
        <c:noMultiLvlLbl val="0"/>
      </c:catAx>
      <c:valAx>
        <c:axId val="866875344"/>
        <c:scaling>
          <c:orientation val="minMax"/>
        </c:scaling>
        <c:delete val="1"/>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866882560"/>
        <c:crosses val="autoZero"/>
        <c:crossBetween val="between"/>
      </c:valAx>
      <c:spPr>
        <a:noFill/>
        <a:ln>
          <a:noFill/>
        </a:ln>
        <a:effectLst/>
      </c:spPr>
    </c:plotArea>
    <c:legend>
      <c:legendPos val="b"/>
      <c:layout>
        <c:manualLayout>
          <c:xMode val="edge"/>
          <c:yMode val="edge"/>
          <c:x val="0.30899241761446483"/>
          <c:y val="0.93474440694913141"/>
          <c:w val="0.33238765849132906"/>
          <c:h val="5.862534562858787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3">
    <c:autoUpdate val="0"/>
  </c:externalData>
</c:chartSpace>
</file>

<file path=word/charts/chartEx1.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Feuil1!$I$2:$I$16</cx:f>
        <cx:lvl ptCount="15">
          <cx:pt idx="0">US</cx:pt>
          <cx:pt idx="1">CN</cx:pt>
          <cx:pt idx="2">JP</cx:pt>
          <cx:pt idx="3">DE</cx:pt>
          <cx:pt idx="4">GB</cx:pt>
          <cx:pt idx="5">KY</cx:pt>
          <cx:pt idx="6">FR</cx:pt>
          <cx:pt idx="7">TW</cx:pt>
          <cx:pt idx="8">KR</cx:pt>
          <cx:pt idx="9">SE</cx:pt>
          <cx:pt idx="10">NL</cx:pt>
          <cx:pt idx="11">CH</cx:pt>
          <cx:pt idx="12">IN</cx:pt>
          <cx:pt idx="13">IT</cx:pt>
          <cx:pt idx="14">ROW</cx:pt>
        </cx:lvl>
      </cx:strDim>
      <cx:numDim type="size">
        <cx:f>Feuil1!$J$2:$J$16</cx:f>
        <cx:lvl ptCount="15" formatCode="Standard">
          <cx:pt idx="0">477</cx:pt>
          <cx:pt idx="1">460</cx:pt>
          <cx:pt idx="2">309</cx:pt>
          <cx:pt idx="3">137</cx:pt>
          <cx:pt idx="4">115</cx:pt>
          <cx:pt idx="5">91</cx:pt>
          <cx:pt idx="6">84</cx:pt>
          <cx:pt idx="7">62</cx:pt>
          <cx:pt idx="8">58</cx:pt>
          <cx:pt idx="9">47</cx:pt>
          <cx:pt idx="10">45</cx:pt>
          <cx:pt idx="11">38</cx:pt>
          <cx:pt idx="12">35</cx:pt>
          <cx:pt idx="13">29</cx:pt>
          <cx:pt idx="14">319</cx:pt>
        </cx:lvl>
      </cx:numDim>
    </cx:data>
  </cx:chartData>
  <cx:chart>
    <cx:title pos="t" align="ctr" overlay="0">
      <cx:tx>
        <cx:txData>
          <cx:v>Distribution of CIB3 firms (GUO + iGUO) across countries</cx:v>
        </cx:txData>
      </cx:tx>
      <cx:txPr>
        <a:bodyPr spcFirstLastPara="1" vertOverflow="ellipsis" horzOverflow="overflow" wrap="square" lIns="0" tIns="0" rIns="0" bIns="0" anchor="ctr" anchorCtr="1"/>
        <a:lstStyle/>
        <a:p>
          <a:pPr algn="ctr" rtl="0">
            <a:defRPr b="1"/>
          </a:pPr>
          <a:r>
            <a:rPr lang="fr-FR" sz="1400" b="1" i="0" u="none" strike="noStrike" baseline="0">
              <a:solidFill>
                <a:sysClr val="windowText" lastClr="000000">
                  <a:lumMod val="65000"/>
                  <a:lumOff val="35000"/>
                </a:sysClr>
              </a:solidFill>
              <a:latin typeface="Calibri" panose="020F0502020204030204"/>
            </a:rPr>
            <a:t>Distribution of CIB3 firms (GUO + iGUO) across countries</a:t>
          </a:r>
        </a:p>
      </cx:txPr>
    </cx:title>
    <cx:plotArea>
      <cx:plotAreaRegion>
        <cx:series layoutId="treemap" uniqueId="{501E45C5-E038-5449-809B-615DEABDE294}">
          <cx:tx>
            <cx:txData>
              <cx:f>Feuil1!$J$1</cx:f>
              <cx:v>Nombre de Ctry</cx:v>
            </cx:txData>
          </cx:tx>
          <cx:dataLabels pos="inEnd">
            <cx:visibility seriesName="0" categoryName="1" value="0"/>
          </cx:dataLabels>
          <cx:dataId val="0"/>
          <cx:layoutPr>
            <cx:parentLabelLayout val="overlapping"/>
          </cx:layoutPr>
        </cx:series>
      </cx:plotAreaRegion>
    </cx:plotArea>
    <cx:legend pos="t" align="ctr" overlay="0"/>
  </cx:chart>
</cx: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withinLinear" id="16">
  <a:schemeClr val="accent3"/>
</cs:colorStyle>
</file>

<file path=word/charts/colors4.xml><?xml version="1.0" encoding="utf-8"?>
<cs:colorStyle xmlns:cs="http://schemas.microsoft.com/office/drawing/2012/chartStyle" xmlns:a="http://schemas.openxmlformats.org/drawingml/2006/main" meth="withinLinear" id="14">
  <a:schemeClr val="accent1"/>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410">
  <cs:axisTitle>
    <cs:lnRef idx="0"/>
    <cs:fillRef idx="0"/>
    <cs:effectRef idx="0"/>
    <cs:fontRef idx="minor">
      <a:schemeClr val="tx1">
        <a:lumMod val="65000"/>
        <a:lumOff val="35000"/>
      </a:schemeClr>
    </cs:fontRef>
    <cs:spPr>
      <a:solidFill>
        <a:schemeClr val="bg1">
          <a:lumMod val="65000"/>
        </a:schemeClr>
      </a:solidFill>
      <a:ln w="19050">
        <a:solidFill>
          <a:schemeClr val="bg1"/>
        </a:solidFill>
      </a:ln>
    </cs:spPr>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lt1"/>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ln w="19050">
        <a:solidFill>
          <a:schemeClr val="lt1"/>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62773662606E43A4B9870BD233352EF7"/>
        <w:category>
          <w:name w:val="Allgemein"/>
          <w:gallery w:val="placeholder"/>
        </w:category>
        <w:types>
          <w:type w:val="bbPlcHdr"/>
        </w:types>
        <w:behaviors>
          <w:behavior w:val="content"/>
        </w:behaviors>
        <w:guid w:val="{4AE2526E-1208-413D-B145-D92205EAEB33}"/>
      </w:docPartPr>
      <w:docPartBody>
        <w:p w:rsidR="00E17C3D" w:rsidRDefault="001F15CA" w:rsidP="001F15CA">
          <w:pPr>
            <w:pStyle w:val="62773662606E43A4B9870BD233352EF7"/>
          </w:pPr>
          <w:r w:rsidRPr="00FD5567">
            <w:rPr>
              <w:rStyle w:val="Platzhaltertext"/>
            </w:rPr>
            <w:t>Klicken oder tippen Sie hier, um Text einzugeben.</w:t>
          </w:r>
        </w:p>
      </w:docPartBody>
    </w:docPart>
    <w:docPart>
      <w:docPartPr>
        <w:name w:val="444BF6E0F03D436D9F7645A38A24D834"/>
        <w:category>
          <w:name w:val="Allgemein"/>
          <w:gallery w:val="placeholder"/>
        </w:category>
        <w:types>
          <w:type w:val="bbPlcHdr"/>
        </w:types>
        <w:behaviors>
          <w:behavior w:val="content"/>
        </w:behaviors>
        <w:guid w:val="{01FF054A-D7BE-40CB-81D6-E5CA1BE512CC}"/>
      </w:docPartPr>
      <w:docPartBody>
        <w:p w:rsidR="00E17C3D" w:rsidRDefault="001F15CA" w:rsidP="001F15CA">
          <w:pPr>
            <w:pStyle w:val="444BF6E0F03D436D9F7645A38A24D834"/>
          </w:pPr>
          <w:r w:rsidRPr="00FD5567">
            <w:rPr>
              <w:rStyle w:val="Platzhaltertext"/>
            </w:rPr>
            <w:t>Klicken oder tippen Sie hier, um Text einzugeben.</w:t>
          </w:r>
        </w:p>
      </w:docPartBody>
    </w:docPart>
    <w:docPart>
      <w:docPartPr>
        <w:name w:val="4C4555691C5C4B31A62FDB65335D0487"/>
        <w:category>
          <w:name w:val="Allgemein"/>
          <w:gallery w:val="placeholder"/>
        </w:category>
        <w:types>
          <w:type w:val="bbPlcHdr"/>
        </w:types>
        <w:behaviors>
          <w:behavior w:val="content"/>
        </w:behaviors>
        <w:guid w:val="{BAA333B0-A83F-469F-AA3E-976C1F0517C1}"/>
      </w:docPartPr>
      <w:docPartBody>
        <w:p w:rsidR="007D5B6E" w:rsidRDefault="00E17C3D" w:rsidP="00E17C3D">
          <w:pPr>
            <w:pStyle w:val="4C4555691C5C4B31A62FDB65335D0487"/>
          </w:pPr>
          <w:r w:rsidRPr="001B6E0F">
            <w:rPr>
              <w:rStyle w:val="Platzhaltertext"/>
            </w:rPr>
            <w:t>Formatting...</w:t>
          </w:r>
        </w:p>
      </w:docPartBody>
    </w:docPart>
    <w:docPart>
      <w:docPartPr>
        <w:name w:val="62662A0EF1EA42EA8D82ABAC8D23B939"/>
        <w:category>
          <w:name w:val="Allgemein"/>
          <w:gallery w:val="placeholder"/>
        </w:category>
        <w:types>
          <w:type w:val="bbPlcHdr"/>
        </w:types>
        <w:behaviors>
          <w:behavior w:val="content"/>
        </w:behaviors>
        <w:guid w:val="{D1FB96C8-86B3-4D59-804E-D9B462805490}"/>
      </w:docPartPr>
      <w:docPartBody>
        <w:p w:rsidR="007D5B6E" w:rsidRDefault="00E17C3D" w:rsidP="00E17C3D">
          <w:pPr>
            <w:pStyle w:val="62662A0EF1EA42EA8D82ABAC8D23B939"/>
          </w:pPr>
          <w:r w:rsidRPr="001B6E0F">
            <w:rPr>
              <w:rStyle w:val="Platzhaltertext"/>
            </w:rPr>
            <w:t>Formatting...</w:t>
          </w:r>
        </w:p>
      </w:docPartBody>
    </w:docPart>
    <w:docPart>
      <w:docPartPr>
        <w:name w:val="E21EA81C6BAA42F3B078C4E72BD71277"/>
        <w:category>
          <w:name w:val="Allgemein"/>
          <w:gallery w:val="placeholder"/>
        </w:category>
        <w:types>
          <w:type w:val="bbPlcHdr"/>
        </w:types>
        <w:behaviors>
          <w:behavior w:val="content"/>
        </w:behaviors>
        <w:guid w:val="{04E0EC4D-F121-4774-93BE-FDBC028CD0B0}"/>
      </w:docPartPr>
      <w:docPartBody>
        <w:p w:rsidR="007D5B6E" w:rsidRDefault="00E17C3D" w:rsidP="00E17C3D">
          <w:pPr>
            <w:pStyle w:val="E21EA81C6BAA42F3B078C4E72BD71277"/>
          </w:pPr>
          <w:r w:rsidRPr="001B6E0F">
            <w:rPr>
              <w:rStyle w:val="Platzhaltertext"/>
            </w:rPr>
            <w:t>Formatting...</w:t>
          </w:r>
        </w:p>
      </w:docPartBody>
    </w:docPart>
    <w:docPart>
      <w:docPartPr>
        <w:name w:val="3216C51E24D747159066C44EEC697C06"/>
        <w:category>
          <w:name w:val="Allgemein"/>
          <w:gallery w:val="placeholder"/>
        </w:category>
        <w:types>
          <w:type w:val="bbPlcHdr"/>
        </w:types>
        <w:behaviors>
          <w:behavior w:val="content"/>
        </w:behaviors>
        <w:guid w:val="{5CC95A11-8FFB-4A4B-A674-60EA4359EFA2}"/>
      </w:docPartPr>
      <w:docPartBody>
        <w:p w:rsidR="007D5B6E" w:rsidRDefault="00E17C3D" w:rsidP="00E17C3D">
          <w:pPr>
            <w:pStyle w:val="3216C51E24D747159066C44EEC697C06"/>
          </w:pPr>
          <w:r>
            <w:rPr>
              <w:rStyle w:val="Platzhaltertext"/>
            </w:rPr>
            <w:t>Formatting...</w:t>
          </w:r>
        </w:p>
      </w:docPartBody>
    </w:docPart>
    <w:docPart>
      <w:docPartPr>
        <w:name w:val="380065E1BAF841B295E71D48B3BF6CF2"/>
        <w:category>
          <w:name w:val="Allgemein"/>
          <w:gallery w:val="placeholder"/>
        </w:category>
        <w:types>
          <w:type w:val="bbPlcHdr"/>
        </w:types>
        <w:behaviors>
          <w:behavior w:val="content"/>
        </w:behaviors>
        <w:guid w:val="{B8DB6C33-514A-4652-9DFB-9D67B342BBD4}"/>
      </w:docPartPr>
      <w:docPartBody>
        <w:p w:rsidR="007D5B6E" w:rsidRDefault="00E17C3D" w:rsidP="00E17C3D">
          <w:pPr>
            <w:pStyle w:val="380065E1BAF841B295E71D48B3BF6CF2"/>
          </w:pPr>
          <w:r>
            <w:rPr>
              <w:rStyle w:val="Platzhaltertext"/>
            </w:rPr>
            <w:t>Formatting...</w:t>
          </w:r>
        </w:p>
      </w:docPartBody>
    </w:docPart>
    <w:docPart>
      <w:docPartPr>
        <w:name w:val="106F1AD108A74E338062C2563D29736D"/>
        <w:category>
          <w:name w:val="Allgemein"/>
          <w:gallery w:val="placeholder"/>
        </w:category>
        <w:types>
          <w:type w:val="bbPlcHdr"/>
        </w:types>
        <w:behaviors>
          <w:behavior w:val="content"/>
        </w:behaviors>
        <w:guid w:val="{A4698ADA-4721-4C8F-BE94-69D9DEC7BD0B}"/>
      </w:docPartPr>
      <w:docPartBody>
        <w:p w:rsidR="007D5B6E" w:rsidRDefault="00E17C3D" w:rsidP="00E17C3D">
          <w:pPr>
            <w:pStyle w:val="106F1AD108A74E338062C2563D29736D"/>
          </w:pPr>
          <w:r>
            <w:rPr>
              <w:rStyle w:val="Platzhaltertext"/>
            </w:rPr>
            <w:t>Formatting...</w:t>
          </w:r>
        </w:p>
      </w:docPartBody>
    </w:docPart>
    <w:docPart>
      <w:docPartPr>
        <w:name w:val="513C994187CB4D49955230DB02B70411"/>
        <w:category>
          <w:name w:val="Allgemein"/>
          <w:gallery w:val="placeholder"/>
        </w:category>
        <w:types>
          <w:type w:val="bbPlcHdr"/>
        </w:types>
        <w:behaviors>
          <w:behavior w:val="content"/>
        </w:behaviors>
        <w:guid w:val="{966D1C65-641D-4D70-8D50-E71102B324F8}"/>
      </w:docPartPr>
      <w:docPartBody>
        <w:p w:rsidR="007D5B6E" w:rsidRDefault="00E17C3D" w:rsidP="00E17C3D">
          <w:pPr>
            <w:pStyle w:val="513C994187CB4D49955230DB02B70411"/>
          </w:pPr>
          <w:r>
            <w:rPr>
              <w:rStyle w:val="Platzhaltertext"/>
            </w:rPr>
            <w:t>Formatting...</w:t>
          </w:r>
        </w:p>
      </w:docPartBody>
    </w:docPart>
    <w:docPart>
      <w:docPartPr>
        <w:name w:val="6A38A2221D8B46B6A97812657DEFB3AB"/>
        <w:category>
          <w:name w:val="Allgemein"/>
          <w:gallery w:val="placeholder"/>
        </w:category>
        <w:types>
          <w:type w:val="bbPlcHdr"/>
        </w:types>
        <w:behaviors>
          <w:behavior w:val="content"/>
        </w:behaviors>
        <w:guid w:val="{24C35C6F-C0DC-484D-840A-14220F40BD33}"/>
      </w:docPartPr>
      <w:docPartBody>
        <w:p w:rsidR="007D5B6E" w:rsidRDefault="00E17C3D" w:rsidP="00E17C3D">
          <w:pPr>
            <w:pStyle w:val="6A38A2221D8B46B6A97812657DEFB3AB"/>
          </w:pPr>
          <w:r>
            <w:rPr>
              <w:rStyle w:val="Platzhaltertext"/>
            </w:rPr>
            <w:t>Formatting...</w:t>
          </w:r>
        </w:p>
      </w:docPartBody>
    </w:docPart>
    <w:docPart>
      <w:docPartPr>
        <w:name w:val="21BB85600CB3440192B2EE20029317ED"/>
        <w:category>
          <w:name w:val="Allgemein"/>
          <w:gallery w:val="placeholder"/>
        </w:category>
        <w:types>
          <w:type w:val="bbPlcHdr"/>
        </w:types>
        <w:behaviors>
          <w:behavior w:val="content"/>
        </w:behaviors>
        <w:guid w:val="{E0C9ADD0-37DC-4F43-A0B3-CF785FBDE510}"/>
      </w:docPartPr>
      <w:docPartBody>
        <w:p w:rsidR="007D5B6E" w:rsidRDefault="00E17C3D" w:rsidP="00E17C3D">
          <w:pPr>
            <w:pStyle w:val="21BB85600CB3440192B2EE20029317ED"/>
          </w:pPr>
          <w:r>
            <w:rPr>
              <w:rStyle w:val="Platzhaltertext"/>
            </w:rPr>
            <w:t>Formatting...</w:t>
          </w:r>
        </w:p>
      </w:docPartBody>
    </w:docPart>
    <w:docPart>
      <w:docPartPr>
        <w:name w:val="F49E3FE3351A49DBA6125391FEE3E9A9"/>
        <w:category>
          <w:name w:val="Allgemein"/>
          <w:gallery w:val="placeholder"/>
        </w:category>
        <w:types>
          <w:type w:val="bbPlcHdr"/>
        </w:types>
        <w:behaviors>
          <w:behavior w:val="content"/>
        </w:behaviors>
        <w:guid w:val="{D2D534D3-B41D-4DBF-BA27-B0D5409E3A02}"/>
      </w:docPartPr>
      <w:docPartBody>
        <w:p w:rsidR="007D5B6E" w:rsidRDefault="00E17C3D" w:rsidP="00E17C3D">
          <w:pPr>
            <w:pStyle w:val="F49E3FE3351A49DBA6125391FEE3E9A9"/>
          </w:pPr>
          <w:r>
            <w:rPr>
              <w:rStyle w:val="Platzhaltertext"/>
            </w:rPr>
            <w:t>Formatting...</w:t>
          </w:r>
        </w:p>
      </w:docPartBody>
    </w:docPart>
    <w:docPart>
      <w:docPartPr>
        <w:name w:val="4D3EF2ACD2004604BC87B614E70373BC"/>
        <w:category>
          <w:name w:val="Allgemein"/>
          <w:gallery w:val="placeholder"/>
        </w:category>
        <w:types>
          <w:type w:val="bbPlcHdr"/>
        </w:types>
        <w:behaviors>
          <w:behavior w:val="content"/>
        </w:behaviors>
        <w:guid w:val="{16727CC2-1F72-40E6-907F-E8C9E1C4146E}"/>
      </w:docPartPr>
      <w:docPartBody>
        <w:p w:rsidR="007D5B6E" w:rsidRDefault="00E17C3D" w:rsidP="00E17C3D">
          <w:pPr>
            <w:pStyle w:val="4D3EF2ACD2004604BC87B614E70373BC"/>
          </w:pPr>
          <w:r>
            <w:rPr>
              <w:rStyle w:val="Platzhaltertext"/>
            </w:rPr>
            <w:t>Formatting...</w:t>
          </w:r>
        </w:p>
      </w:docPartBody>
    </w:docPart>
    <w:docPart>
      <w:docPartPr>
        <w:name w:val="EEBFCCCB08FD43A1AE35B0457151CE33"/>
        <w:category>
          <w:name w:val="Allgemein"/>
          <w:gallery w:val="placeholder"/>
        </w:category>
        <w:types>
          <w:type w:val="bbPlcHdr"/>
        </w:types>
        <w:behaviors>
          <w:behavior w:val="content"/>
        </w:behaviors>
        <w:guid w:val="{F17F18C5-9AE9-462B-B86E-AFFB9FC1CEF9}"/>
      </w:docPartPr>
      <w:docPartBody>
        <w:p w:rsidR="007D5B6E" w:rsidRDefault="00E17C3D" w:rsidP="00E17C3D">
          <w:pPr>
            <w:pStyle w:val="EEBFCCCB08FD43A1AE35B0457151CE33"/>
          </w:pPr>
          <w:r>
            <w:rPr>
              <w:rStyle w:val="Platzhaltertext"/>
            </w:rPr>
            <w:t>Formatting...</w:t>
          </w:r>
        </w:p>
      </w:docPartBody>
    </w:docPart>
    <w:docPart>
      <w:docPartPr>
        <w:name w:val="E2D65F0540344A69806A0BB343511975"/>
        <w:category>
          <w:name w:val="Allgemein"/>
          <w:gallery w:val="placeholder"/>
        </w:category>
        <w:types>
          <w:type w:val="bbPlcHdr"/>
        </w:types>
        <w:behaviors>
          <w:behavior w:val="content"/>
        </w:behaviors>
        <w:guid w:val="{8C8884F4-18C0-4346-8EEF-29545C9BA69A}"/>
      </w:docPartPr>
      <w:docPartBody>
        <w:p w:rsidR="007D5B6E" w:rsidRDefault="00E17C3D" w:rsidP="00E17C3D">
          <w:pPr>
            <w:pStyle w:val="E2D65F0540344A69806A0BB343511975"/>
          </w:pPr>
          <w:r>
            <w:rPr>
              <w:rStyle w:val="Platzhaltertext"/>
            </w:rPr>
            <w:t>Formatting...</w:t>
          </w:r>
        </w:p>
      </w:docPartBody>
    </w:docPart>
    <w:docPart>
      <w:docPartPr>
        <w:name w:val="DF598474B22246D58A409CCB1A84B002"/>
        <w:category>
          <w:name w:val="Allgemein"/>
          <w:gallery w:val="placeholder"/>
        </w:category>
        <w:types>
          <w:type w:val="bbPlcHdr"/>
        </w:types>
        <w:behaviors>
          <w:behavior w:val="content"/>
        </w:behaviors>
        <w:guid w:val="{096D9CEF-5182-43EC-896F-6BFE4F7E31A9}"/>
      </w:docPartPr>
      <w:docPartBody>
        <w:p w:rsidR="007D5B6E" w:rsidRDefault="00E17C3D" w:rsidP="00E17C3D">
          <w:pPr>
            <w:pStyle w:val="DF598474B22246D58A409CCB1A84B002"/>
          </w:pPr>
          <w:r>
            <w:rPr>
              <w:rStyle w:val="Platzhaltertext"/>
            </w:rPr>
            <w:t>Formatting...</w:t>
          </w:r>
        </w:p>
      </w:docPartBody>
    </w:docPart>
    <w:docPart>
      <w:docPartPr>
        <w:name w:val="F05139E144F44808B0AAE3C42365CE53"/>
        <w:category>
          <w:name w:val="Allgemein"/>
          <w:gallery w:val="placeholder"/>
        </w:category>
        <w:types>
          <w:type w:val="bbPlcHdr"/>
        </w:types>
        <w:behaviors>
          <w:behavior w:val="content"/>
        </w:behaviors>
        <w:guid w:val="{78A5D3A9-5F7D-4A8E-AB10-669C80C7B13A}"/>
      </w:docPartPr>
      <w:docPartBody>
        <w:p w:rsidR="007D5B6E" w:rsidRDefault="00E17C3D" w:rsidP="00E17C3D">
          <w:pPr>
            <w:pStyle w:val="F05139E144F44808B0AAE3C42365CE53"/>
          </w:pPr>
          <w:r>
            <w:rPr>
              <w:rStyle w:val="Platzhaltertext"/>
            </w:rPr>
            <w:t>Formatting...</w:t>
          </w:r>
        </w:p>
      </w:docPartBody>
    </w:docPart>
    <w:docPart>
      <w:docPartPr>
        <w:name w:val="752ACF8FCD404DE889282795DCDFF935"/>
        <w:category>
          <w:name w:val="Allgemein"/>
          <w:gallery w:val="placeholder"/>
        </w:category>
        <w:types>
          <w:type w:val="bbPlcHdr"/>
        </w:types>
        <w:behaviors>
          <w:behavior w:val="content"/>
        </w:behaviors>
        <w:guid w:val="{B2883431-CB8D-4932-85F9-77A5B1A79FB8}"/>
      </w:docPartPr>
      <w:docPartBody>
        <w:p w:rsidR="007D5B6E" w:rsidRDefault="00E17C3D" w:rsidP="00E17C3D">
          <w:pPr>
            <w:pStyle w:val="752ACF8FCD404DE889282795DCDFF935"/>
          </w:pPr>
          <w:r>
            <w:rPr>
              <w:rStyle w:val="Platzhaltertext"/>
            </w:rPr>
            <w:t>Formatting...</w:t>
          </w:r>
        </w:p>
      </w:docPartBody>
    </w:docPart>
    <w:docPart>
      <w:docPartPr>
        <w:name w:val="660CBFC976114125940BF0B17F68C245"/>
        <w:category>
          <w:name w:val="Allgemein"/>
          <w:gallery w:val="placeholder"/>
        </w:category>
        <w:types>
          <w:type w:val="bbPlcHdr"/>
        </w:types>
        <w:behaviors>
          <w:behavior w:val="content"/>
        </w:behaviors>
        <w:guid w:val="{4AACC40B-201E-4685-A24D-B314DD86EB1A}"/>
      </w:docPartPr>
      <w:docPartBody>
        <w:p w:rsidR="007D5B6E" w:rsidRDefault="00E17C3D" w:rsidP="00E17C3D">
          <w:pPr>
            <w:pStyle w:val="660CBFC976114125940BF0B17F68C245"/>
          </w:pPr>
          <w:r>
            <w:rPr>
              <w:rStyle w:val="Platzhaltertext"/>
            </w:rPr>
            <w:t>Formatting...</w:t>
          </w:r>
        </w:p>
      </w:docPartBody>
    </w:docPart>
    <w:docPart>
      <w:docPartPr>
        <w:name w:val="07BC2D21B28249848EBA86F0D8BCEFE6"/>
        <w:category>
          <w:name w:val="Allgemein"/>
          <w:gallery w:val="placeholder"/>
        </w:category>
        <w:types>
          <w:type w:val="bbPlcHdr"/>
        </w:types>
        <w:behaviors>
          <w:behavior w:val="content"/>
        </w:behaviors>
        <w:guid w:val="{1CE0408B-D9AF-4183-AD25-1BCACD21F408}"/>
      </w:docPartPr>
      <w:docPartBody>
        <w:p w:rsidR="007D5B6E" w:rsidRDefault="00E17C3D" w:rsidP="00E17C3D">
          <w:pPr>
            <w:pStyle w:val="07BC2D21B28249848EBA86F0D8BCEFE6"/>
          </w:pPr>
          <w:r>
            <w:rPr>
              <w:rStyle w:val="Platzhaltertext"/>
            </w:rPr>
            <w:t>Formatting...</w:t>
          </w:r>
        </w:p>
      </w:docPartBody>
    </w:docPart>
    <w:docPart>
      <w:docPartPr>
        <w:name w:val="828329957FDA47A4817926117C88AC2C"/>
        <w:category>
          <w:name w:val="Allgemein"/>
          <w:gallery w:val="placeholder"/>
        </w:category>
        <w:types>
          <w:type w:val="bbPlcHdr"/>
        </w:types>
        <w:behaviors>
          <w:behavior w:val="content"/>
        </w:behaviors>
        <w:guid w:val="{290F2AC7-579D-4808-95C3-00D3094DDD98}"/>
      </w:docPartPr>
      <w:docPartBody>
        <w:p w:rsidR="007D5B6E" w:rsidRDefault="00E17C3D" w:rsidP="00E17C3D">
          <w:pPr>
            <w:pStyle w:val="828329957FDA47A4817926117C88AC2C"/>
          </w:pPr>
          <w:r>
            <w:rPr>
              <w:rStyle w:val="Platzhaltertext"/>
            </w:rPr>
            <w:t>Formatting...</w:t>
          </w:r>
        </w:p>
      </w:docPartBody>
    </w:docPart>
    <w:docPart>
      <w:docPartPr>
        <w:name w:val="1D1FC446F6574C9C9FFF4D7D1EE17C9C"/>
        <w:category>
          <w:name w:val="Allgemein"/>
          <w:gallery w:val="placeholder"/>
        </w:category>
        <w:types>
          <w:type w:val="bbPlcHdr"/>
        </w:types>
        <w:behaviors>
          <w:behavior w:val="content"/>
        </w:behaviors>
        <w:guid w:val="{E0DC0A69-0438-4314-A415-3B7C7582B428}"/>
      </w:docPartPr>
      <w:docPartBody>
        <w:p w:rsidR="007D5B6E" w:rsidRDefault="00E17C3D" w:rsidP="00E17C3D">
          <w:pPr>
            <w:pStyle w:val="1D1FC446F6574C9C9FFF4D7D1EE17C9C"/>
          </w:pPr>
          <w:r>
            <w:rPr>
              <w:rStyle w:val="Platzhaltertext"/>
            </w:rPr>
            <w:t>Formatting...</w:t>
          </w:r>
        </w:p>
      </w:docPartBody>
    </w:docPart>
    <w:docPart>
      <w:docPartPr>
        <w:name w:val="FC61B253720148ADBE7D2B112504B422"/>
        <w:category>
          <w:name w:val="Allgemein"/>
          <w:gallery w:val="placeholder"/>
        </w:category>
        <w:types>
          <w:type w:val="bbPlcHdr"/>
        </w:types>
        <w:behaviors>
          <w:behavior w:val="content"/>
        </w:behaviors>
        <w:guid w:val="{2AAB7AB8-1B4B-4E22-A853-A8D771F4B770}"/>
      </w:docPartPr>
      <w:docPartBody>
        <w:p w:rsidR="007D5B6E" w:rsidRDefault="00E17C3D" w:rsidP="00E17C3D">
          <w:pPr>
            <w:pStyle w:val="FC61B253720148ADBE7D2B112504B422"/>
          </w:pPr>
          <w:r>
            <w:rPr>
              <w:rStyle w:val="Platzhaltertext"/>
            </w:rPr>
            <w:t>Formatting...</w:t>
          </w:r>
        </w:p>
      </w:docPartBody>
    </w:docPart>
    <w:docPart>
      <w:docPartPr>
        <w:name w:val="C1329AE0788640958EC2C6348117535C"/>
        <w:category>
          <w:name w:val="Allgemein"/>
          <w:gallery w:val="placeholder"/>
        </w:category>
        <w:types>
          <w:type w:val="bbPlcHdr"/>
        </w:types>
        <w:behaviors>
          <w:behavior w:val="content"/>
        </w:behaviors>
        <w:guid w:val="{EF1F84EE-B34C-4E60-98E8-16A1D80CA5B8}"/>
      </w:docPartPr>
      <w:docPartBody>
        <w:p w:rsidR="007D5B6E" w:rsidRDefault="00E17C3D" w:rsidP="00E17C3D">
          <w:pPr>
            <w:pStyle w:val="C1329AE0788640958EC2C6348117535C"/>
          </w:pPr>
          <w:r>
            <w:rPr>
              <w:rStyle w:val="Platzhaltertext"/>
            </w:rPr>
            <w:t>Formatting...</w:t>
          </w:r>
        </w:p>
      </w:docPartBody>
    </w:docPart>
    <w:docPart>
      <w:docPartPr>
        <w:name w:val="817BC2459A364172AB7160831ABEC72C"/>
        <w:category>
          <w:name w:val="Allgemein"/>
          <w:gallery w:val="placeholder"/>
        </w:category>
        <w:types>
          <w:type w:val="bbPlcHdr"/>
        </w:types>
        <w:behaviors>
          <w:behavior w:val="content"/>
        </w:behaviors>
        <w:guid w:val="{57C86CBC-A441-43B3-BDAF-8E2417529F53}"/>
      </w:docPartPr>
      <w:docPartBody>
        <w:p w:rsidR="007D5B6E" w:rsidRDefault="00E17C3D" w:rsidP="00E17C3D">
          <w:pPr>
            <w:pStyle w:val="817BC2459A364172AB7160831ABEC72C"/>
          </w:pPr>
          <w:r>
            <w:rPr>
              <w:rStyle w:val="Platzhaltertext"/>
            </w:rPr>
            <w:t>Formatting...</w:t>
          </w:r>
        </w:p>
      </w:docPartBody>
    </w:docPart>
    <w:docPart>
      <w:docPartPr>
        <w:name w:val="9FA56172887A4EC583375DDD215CB638"/>
        <w:category>
          <w:name w:val="Allgemein"/>
          <w:gallery w:val="placeholder"/>
        </w:category>
        <w:types>
          <w:type w:val="bbPlcHdr"/>
        </w:types>
        <w:behaviors>
          <w:behavior w:val="content"/>
        </w:behaviors>
        <w:guid w:val="{F883E53C-82C3-43AE-942D-FC93E6C963B7}"/>
      </w:docPartPr>
      <w:docPartBody>
        <w:p w:rsidR="007D5B6E" w:rsidRDefault="00E17C3D" w:rsidP="00E17C3D">
          <w:pPr>
            <w:pStyle w:val="9FA56172887A4EC583375DDD215CB638"/>
          </w:pPr>
          <w:r>
            <w:rPr>
              <w:rStyle w:val="Platzhaltertext"/>
            </w:rPr>
            <w:t>Formatting...</w:t>
          </w:r>
        </w:p>
      </w:docPartBody>
    </w:docPart>
    <w:docPart>
      <w:docPartPr>
        <w:name w:val="78F5B825BFD1486286BA45F0814BC21F"/>
        <w:category>
          <w:name w:val="Allgemein"/>
          <w:gallery w:val="placeholder"/>
        </w:category>
        <w:types>
          <w:type w:val="bbPlcHdr"/>
        </w:types>
        <w:behaviors>
          <w:behavior w:val="content"/>
        </w:behaviors>
        <w:guid w:val="{CBA77559-72FD-420C-B929-962FBD0AB1BE}"/>
      </w:docPartPr>
      <w:docPartBody>
        <w:p w:rsidR="007D5B6E" w:rsidRDefault="00E17C3D" w:rsidP="00E17C3D">
          <w:pPr>
            <w:pStyle w:val="78F5B825BFD1486286BA45F0814BC21F"/>
          </w:pPr>
          <w:r>
            <w:rPr>
              <w:rStyle w:val="Platzhaltertext"/>
            </w:rPr>
            <w:t>Formatting...</w:t>
          </w:r>
        </w:p>
      </w:docPartBody>
    </w:docPart>
    <w:docPart>
      <w:docPartPr>
        <w:name w:val="6ECA9584B1E44CC8A0DEF967B11A1DE5"/>
        <w:category>
          <w:name w:val="Allgemein"/>
          <w:gallery w:val="placeholder"/>
        </w:category>
        <w:types>
          <w:type w:val="bbPlcHdr"/>
        </w:types>
        <w:behaviors>
          <w:behavior w:val="content"/>
        </w:behaviors>
        <w:guid w:val="{737F969A-A094-4ED6-953A-052304B30E36}"/>
      </w:docPartPr>
      <w:docPartBody>
        <w:p w:rsidR="007D5B6E" w:rsidRDefault="00E17C3D" w:rsidP="00E17C3D">
          <w:pPr>
            <w:pStyle w:val="6ECA9584B1E44CC8A0DEF967B11A1DE5"/>
          </w:pPr>
          <w:r>
            <w:rPr>
              <w:rStyle w:val="Platzhaltertext"/>
            </w:rPr>
            <w:t>Formatting...</w:t>
          </w:r>
        </w:p>
      </w:docPartBody>
    </w:docPart>
    <w:docPart>
      <w:docPartPr>
        <w:name w:val="43A03215A8A34B38AB1D174864D420C2"/>
        <w:category>
          <w:name w:val="Allgemein"/>
          <w:gallery w:val="placeholder"/>
        </w:category>
        <w:types>
          <w:type w:val="bbPlcHdr"/>
        </w:types>
        <w:behaviors>
          <w:behavior w:val="content"/>
        </w:behaviors>
        <w:guid w:val="{0E72D535-E075-40A0-A6C7-C528C567211D}"/>
      </w:docPartPr>
      <w:docPartBody>
        <w:p w:rsidR="007D5B6E" w:rsidRDefault="00E17C3D" w:rsidP="00E17C3D">
          <w:pPr>
            <w:pStyle w:val="43A03215A8A34B38AB1D174864D420C2"/>
          </w:pPr>
          <w:r>
            <w:rPr>
              <w:rStyle w:val="Platzhaltertext"/>
            </w:rPr>
            <w:t>Formatting...</w:t>
          </w:r>
        </w:p>
      </w:docPartBody>
    </w:docPart>
    <w:docPart>
      <w:docPartPr>
        <w:name w:val="D07ECDCC70844EF29DCDC1EF8E6F887C"/>
        <w:category>
          <w:name w:val="Allgemein"/>
          <w:gallery w:val="placeholder"/>
        </w:category>
        <w:types>
          <w:type w:val="bbPlcHdr"/>
        </w:types>
        <w:behaviors>
          <w:behavior w:val="content"/>
        </w:behaviors>
        <w:guid w:val="{44D1D483-5F4F-4314-A6F3-B758BC5B490A}"/>
      </w:docPartPr>
      <w:docPartBody>
        <w:p w:rsidR="007D5B6E" w:rsidRDefault="00E17C3D" w:rsidP="00E17C3D">
          <w:pPr>
            <w:pStyle w:val="D07ECDCC70844EF29DCDC1EF8E6F887C"/>
          </w:pPr>
          <w:r>
            <w:rPr>
              <w:rStyle w:val="Platzhaltertext"/>
            </w:rPr>
            <w:t>Formatting...</w:t>
          </w:r>
        </w:p>
      </w:docPartBody>
    </w:docPart>
    <w:docPart>
      <w:docPartPr>
        <w:name w:val="7EB7D34C9443446686BDCA71467310E9"/>
        <w:category>
          <w:name w:val="Allgemein"/>
          <w:gallery w:val="placeholder"/>
        </w:category>
        <w:types>
          <w:type w:val="bbPlcHdr"/>
        </w:types>
        <w:behaviors>
          <w:behavior w:val="content"/>
        </w:behaviors>
        <w:guid w:val="{B32D4A8E-FAA4-4AAA-BA6C-43E241567085}"/>
      </w:docPartPr>
      <w:docPartBody>
        <w:p w:rsidR="004112D9" w:rsidRDefault="002C2C1E" w:rsidP="002C2C1E">
          <w:pPr>
            <w:pStyle w:val="7EB7D34C9443446686BDCA71467310E9"/>
          </w:pPr>
          <w:r w:rsidRPr="001B6E0F">
            <w:rPr>
              <w:rStyle w:val="Platzhaltertext"/>
            </w:rPr>
            <w:t>Formatting...</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w Cen MT">
    <w:panose1 w:val="020B0602020104020603"/>
    <w:charset w:val="00"/>
    <w:family w:val="swiss"/>
    <w:pitch w:val="variable"/>
    <w:sig w:usb0="00000007" w:usb1="00000000" w:usb2="00000000" w:usb3="00000000" w:csb0="00000003"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crosoft Sans Serif">
    <w:panose1 w:val="020B0604020202020204"/>
    <w:charset w:val="00"/>
    <w:family w:val="swiss"/>
    <w:pitch w:val="variable"/>
    <w:sig w:usb0="E5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formatting="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F15CA"/>
    <w:rsid w:val="001F15CA"/>
    <w:rsid w:val="002C2C1E"/>
    <w:rsid w:val="004112D9"/>
    <w:rsid w:val="007D5B6E"/>
    <w:rsid w:val="00E17C3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e-DE"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2C2C1E"/>
    <w:rPr>
      <w:color w:val="808080"/>
    </w:rPr>
  </w:style>
  <w:style w:type="paragraph" w:customStyle="1" w:styleId="62773662606E43A4B9870BD233352EF7">
    <w:name w:val="62773662606E43A4B9870BD233352EF7"/>
    <w:rsid w:val="001F15CA"/>
  </w:style>
  <w:style w:type="paragraph" w:customStyle="1" w:styleId="444BF6E0F03D436D9F7645A38A24D834">
    <w:name w:val="444BF6E0F03D436D9F7645A38A24D834"/>
    <w:rsid w:val="001F15CA"/>
  </w:style>
  <w:style w:type="paragraph" w:customStyle="1" w:styleId="4C4555691C5C4B31A62FDB65335D0487">
    <w:name w:val="4C4555691C5C4B31A62FDB65335D0487"/>
    <w:rsid w:val="00E17C3D"/>
  </w:style>
  <w:style w:type="paragraph" w:customStyle="1" w:styleId="62662A0EF1EA42EA8D82ABAC8D23B939">
    <w:name w:val="62662A0EF1EA42EA8D82ABAC8D23B939"/>
    <w:rsid w:val="00E17C3D"/>
  </w:style>
  <w:style w:type="paragraph" w:customStyle="1" w:styleId="E21EA81C6BAA42F3B078C4E72BD71277">
    <w:name w:val="E21EA81C6BAA42F3B078C4E72BD71277"/>
    <w:rsid w:val="00E17C3D"/>
  </w:style>
  <w:style w:type="paragraph" w:customStyle="1" w:styleId="3216C51E24D747159066C44EEC697C06">
    <w:name w:val="3216C51E24D747159066C44EEC697C06"/>
    <w:rsid w:val="00E17C3D"/>
  </w:style>
  <w:style w:type="paragraph" w:customStyle="1" w:styleId="380065E1BAF841B295E71D48B3BF6CF2">
    <w:name w:val="380065E1BAF841B295E71D48B3BF6CF2"/>
    <w:rsid w:val="00E17C3D"/>
  </w:style>
  <w:style w:type="paragraph" w:customStyle="1" w:styleId="106F1AD108A74E338062C2563D29736D">
    <w:name w:val="106F1AD108A74E338062C2563D29736D"/>
    <w:rsid w:val="00E17C3D"/>
  </w:style>
  <w:style w:type="paragraph" w:customStyle="1" w:styleId="513C994187CB4D49955230DB02B70411">
    <w:name w:val="513C994187CB4D49955230DB02B70411"/>
    <w:rsid w:val="00E17C3D"/>
  </w:style>
  <w:style w:type="paragraph" w:customStyle="1" w:styleId="6A38A2221D8B46B6A97812657DEFB3AB">
    <w:name w:val="6A38A2221D8B46B6A97812657DEFB3AB"/>
    <w:rsid w:val="00E17C3D"/>
  </w:style>
  <w:style w:type="paragraph" w:customStyle="1" w:styleId="21BB85600CB3440192B2EE20029317ED">
    <w:name w:val="21BB85600CB3440192B2EE20029317ED"/>
    <w:rsid w:val="00E17C3D"/>
  </w:style>
  <w:style w:type="paragraph" w:customStyle="1" w:styleId="F49E3FE3351A49DBA6125391FEE3E9A9">
    <w:name w:val="F49E3FE3351A49DBA6125391FEE3E9A9"/>
    <w:rsid w:val="00E17C3D"/>
  </w:style>
  <w:style w:type="paragraph" w:customStyle="1" w:styleId="4D3EF2ACD2004604BC87B614E70373BC">
    <w:name w:val="4D3EF2ACD2004604BC87B614E70373BC"/>
    <w:rsid w:val="00E17C3D"/>
  </w:style>
  <w:style w:type="paragraph" w:customStyle="1" w:styleId="EEBFCCCB08FD43A1AE35B0457151CE33">
    <w:name w:val="EEBFCCCB08FD43A1AE35B0457151CE33"/>
    <w:rsid w:val="00E17C3D"/>
  </w:style>
  <w:style w:type="paragraph" w:customStyle="1" w:styleId="E2D65F0540344A69806A0BB343511975">
    <w:name w:val="E2D65F0540344A69806A0BB343511975"/>
    <w:rsid w:val="00E17C3D"/>
  </w:style>
  <w:style w:type="paragraph" w:customStyle="1" w:styleId="DF598474B22246D58A409CCB1A84B002">
    <w:name w:val="DF598474B22246D58A409CCB1A84B002"/>
    <w:rsid w:val="00E17C3D"/>
  </w:style>
  <w:style w:type="paragraph" w:customStyle="1" w:styleId="F05139E144F44808B0AAE3C42365CE53">
    <w:name w:val="F05139E144F44808B0AAE3C42365CE53"/>
    <w:rsid w:val="00E17C3D"/>
  </w:style>
  <w:style w:type="paragraph" w:customStyle="1" w:styleId="752ACF8FCD404DE889282795DCDFF935">
    <w:name w:val="752ACF8FCD404DE889282795DCDFF935"/>
    <w:rsid w:val="00E17C3D"/>
  </w:style>
  <w:style w:type="paragraph" w:customStyle="1" w:styleId="660CBFC976114125940BF0B17F68C245">
    <w:name w:val="660CBFC976114125940BF0B17F68C245"/>
    <w:rsid w:val="00E17C3D"/>
  </w:style>
  <w:style w:type="paragraph" w:customStyle="1" w:styleId="07BC2D21B28249848EBA86F0D8BCEFE6">
    <w:name w:val="07BC2D21B28249848EBA86F0D8BCEFE6"/>
    <w:rsid w:val="00E17C3D"/>
  </w:style>
  <w:style w:type="paragraph" w:customStyle="1" w:styleId="828329957FDA47A4817926117C88AC2C">
    <w:name w:val="828329957FDA47A4817926117C88AC2C"/>
    <w:rsid w:val="00E17C3D"/>
  </w:style>
  <w:style w:type="paragraph" w:customStyle="1" w:styleId="1D1FC446F6574C9C9FFF4D7D1EE17C9C">
    <w:name w:val="1D1FC446F6574C9C9FFF4D7D1EE17C9C"/>
    <w:rsid w:val="00E17C3D"/>
  </w:style>
  <w:style w:type="paragraph" w:customStyle="1" w:styleId="FC61B253720148ADBE7D2B112504B422">
    <w:name w:val="FC61B253720148ADBE7D2B112504B422"/>
    <w:rsid w:val="00E17C3D"/>
  </w:style>
  <w:style w:type="paragraph" w:customStyle="1" w:styleId="C1329AE0788640958EC2C6348117535C">
    <w:name w:val="C1329AE0788640958EC2C6348117535C"/>
    <w:rsid w:val="00E17C3D"/>
  </w:style>
  <w:style w:type="paragraph" w:customStyle="1" w:styleId="817BC2459A364172AB7160831ABEC72C">
    <w:name w:val="817BC2459A364172AB7160831ABEC72C"/>
    <w:rsid w:val="00E17C3D"/>
  </w:style>
  <w:style w:type="paragraph" w:customStyle="1" w:styleId="9FA56172887A4EC583375DDD215CB638">
    <w:name w:val="9FA56172887A4EC583375DDD215CB638"/>
    <w:rsid w:val="00E17C3D"/>
  </w:style>
  <w:style w:type="paragraph" w:customStyle="1" w:styleId="78F5B825BFD1486286BA45F0814BC21F">
    <w:name w:val="78F5B825BFD1486286BA45F0814BC21F"/>
    <w:rsid w:val="00E17C3D"/>
  </w:style>
  <w:style w:type="paragraph" w:customStyle="1" w:styleId="6ECA9584B1E44CC8A0DEF967B11A1DE5">
    <w:name w:val="6ECA9584B1E44CC8A0DEF967B11A1DE5"/>
    <w:rsid w:val="00E17C3D"/>
  </w:style>
  <w:style w:type="paragraph" w:customStyle="1" w:styleId="43A03215A8A34B38AB1D174864D420C2">
    <w:name w:val="43A03215A8A34B38AB1D174864D420C2"/>
    <w:rsid w:val="00E17C3D"/>
  </w:style>
  <w:style w:type="paragraph" w:customStyle="1" w:styleId="D07ECDCC70844EF29DCDC1EF8E6F887C">
    <w:name w:val="D07ECDCC70844EF29DCDC1EF8E6F887C"/>
    <w:rsid w:val="00E17C3D"/>
  </w:style>
  <w:style w:type="paragraph" w:customStyle="1" w:styleId="7EB7D34C9443446686BDCA71467310E9">
    <w:name w:val="7EB7D34C9443446686BDCA71467310E9"/>
    <w:rsid w:val="002C2C1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Arial"/>
        <a:cs typeface="Arial"/>
      </a:majorFont>
      <a:minorFont>
        <a:latin typeface="Cambria"/>
        <a:ea typeface="Arial"/>
        <a:cs typeface="Arial"/>
      </a:minorFont>
    </a:fontScheme>
    <a:fmtScheme name="Bureau">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spDef>
      <a:spPr bwMode="auto"/>
      <a:bodyPr/>
      <a:lstStyle/>
      <a:style>
        <a:lnRef idx="1">
          <a:schemeClr val="accent1"/>
        </a:lnRef>
        <a:fillRef idx="3">
          <a:schemeClr val="accent1"/>
        </a:fillRef>
        <a:effectRef idx="2">
          <a:schemeClr val="accent1"/>
        </a:effectRef>
        <a:fontRef idx="minor">
          <a:schemeClr val="lt1"/>
        </a:fontRef>
      </a:style>
    </a:spDef>
    <a:lnDef>
      <a:spPr bwMode="auto"/>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theme/themeOverride1.xml><?xml version="1.0" encoding="utf-8"?>
<a:themeOverride xmlns:a="http://schemas.openxmlformats.org/drawingml/2006/main">
  <a:clrScheme name="Fraunhofer-Institut 3">
    <a:dk1>
      <a:srgbClr val="000000"/>
    </a:dk1>
    <a:lt1>
      <a:srgbClr val="FFFFFF"/>
    </a:lt1>
    <a:dk2>
      <a:srgbClr val="555555"/>
    </a:dk2>
    <a:lt2>
      <a:srgbClr val="79A7CF"/>
    </a:lt2>
    <a:accent1>
      <a:srgbClr val="179C7D"/>
    </a:accent1>
    <a:accent2>
      <a:srgbClr val="005B7F"/>
    </a:accent2>
    <a:accent3>
      <a:srgbClr val="B2D235"/>
    </a:accent3>
    <a:accent4>
      <a:srgbClr val="FDB913"/>
    </a:accent4>
    <a:accent5>
      <a:srgbClr val="008598"/>
    </a:accent5>
    <a:accent6>
      <a:srgbClr val="39C1CD"/>
    </a:accent6>
    <a:hlink>
      <a:srgbClr val="005B7F"/>
    </a:hlink>
    <a:folHlink>
      <a:srgbClr val="005B7F"/>
    </a:folHlink>
  </a:clrScheme>
  <a:fontScheme name="Fraunhofer ISI">
    <a:majorFont>
      <a:latin typeface="Segoe UI Semibold"/>
      <a:ea typeface=""/>
      <a:cs typeface="Times New Roman"/>
    </a:majorFont>
    <a:minorFont>
      <a:latin typeface="Segoe UI"/>
      <a:ea typeface=""/>
      <a:cs typeface="Times New Roma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8ABCB6-574A-43AC-868D-B6951BBA6F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78</Pages>
  <Words>32124</Words>
  <Characters>202387</Characters>
  <Application>Microsoft Office Word</Application>
  <DocSecurity>0</DocSecurity>
  <Lines>1686</Lines>
  <Paragraphs>468</Paragraphs>
  <ScaleCrop>false</ScaleCrop>
  <HeadingPairs>
    <vt:vector size="6" baseType="variant">
      <vt:variant>
        <vt:lpstr>Titel</vt:lpstr>
      </vt:variant>
      <vt:variant>
        <vt:i4>1</vt:i4>
      </vt:variant>
      <vt:variant>
        <vt:lpstr>Titolo</vt:lpstr>
      </vt:variant>
      <vt:variant>
        <vt:i4>1</vt:i4>
      </vt:variant>
      <vt:variant>
        <vt:lpstr>Title</vt:lpstr>
      </vt:variant>
      <vt:variant>
        <vt:i4>1</vt:i4>
      </vt:variant>
    </vt:vector>
  </HeadingPairs>
  <TitlesOfParts>
    <vt:vector size="3" baseType="lpstr">
      <vt:lpstr/>
      <vt:lpstr/>
      <vt:lpstr/>
    </vt:vector>
  </TitlesOfParts>
  <Company>Hewlett-Packard Company</Company>
  <LinksUpToDate>false</LinksUpToDate>
  <CharactersWithSpaces>234043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Fabrizio</dc:creator>
  <cp:lastModifiedBy>Scherngell Thomas</cp:lastModifiedBy>
  <cp:revision>34</cp:revision>
  <dcterms:created xsi:type="dcterms:W3CDTF">2023-12-14T14:40:00Z</dcterms:created>
  <dcterms:modified xsi:type="dcterms:W3CDTF">2023-12-22T11:21:00Z</dcterms:modified>
</cp:coreProperties>
</file>