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C10B442" w14:textId="5706BAE1" w:rsidR="00B421C3" w:rsidRPr="00936ADF" w:rsidRDefault="00E67C78" w:rsidP="00D23848">
      <w:pPr>
        <w:pStyle w:val="BATitle"/>
      </w:pPr>
      <w:r w:rsidRPr="00936ADF">
        <w:t xml:space="preserve">Mechanistic Origin of Ligand Effects on </w:t>
      </w:r>
      <w:r w:rsidR="004E4D4E" w:rsidRPr="00936ADF">
        <w:t>Exhaustive F</w:t>
      </w:r>
      <w:r w:rsidR="00EB4E2E" w:rsidRPr="00936ADF">
        <w:t>unctionalization During Pd-Catalyzed Cross-Coupling of Dihaloarenes</w:t>
      </w:r>
    </w:p>
    <w:p w14:paraId="27E04A21" w14:textId="16E72AA0" w:rsidR="00B421C3" w:rsidRPr="00936ADF" w:rsidRDefault="00E67C78" w:rsidP="00D924F3">
      <w:pPr>
        <w:pStyle w:val="BBAuthorName"/>
      </w:pPr>
      <w:r w:rsidRPr="00936ADF">
        <w:t>Nathaniel G. Larson,</w:t>
      </w:r>
      <w:r w:rsidR="00AE1CD6" w:rsidRPr="00936ADF">
        <w:rPr>
          <w:i/>
          <w:iCs/>
          <w:vertAlign w:val="superscript"/>
        </w:rPr>
        <w:t xml:space="preserve"> a</w:t>
      </w:r>
      <w:r w:rsidR="00BE4F86" w:rsidRPr="00936ADF">
        <w:rPr>
          <w:vertAlign w:val="superscript"/>
        </w:rPr>
        <w:t>‡</w:t>
      </w:r>
      <w:r w:rsidRPr="00936ADF">
        <w:t xml:space="preserve"> </w:t>
      </w:r>
      <w:r w:rsidR="004E18FB" w:rsidRPr="00936ADF">
        <w:t>Jacob P. Norman,</w:t>
      </w:r>
      <w:r w:rsidR="00AE1CD6" w:rsidRPr="00936ADF">
        <w:rPr>
          <w:i/>
          <w:iCs/>
          <w:vertAlign w:val="superscript"/>
        </w:rPr>
        <w:t xml:space="preserve"> a</w:t>
      </w:r>
      <w:r w:rsidR="00BE4F86" w:rsidRPr="00936ADF">
        <w:rPr>
          <w:vertAlign w:val="superscript"/>
        </w:rPr>
        <w:t>‡</w:t>
      </w:r>
      <w:r w:rsidR="004E18FB" w:rsidRPr="00936ADF">
        <w:t xml:space="preserve"> </w:t>
      </w:r>
      <w:r w:rsidRPr="00936ADF">
        <w:t>Sharon R. Neufeldt</w:t>
      </w:r>
      <w:r w:rsidR="00AE1CD6" w:rsidRPr="00936ADF">
        <w:rPr>
          <w:i/>
          <w:iCs/>
          <w:vertAlign w:val="superscript"/>
        </w:rPr>
        <w:t>a</w:t>
      </w:r>
      <w:r w:rsidRPr="00936ADF">
        <w:t>*</w:t>
      </w:r>
    </w:p>
    <w:p w14:paraId="78F7D104" w14:textId="5CAD8099" w:rsidR="00D23848" w:rsidRPr="00936ADF" w:rsidRDefault="00AE1CD6" w:rsidP="00D23848">
      <w:pPr>
        <w:pStyle w:val="BCAuthorAddress"/>
      </w:pPr>
      <w:r w:rsidRPr="00936ADF">
        <w:rPr>
          <w:i/>
          <w:iCs/>
          <w:vertAlign w:val="superscript"/>
        </w:rPr>
        <w:t>a</w:t>
      </w:r>
      <w:r w:rsidR="00E67C78" w:rsidRPr="00936ADF">
        <w:t xml:space="preserve">Department of Chemistry and Biochemistry, Montana State University, Bozeman, MT 59717, United States </w:t>
      </w:r>
    </w:p>
    <w:p w14:paraId="5B35F22A" w14:textId="7B2F9037" w:rsidR="00D23848" w:rsidRPr="00936ADF" w:rsidRDefault="000B2904" w:rsidP="00D23848">
      <w:pPr>
        <w:pStyle w:val="BIEmailAddress"/>
        <w:rPr>
          <w:i/>
          <w:iCs/>
        </w:rPr>
      </w:pPr>
      <w:r w:rsidRPr="00936ADF">
        <w:rPr>
          <w:i/>
          <w:iCs/>
        </w:rPr>
        <w:t>Keywords: catalysis, oxidative addition, difunctionalization, ligand effects, ring-walking, twelve-electron palladium</w:t>
      </w:r>
    </w:p>
    <w:p w14:paraId="3FE323A9" w14:textId="455239BC" w:rsidR="00B421C3" w:rsidRPr="00936ADF" w:rsidRDefault="00E71831" w:rsidP="00D22E70">
      <w:pPr>
        <w:pStyle w:val="BDAbstract"/>
        <w:sectPr w:rsidR="00B421C3" w:rsidRPr="00936ADF" w:rsidSect="003E5D0F">
          <w:footerReference w:type="even" r:id="rId8"/>
          <w:footerReference w:type="default" r:id="rId9"/>
          <w:endnotePr>
            <w:numFmt w:val="decimal"/>
          </w:endnotePr>
          <w:type w:val="continuous"/>
          <w:pgSz w:w="12240" w:h="15840"/>
          <w:pgMar w:top="720" w:right="1094" w:bottom="720" w:left="1094" w:header="720" w:footer="720" w:gutter="0"/>
          <w:cols w:space="461"/>
        </w:sectPr>
      </w:pPr>
      <w:r w:rsidRPr="00936ADF">
        <w:rPr>
          <w:rStyle w:val="BDAbstractTitleChar"/>
        </w:rPr>
        <w:t>ABSTRACT:</w:t>
      </w:r>
      <w:r w:rsidRPr="00936ADF">
        <w:t xml:space="preserve"> </w:t>
      </w:r>
      <w:r w:rsidR="00604D7D" w:rsidRPr="00936ADF">
        <w:t>We describe a detailed investigation into why bulky ligands</w:t>
      </w:r>
      <w:r w:rsidR="00675EA8" w:rsidRPr="00936ADF">
        <w:t>—</w:t>
      </w:r>
      <w:r w:rsidR="00604D7D" w:rsidRPr="00936ADF">
        <w:t>those that enable catalysis at "12</w:t>
      </w:r>
      <w:r w:rsidR="00604D7D" w:rsidRPr="00936ADF">
        <w:rPr>
          <w:i/>
          <w:iCs/>
        </w:rPr>
        <w:t>e</w:t>
      </w:r>
      <w:r w:rsidR="008F736C" w:rsidRPr="00936ADF">
        <w:rPr>
          <w:vertAlign w:val="superscript"/>
        </w:rPr>
        <w:t>–</w:t>
      </w:r>
      <w:r w:rsidR="008F736C" w:rsidRPr="00936ADF">
        <w:t>"</w:t>
      </w:r>
      <w:r w:rsidR="00604D7D" w:rsidRPr="00936ADF">
        <w:t xml:space="preserve"> </w:t>
      </w:r>
      <w:r w:rsidR="002714E3" w:rsidRPr="00936ADF">
        <w:t>Pd</w:t>
      </w:r>
      <w:r w:rsidR="002714E3" w:rsidRPr="00936ADF">
        <w:rPr>
          <w:vertAlign w:val="superscript"/>
        </w:rPr>
        <w:t>0</w:t>
      </w:r>
      <w:r w:rsidR="00675EA8" w:rsidRPr="00936ADF">
        <w:t>—</w:t>
      </w:r>
      <w:r w:rsidR="00604D7D" w:rsidRPr="00936ADF">
        <w:t xml:space="preserve">tend to promote overfunctionalization during </w:t>
      </w:r>
      <w:r w:rsidR="00214870" w:rsidRPr="00936ADF">
        <w:t xml:space="preserve">Pd-catalyzed </w:t>
      </w:r>
      <w:r w:rsidR="00604D7D" w:rsidRPr="00936ADF">
        <w:t xml:space="preserve">cross-couplings of </w:t>
      </w:r>
      <w:r w:rsidR="009A04C7" w:rsidRPr="00936ADF">
        <w:t>di</w:t>
      </w:r>
      <w:r w:rsidR="00604D7D" w:rsidRPr="00936ADF">
        <w:t xml:space="preserve">halogenated substrates. </w:t>
      </w:r>
      <w:r w:rsidR="0013176E" w:rsidRPr="00936ADF">
        <w:t xml:space="preserve">After </w:t>
      </w:r>
      <w:r w:rsidR="000B2904" w:rsidRPr="00936ADF">
        <w:t>one</w:t>
      </w:r>
      <w:r w:rsidR="0013176E" w:rsidRPr="00936ADF">
        <w:t xml:space="preserve"> cross-coupling event</w:t>
      </w:r>
      <w:r w:rsidR="000B2904" w:rsidRPr="00936ADF">
        <w:t xml:space="preserve"> takes place</w:t>
      </w:r>
      <w:r w:rsidR="0013176E" w:rsidRPr="00936ADF">
        <w:t xml:space="preserve">, PdL initially remains coordinated to the </w:t>
      </w:r>
      <w:r w:rsidR="0013176E" w:rsidRPr="00936ADF">
        <w:rPr>
          <w:rFonts w:ascii="Symbol" w:hAnsi="Symbol"/>
        </w:rPr>
        <w:t>p</w:t>
      </w:r>
      <w:r w:rsidR="0013176E" w:rsidRPr="00936ADF">
        <w:t xml:space="preserve"> system of the nascent product. Selectivity for mono- vs. difunctionalization arises from the relative rates of </w:t>
      </w:r>
      <w:r w:rsidR="0013176E" w:rsidRPr="00936ADF">
        <w:rPr>
          <w:rFonts w:ascii="Symbol" w:hAnsi="Symbol"/>
        </w:rPr>
        <w:t>p</w:t>
      </w:r>
      <w:r w:rsidR="0013176E" w:rsidRPr="00936ADF">
        <w:t xml:space="preserve">-decomplexation versus a second oxidative addition. Under the Suzuki coupling conditions in this work, direct </w:t>
      </w:r>
      <w:r w:rsidR="002417E3" w:rsidRPr="00936ADF">
        <w:t>dissociation</w:t>
      </w:r>
      <w:r w:rsidR="0013176E" w:rsidRPr="00936ADF">
        <w:t xml:space="preserve"> of 12</w:t>
      </w:r>
      <w:r w:rsidR="0013176E" w:rsidRPr="00936ADF">
        <w:rPr>
          <w:i/>
          <w:iCs/>
        </w:rPr>
        <w:t>e</w:t>
      </w:r>
      <w:r w:rsidR="0013176E" w:rsidRPr="00936ADF">
        <w:rPr>
          <w:vertAlign w:val="superscript"/>
        </w:rPr>
        <w:t>–</w:t>
      </w:r>
      <w:r w:rsidR="0013176E" w:rsidRPr="00936ADF">
        <w:t xml:space="preserve"> PdL from the </w:t>
      </w:r>
      <w:r w:rsidR="0013176E" w:rsidRPr="00936ADF">
        <w:rPr>
          <w:rFonts w:ascii="Symbol" w:hAnsi="Symbol"/>
        </w:rPr>
        <w:t>p</w:t>
      </w:r>
      <w:r w:rsidR="0013176E" w:rsidRPr="00936ADF">
        <w:t>-complex cannot outcompete oxidative addition.</w:t>
      </w:r>
      <w:r w:rsidR="00604D7D" w:rsidRPr="00936ADF">
        <w:t xml:space="preserve"> Instead, </w:t>
      </w:r>
      <w:r w:rsidR="00B40250" w:rsidRPr="00936ADF">
        <w:t>Pd</w:t>
      </w:r>
      <w:r w:rsidR="00604D7D" w:rsidRPr="00936ADF">
        <w:t xml:space="preserve"> must be displaced from the </w:t>
      </w:r>
      <w:r w:rsidR="008F736C" w:rsidRPr="00936ADF">
        <w:rPr>
          <w:rFonts w:ascii="Symbol" w:hAnsi="Symbol"/>
        </w:rPr>
        <w:t>p</w:t>
      </w:r>
      <w:r w:rsidR="008F736C" w:rsidRPr="00936ADF">
        <w:t xml:space="preserve">-complex </w:t>
      </w:r>
      <w:r w:rsidR="00604D7D" w:rsidRPr="00936ADF">
        <w:t xml:space="preserve">as </w:t>
      </w:r>
      <w:r w:rsidR="008F736C" w:rsidRPr="00936ADF">
        <w:t>14</w:t>
      </w:r>
      <w:r w:rsidR="008F736C" w:rsidRPr="00936ADF">
        <w:rPr>
          <w:i/>
          <w:iCs/>
        </w:rPr>
        <w:t>e</w:t>
      </w:r>
      <w:r w:rsidR="008F736C" w:rsidRPr="00936ADF">
        <w:rPr>
          <w:vertAlign w:val="superscript"/>
        </w:rPr>
        <w:t>–</w:t>
      </w:r>
      <w:r w:rsidR="00604D7D" w:rsidRPr="00936ADF">
        <w:t xml:space="preserve"> PdL(L') by a second incoming ligand L'. The incoming ligand is another molecule of </w:t>
      </w:r>
      <w:r w:rsidR="009A04C7" w:rsidRPr="00936ADF">
        <w:t xml:space="preserve">dichloroarene </w:t>
      </w:r>
      <w:r w:rsidR="00604D7D" w:rsidRPr="00936ADF">
        <w:t>i</w:t>
      </w:r>
      <w:r w:rsidR="0013176E" w:rsidRPr="00936ADF">
        <w:t>f</w:t>
      </w:r>
      <w:r w:rsidR="00604D7D" w:rsidRPr="00936ADF">
        <w:t xml:space="preserve"> </w:t>
      </w:r>
      <w:r w:rsidR="0013176E" w:rsidRPr="00936ADF">
        <w:t>the reaction conditions do not include</w:t>
      </w:r>
      <w:r w:rsidR="00604D7D" w:rsidRPr="00936ADF">
        <w:t xml:space="preserve"> </w:t>
      </w:r>
      <w:r w:rsidR="008F736C" w:rsidRPr="00936ADF">
        <w:rPr>
          <w:rFonts w:ascii="Symbol" w:hAnsi="Symbol"/>
        </w:rPr>
        <w:t>p</w:t>
      </w:r>
      <w:r w:rsidR="00604D7D" w:rsidRPr="00936ADF">
        <w:t xml:space="preserve">-coordinating solvents or additives. </w:t>
      </w:r>
      <w:r w:rsidR="00496493" w:rsidRPr="00936ADF">
        <w:t>More overfunctionalization tends to result when i</w:t>
      </w:r>
      <w:r w:rsidR="00604D7D" w:rsidRPr="00936ADF">
        <w:t xml:space="preserve">ncreased ligand </w:t>
      </w:r>
      <w:r w:rsidR="00496493" w:rsidRPr="00936ADF">
        <w:t>or</w:t>
      </w:r>
      <w:r w:rsidR="00604D7D" w:rsidRPr="00936ADF">
        <w:t xml:space="preserve"> substrate sterics </w:t>
      </w:r>
      <w:r w:rsidR="00496493" w:rsidRPr="00936ADF">
        <w:t>raises the energy</w:t>
      </w:r>
      <w:r w:rsidR="00604D7D" w:rsidRPr="00936ADF">
        <w:t xml:space="preserve"> </w:t>
      </w:r>
      <w:r w:rsidR="00496493" w:rsidRPr="00936ADF">
        <w:t xml:space="preserve">of the </w:t>
      </w:r>
      <w:r w:rsidR="00604D7D" w:rsidRPr="00936ADF">
        <w:t xml:space="preserve">bimolecular transition state for </w:t>
      </w:r>
      <w:r w:rsidR="0013176E" w:rsidRPr="00936ADF">
        <w:t>separating</w:t>
      </w:r>
      <w:r w:rsidR="00496493" w:rsidRPr="00936ADF">
        <w:t xml:space="preserve"> </w:t>
      </w:r>
      <w:r w:rsidR="0013176E" w:rsidRPr="00936ADF">
        <w:t>14</w:t>
      </w:r>
      <w:r w:rsidR="0013176E" w:rsidRPr="00936ADF">
        <w:rPr>
          <w:i/>
          <w:iCs/>
        </w:rPr>
        <w:t>e</w:t>
      </w:r>
      <w:r w:rsidR="0013176E" w:rsidRPr="00936ADF">
        <w:rPr>
          <w:vertAlign w:val="superscript"/>
        </w:rPr>
        <w:t>–</w:t>
      </w:r>
      <w:r w:rsidR="0013176E" w:rsidRPr="00936ADF">
        <w:t xml:space="preserve"> PdL(L') from the mono-cross-coupled product</w:t>
      </w:r>
      <w:r w:rsidR="00604D7D" w:rsidRPr="00936ADF">
        <w:t xml:space="preserve">. </w:t>
      </w:r>
      <w:r w:rsidR="0013176E" w:rsidRPr="00936ADF">
        <w:t xml:space="preserve">This work has practical implications for optimizing selectivity in cross-couplings involving multiple halogens. For example, we demonstrate that </w:t>
      </w:r>
      <w:r w:rsidR="00604D7D" w:rsidRPr="00936ADF">
        <w:t xml:space="preserve">small coordinating additives like DMSO can </w:t>
      </w:r>
      <w:r w:rsidR="0013176E" w:rsidRPr="00936ADF">
        <w:t>largely suppress overfunctionalization and that precatalyst structure can also impact selectivity</w:t>
      </w:r>
      <w:r w:rsidR="00594F1A" w:rsidRPr="00936ADF">
        <w:t>.</w:t>
      </w:r>
    </w:p>
    <w:p w14:paraId="07DBEE0E" w14:textId="1E60B897" w:rsidR="00DA1851" w:rsidRPr="00936ADF" w:rsidRDefault="007058BF" w:rsidP="008331F9">
      <w:pPr>
        <w:pStyle w:val="TESectionHeading"/>
      </w:pPr>
      <w:r w:rsidRPr="00936ADF">
        <w:t>introduction</w:t>
      </w:r>
    </w:p>
    <w:p w14:paraId="26F4E680" w14:textId="519A6161" w:rsidR="00034F43" w:rsidRPr="00936ADF" w:rsidRDefault="00E67C78" w:rsidP="00866E72">
      <w:pPr>
        <w:pStyle w:val="TAMainText"/>
      </w:pPr>
      <w:r w:rsidRPr="00936ADF">
        <w:t xml:space="preserve">Di- and polyhalogenated (hetero)arenes are readily accessible </w:t>
      </w:r>
      <w:r w:rsidR="004E18FB" w:rsidRPr="00936ADF">
        <w:t>substrates for iterative cross-couplings and other halide substitution reactions to prepare bioactive small molecules and</w:t>
      </w:r>
      <w:r w:rsidRPr="00936ADF">
        <w:t xml:space="preserve"> functional materials</w:t>
      </w:r>
      <w:r w:rsidR="004E18FB" w:rsidRPr="00936ADF">
        <w:t>.</w:t>
      </w:r>
      <w:r w:rsidR="00356BB2" w:rsidRPr="00936ADF">
        <w:rPr>
          <w:vertAlign w:val="superscript"/>
        </w:rPr>
        <w:t>1,2,3</w:t>
      </w:r>
      <w:r w:rsidRPr="00936ADF">
        <w:t xml:space="preserve"> </w:t>
      </w:r>
      <w:r w:rsidR="00214EDF" w:rsidRPr="00936ADF">
        <w:t xml:space="preserve">However, in Pd-catalyzed cross-couplings of </w:t>
      </w:r>
      <w:r w:rsidR="00DF50AE" w:rsidRPr="00936ADF">
        <w:t>poly</w:t>
      </w:r>
      <w:r w:rsidR="00214EDF" w:rsidRPr="00936ADF">
        <w:t xml:space="preserve">halogenated substrates, </w:t>
      </w:r>
      <w:r w:rsidR="002F1971" w:rsidRPr="00936ADF">
        <w:t xml:space="preserve">controlling the degree of functionalization can be challenging. For example, </w:t>
      </w:r>
      <w:r w:rsidR="00675EA8" w:rsidRPr="00936ADF">
        <w:t>a</w:t>
      </w:r>
      <w:r w:rsidR="00261D0F" w:rsidRPr="00936ADF">
        <w:t xml:space="preserve"> </w:t>
      </w:r>
      <w:r w:rsidR="00675EA8" w:rsidRPr="00936ADF">
        <w:t>high preference for exhaustive</w:t>
      </w:r>
      <w:r w:rsidR="004C4CCC" w:rsidRPr="00936ADF">
        <w:t xml:space="preserve"> functionalization</w:t>
      </w:r>
      <w:r w:rsidR="002F1971" w:rsidRPr="00936ADF">
        <w:t xml:space="preserve"> </w:t>
      </w:r>
      <w:r w:rsidR="00261D0F" w:rsidRPr="00936ADF">
        <w:t xml:space="preserve">is seen </w:t>
      </w:r>
      <w:r w:rsidR="002F1971" w:rsidRPr="00936ADF">
        <w:t>with some ligands</w:t>
      </w:r>
      <w:r w:rsidR="00931116" w:rsidRPr="00936ADF">
        <w:t>,</w:t>
      </w:r>
      <w:r w:rsidR="00931116" w:rsidRPr="00936ADF">
        <w:rPr>
          <w:vertAlign w:val="superscript"/>
        </w:rPr>
        <w:t>4-14</w:t>
      </w:r>
      <w:r w:rsidR="00931116" w:rsidRPr="00936ADF">
        <w:t xml:space="preserve"> </w:t>
      </w:r>
      <w:r w:rsidR="0046046E" w:rsidRPr="00936ADF">
        <w:t xml:space="preserve">even </w:t>
      </w:r>
      <w:r w:rsidR="0013176E" w:rsidRPr="00936ADF">
        <w:t>when the nucleophilic coupling partner is not used in excess</w:t>
      </w:r>
      <w:r w:rsidR="002F1971" w:rsidRPr="00936ADF">
        <w:t xml:space="preserve">. </w:t>
      </w:r>
      <w:r w:rsidR="00034F43" w:rsidRPr="00936ADF">
        <w:t xml:space="preserve">A mechanistic understanding of how ligands affect </w:t>
      </w:r>
      <w:r w:rsidR="00261D0F" w:rsidRPr="00936ADF">
        <w:t xml:space="preserve">this type of </w:t>
      </w:r>
      <w:r w:rsidR="00C07257" w:rsidRPr="00936ADF">
        <w:t xml:space="preserve">selectivity </w:t>
      </w:r>
      <w:r w:rsidR="00034F43" w:rsidRPr="00936ADF">
        <w:t xml:space="preserve">could enable </w:t>
      </w:r>
      <w:r w:rsidR="0013176E" w:rsidRPr="00936ADF">
        <w:t>better control of</w:t>
      </w:r>
      <w:r w:rsidR="00C07257" w:rsidRPr="00936ADF">
        <w:t xml:space="preserve"> </w:t>
      </w:r>
      <w:r w:rsidR="0013176E" w:rsidRPr="00936ADF">
        <w:t>reaction</w:t>
      </w:r>
      <w:r w:rsidR="00C07257" w:rsidRPr="00936ADF">
        <w:t xml:space="preserve"> outcomes.</w:t>
      </w:r>
      <w:r w:rsidR="00034F43" w:rsidRPr="00936ADF">
        <w:t xml:space="preserve"> </w:t>
      </w:r>
    </w:p>
    <w:p w14:paraId="334AB1CA" w14:textId="16031027" w:rsidR="0047669B" w:rsidRPr="00936ADF" w:rsidRDefault="00DF50AE" w:rsidP="00866E72">
      <w:pPr>
        <w:pStyle w:val="TAMainText"/>
      </w:pPr>
      <w:r w:rsidRPr="00936ADF">
        <w:t>Exhaustive cross-coupling</w:t>
      </w:r>
      <w:r w:rsidR="00EA59B2" w:rsidRPr="00936ADF">
        <w:t xml:space="preserve"> </w:t>
      </w:r>
      <w:r w:rsidR="003C30D1" w:rsidRPr="00936ADF">
        <w:t xml:space="preserve">has been attributed </w:t>
      </w:r>
      <w:r w:rsidR="00951FB1" w:rsidRPr="00936ADF">
        <w:t>to a fast</w:t>
      </w:r>
      <w:r w:rsidR="003C30D1" w:rsidRPr="00936ADF">
        <w:t xml:space="preserve"> </w:t>
      </w:r>
      <w:r w:rsidR="00261D0F" w:rsidRPr="00936ADF">
        <w:t>intramolecular</w:t>
      </w:r>
      <w:r w:rsidR="003C30D1" w:rsidRPr="00936ADF">
        <w:t xml:space="preserve"> oxidative addition </w:t>
      </w:r>
      <w:r w:rsidR="00951FB1" w:rsidRPr="00936ADF">
        <w:t xml:space="preserve">relative to the rate of dissociation of </w:t>
      </w:r>
      <w:r w:rsidR="002714E3" w:rsidRPr="00936ADF">
        <w:t>Pd</w:t>
      </w:r>
      <w:r w:rsidR="002714E3" w:rsidRPr="00936ADF">
        <w:rPr>
          <w:vertAlign w:val="superscript"/>
        </w:rPr>
        <w:t>0</w:t>
      </w:r>
      <w:r w:rsidR="00951FB1" w:rsidRPr="00936ADF">
        <w:t xml:space="preserve"> from the mono-cross-coupled intermediate</w:t>
      </w:r>
      <w:r w:rsidR="0013176E" w:rsidRPr="00936ADF">
        <w:t>.</w:t>
      </w:r>
      <w:r w:rsidR="00356BB2" w:rsidRPr="00936ADF">
        <w:rPr>
          <w:vertAlign w:val="superscript"/>
        </w:rPr>
        <w:t>10,15,16</w:t>
      </w:r>
      <w:r w:rsidR="00356BB2" w:rsidRPr="00936ADF">
        <w:t xml:space="preserve"> </w:t>
      </w:r>
      <w:r w:rsidRPr="00936ADF">
        <w:t>If dissociation is slow,</w:t>
      </w:r>
      <w:r w:rsidR="002F1971" w:rsidRPr="00936ADF">
        <w:t xml:space="preserve"> Pd </w:t>
      </w:r>
      <w:r w:rsidRPr="00936ADF">
        <w:t xml:space="preserve">can </w:t>
      </w:r>
      <w:r w:rsidR="002F1971" w:rsidRPr="00936ADF">
        <w:t xml:space="preserve">“ring-walk” </w:t>
      </w:r>
      <w:r w:rsidR="0013176E" w:rsidRPr="00936ADF">
        <w:t>around</w:t>
      </w:r>
      <w:r w:rsidR="002F1971" w:rsidRPr="00936ADF">
        <w:t xml:space="preserve"> the </w:t>
      </w:r>
      <w:r w:rsidR="00F22EE4" w:rsidRPr="00936ADF">
        <w:rPr>
          <w:rFonts w:ascii="Symbol" w:hAnsi="Symbol"/>
        </w:rPr>
        <w:t>p</w:t>
      </w:r>
      <w:r w:rsidR="00F22EE4" w:rsidRPr="00936ADF">
        <w:t xml:space="preserve"> system to initiate a second oxidative addition that leads to </w:t>
      </w:r>
      <w:r w:rsidR="0013176E" w:rsidRPr="00936ADF">
        <w:t>a</w:t>
      </w:r>
      <w:r w:rsidR="00F22EE4" w:rsidRPr="00936ADF">
        <w:t xml:space="preserve"> difunctionalized product</w:t>
      </w:r>
      <w:r w:rsidRPr="00936ADF">
        <w:t xml:space="preserve"> (Scheme 1A)</w:t>
      </w:r>
      <w:r w:rsidR="00F22EE4" w:rsidRPr="00936ADF">
        <w:t>.</w:t>
      </w:r>
      <w:r w:rsidR="0047669B" w:rsidRPr="00936ADF">
        <w:t xml:space="preserve"> This ring-walking ability has been exploited in </w:t>
      </w:r>
      <w:r w:rsidR="0013176E" w:rsidRPr="00936ADF">
        <w:t xml:space="preserve">catalyst-transfer cross-coupling polymerization </w:t>
      </w:r>
      <w:r w:rsidR="0047669B" w:rsidRPr="00936ADF">
        <w:t xml:space="preserve">using </w:t>
      </w:r>
      <w:r w:rsidR="00AE391E" w:rsidRPr="00936ADF">
        <w:t xml:space="preserve">bulky </w:t>
      </w:r>
      <w:r w:rsidR="0047669B" w:rsidRPr="00936ADF">
        <w:t>ligands</w:t>
      </w:r>
      <w:bookmarkStart w:id="0" w:name="_Ref154760620"/>
      <w:r w:rsidR="0013176E" w:rsidRPr="00936ADF">
        <w:t xml:space="preserve"> for Pd</w:t>
      </w:r>
      <w:bookmarkEnd w:id="0"/>
      <w:r w:rsidR="00356BB2" w:rsidRPr="00936ADF">
        <w:rPr>
          <w:rStyle w:val="EndnoteReference"/>
        </w:rPr>
        <w:t>1</w:t>
      </w:r>
      <w:r w:rsidR="00356BB2" w:rsidRPr="00936ADF">
        <w:rPr>
          <w:vertAlign w:val="superscript"/>
        </w:rPr>
        <w:t>7,18</w:t>
      </w:r>
      <w:r w:rsidR="0047669B" w:rsidRPr="00936ADF">
        <w:t xml:space="preserve"> </w:t>
      </w:r>
      <w:r w:rsidR="00AE391E" w:rsidRPr="00936ADF">
        <w:t xml:space="preserve">such as </w:t>
      </w:r>
      <w:r w:rsidR="0047669B" w:rsidRPr="00936ADF">
        <w:t>IPr</w:t>
      </w:r>
      <w:r w:rsidR="00356BB2" w:rsidRPr="00936ADF">
        <w:rPr>
          <w:rStyle w:val="EndnoteReference"/>
          <w:vertAlign w:val="baseline"/>
        </w:rPr>
        <w:t>1</w:t>
      </w:r>
      <w:r w:rsidR="00356BB2" w:rsidRPr="00936ADF">
        <w:t>9</w:t>
      </w:r>
      <w:r w:rsidR="0047669B" w:rsidRPr="00936ADF">
        <w:t xml:space="preserve"> (Scheme 1</w:t>
      </w:r>
      <w:r w:rsidRPr="00936ADF">
        <w:t>B</w:t>
      </w:r>
      <w:r w:rsidR="0013176E" w:rsidRPr="00936ADF">
        <w:t>)</w:t>
      </w:r>
      <w:r w:rsidR="0047669B" w:rsidRPr="00936ADF">
        <w:t xml:space="preserve"> </w:t>
      </w:r>
      <w:r w:rsidR="00EA7A6B" w:rsidRPr="00936ADF">
        <w:t>and</w:t>
      </w:r>
      <w:r w:rsidR="0047669B" w:rsidRPr="00936ADF">
        <w:t xml:space="preserve"> P</w:t>
      </w:r>
      <w:r w:rsidR="0047669B" w:rsidRPr="00936ADF">
        <w:rPr>
          <w:i/>
          <w:iCs/>
          <w:vertAlign w:val="superscript"/>
        </w:rPr>
        <w:t>t</w:t>
      </w:r>
      <w:r w:rsidR="0047669B" w:rsidRPr="00936ADF">
        <w:t>Bu</w:t>
      </w:r>
      <w:r w:rsidR="0047669B" w:rsidRPr="00936ADF">
        <w:rPr>
          <w:vertAlign w:val="subscript"/>
        </w:rPr>
        <w:t>3</w:t>
      </w:r>
      <w:r w:rsidR="0047669B" w:rsidRPr="00936ADF">
        <w:t>.</w:t>
      </w:r>
      <w:r w:rsidR="00356BB2" w:rsidRPr="00936ADF">
        <w:rPr>
          <w:vertAlign w:val="superscript"/>
        </w:rPr>
        <w:t>20</w:t>
      </w:r>
      <w:r w:rsidR="0047669B" w:rsidRPr="00936ADF">
        <w:t xml:space="preserve"> Ring-walking also </w:t>
      </w:r>
      <w:r w:rsidR="00884319" w:rsidRPr="00936ADF">
        <w:t>enabled</w:t>
      </w:r>
      <w:r w:rsidR="0047669B" w:rsidRPr="00936ADF">
        <w:t xml:space="preserve"> desymmetrization of tetrabromospirobifluorenes by selective diamination using Pd-PEPPSI-IPr (Scheme 1</w:t>
      </w:r>
      <w:r w:rsidRPr="00936ADF">
        <w:t>C</w:t>
      </w:r>
      <w:r w:rsidR="0047669B" w:rsidRPr="00936ADF">
        <w:t>).</w:t>
      </w:r>
      <w:r w:rsidR="00356BB2" w:rsidRPr="00936ADF">
        <w:rPr>
          <w:vertAlign w:val="superscript"/>
        </w:rPr>
        <w:t>10</w:t>
      </w:r>
      <w:r w:rsidR="0047669B" w:rsidRPr="00936ADF">
        <w:t xml:space="preserve"> However, when monosubstitution of a dihaloarene is desir</w:t>
      </w:r>
      <w:r w:rsidR="00884319" w:rsidRPr="00936ADF">
        <w:t>ed</w:t>
      </w:r>
      <w:r w:rsidR="0047669B" w:rsidRPr="00936ADF">
        <w:t xml:space="preserve">, ring-walking </w:t>
      </w:r>
      <w:r w:rsidR="00884319" w:rsidRPr="00936ADF">
        <w:t>behavior is detrimental</w:t>
      </w:r>
      <w:r w:rsidR="0047669B" w:rsidRPr="00936ADF">
        <w:t xml:space="preserve">. For example, we recently </w:t>
      </w:r>
      <w:r w:rsidR="00261D0F" w:rsidRPr="00936ADF">
        <w:t>evaluated</w:t>
      </w:r>
      <w:r w:rsidR="0047669B" w:rsidRPr="00936ADF">
        <w:t xml:space="preserve"> </w:t>
      </w:r>
      <w:r w:rsidR="00B8782E" w:rsidRPr="00936ADF">
        <w:rPr>
          <w:i/>
          <w:iCs/>
        </w:rPr>
        <w:t>N</w:t>
      </w:r>
      <w:r w:rsidR="00B8782E" w:rsidRPr="00936ADF">
        <w:t>-heterocyclic carbene (NHC)</w:t>
      </w:r>
      <w:r w:rsidR="0047669B" w:rsidRPr="00936ADF">
        <w:t xml:space="preserve"> ligands </w:t>
      </w:r>
      <w:r w:rsidR="00261D0F" w:rsidRPr="00936ADF">
        <w:t xml:space="preserve">for inverting </w:t>
      </w:r>
      <w:r w:rsidR="0047669B" w:rsidRPr="00936ADF">
        <w:t xml:space="preserve">site-selectivity </w:t>
      </w:r>
      <w:r w:rsidR="00261D0F" w:rsidRPr="00936ADF">
        <w:t xml:space="preserve">in the cross-coupling </w:t>
      </w:r>
      <w:r w:rsidR="0047669B" w:rsidRPr="00936ADF">
        <w:t>of 2,4-dichloropyridine</w:t>
      </w:r>
      <w:r w:rsidR="00261D0F" w:rsidRPr="00936ADF">
        <w:t>s</w:t>
      </w:r>
      <w:r w:rsidR="00884319" w:rsidRPr="00936ADF">
        <w:t xml:space="preserve"> </w:t>
      </w:r>
      <w:r w:rsidR="00034F43" w:rsidRPr="00936ADF">
        <w:t>(Scheme 1</w:t>
      </w:r>
      <w:r w:rsidRPr="00936ADF">
        <w:t>D</w:t>
      </w:r>
      <w:r w:rsidR="00034F43" w:rsidRPr="00936ADF">
        <w:t>)</w:t>
      </w:r>
      <w:r w:rsidR="0047669B" w:rsidRPr="00936ADF">
        <w:t>.</w:t>
      </w:r>
      <w:r w:rsidR="00356BB2" w:rsidRPr="00936ADF">
        <w:rPr>
          <w:vertAlign w:val="superscript"/>
        </w:rPr>
        <w:t>7,8</w:t>
      </w:r>
      <w:r w:rsidR="0047669B" w:rsidRPr="00936ADF">
        <w:t xml:space="preserve"> We found that the amount of undesired diarylation increase</w:t>
      </w:r>
      <w:r w:rsidR="00884319" w:rsidRPr="00936ADF">
        <w:t>s</w:t>
      </w:r>
      <w:r w:rsidR="0047669B" w:rsidRPr="00936ADF">
        <w:t xml:space="preserve"> with more hindered NHC ligands</w:t>
      </w:r>
      <w:r w:rsidR="00B40250" w:rsidRPr="00936ADF">
        <w:t xml:space="preserve"> like IPent</w:t>
      </w:r>
      <w:r w:rsidR="0047669B" w:rsidRPr="00936ADF">
        <w:t xml:space="preserve">, which is unfortunate </w:t>
      </w:r>
      <w:r w:rsidR="0047669B" w:rsidRPr="00936ADF">
        <w:t xml:space="preserve">because </w:t>
      </w:r>
      <w:r w:rsidR="00B40250" w:rsidRPr="00936ADF">
        <w:t xml:space="preserve">only </w:t>
      </w:r>
      <w:r w:rsidR="0047669B" w:rsidRPr="00936ADF">
        <w:t xml:space="preserve">hindered </w:t>
      </w:r>
      <w:r w:rsidR="00884319" w:rsidRPr="00936ADF">
        <w:t>NHCs</w:t>
      </w:r>
      <w:r w:rsidR="0047669B" w:rsidRPr="00936ADF">
        <w:t xml:space="preserve"> </w:t>
      </w:r>
      <w:r w:rsidR="00B40250" w:rsidRPr="00936ADF">
        <w:t>promote selective</w:t>
      </w:r>
      <w:r w:rsidR="00D27FBB" w:rsidRPr="00936ADF">
        <w:t xml:space="preserve"> cross-coupling at C4 over the more conventional C2 site</w:t>
      </w:r>
      <w:r w:rsidR="0047669B" w:rsidRPr="00936ADF">
        <w:t xml:space="preserve">. </w:t>
      </w:r>
    </w:p>
    <w:p w14:paraId="75035B6B" w14:textId="0E642CAA" w:rsidR="00B8782E" w:rsidRPr="00936ADF" w:rsidRDefault="00364D47" w:rsidP="00B8782E">
      <w:pPr>
        <w:pStyle w:val="VCSchemeTitle"/>
        <w:rPr>
          <w:i/>
          <w:iCs/>
          <w:vertAlign w:val="superscript"/>
        </w:rPr>
      </w:pPr>
      <w:r w:rsidRPr="00936ADF">
        <w:br w:type="column"/>
      </w:r>
      <w:r w:rsidR="00B8782E" w:rsidRPr="00936ADF">
        <w:lastRenderedPageBreak/>
        <w:t xml:space="preserve">Scheme </w:t>
      </w:r>
      <w:r w:rsidRPr="00936ADF">
        <w:fldChar w:fldCharType="begin"/>
      </w:r>
      <w:r w:rsidRPr="00936ADF">
        <w:instrText xml:space="preserve"> SEQ Scheme \* ARABIC </w:instrText>
      </w:r>
      <w:r w:rsidRPr="00936ADF">
        <w:fldChar w:fldCharType="separate"/>
      </w:r>
      <w:r w:rsidR="00F10CA6" w:rsidRPr="00936ADF">
        <w:rPr>
          <w:noProof/>
        </w:rPr>
        <w:t>1</w:t>
      </w:r>
      <w:r w:rsidRPr="00936ADF">
        <w:rPr>
          <w:noProof/>
        </w:rPr>
        <w:fldChar w:fldCharType="end"/>
      </w:r>
      <w:r w:rsidR="00B8782E" w:rsidRPr="00936ADF">
        <w:t xml:space="preserve">. Cross-Coupling Examples in Which Pd Ring-Walking </w:t>
      </w:r>
      <w:r w:rsidR="00D3633B" w:rsidRPr="00936ADF">
        <w:t>is Implicated</w:t>
      </w:r>
      <w:r w:rsidR="009D7284" w:rsidRPr="00936ADF">
        <w:t xml:space="preserve"> in Product Distribution.</w:t>
      </w:r>
    </w:p>
    <w:p w14:paraId="5CB5CE6B" w14:textId="21802785" w:rsidR="009D7284" w:rsidRPr="00936ADF" w:rsidRDefault="007F2A52" w:rsidP="006D2D7E">
      <w:pPr>
        <w:pStyle w:val="TAMainText"/>
        <w:ind w:firstLine="0"/>
      </w:pPr>
      <w:r w:rsidRPr="00936ADF">
        <w:rPr>
          <w:noProof/>
        </w:rPr>
        <w:drawing>
          <wp:inline distT="0" distB="0" distL="0" distR="0" wp14:anchorId="4C78E824" wp14:editId="238C3F1D">
            <wp:extent cx="3044825" cy="3976370"/>
            <wp:effectExtent l="0" t="0" r="3175" b="0"/>
            <wp:docPr id="13448479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847911" name=""/>
                    <pic:cNvPicPr/>
                  </pic:nvPicPr>
                  <pic:blipFill>
                    <a:blip r:embed="rId10"/>
                    <a:stretch>
                      <a:fillRect/>
                    </a:stretch>
                  </pic:blipFill>
                  <pic:spPr>
                    <a:xfrm>
                      <a:off x="0" y="0"/>
                      <a:ext cx="3044825" cy="3976370"/>
                    </a:xfrm>
                    <a:prstGeom prst="rect">
                      <a:avLst/>
                    </a:prstGeom>
                  </pic:spPr>
                </pic:pic>
              </a:graphicData>
            </a:graphic>
          </wp:inline>
        </w:drawing>
      </w:r>
    </w:p>
    <w:p w14:paraId="57B698A4" w14:textId="6BA7E104" w:rsidR="006D2D7E" w:rsidRPr="00936ADF" w:rsidRDefault="006D2D7E" w:rsidP="006D2D7E">
      <w:pPr>
        <w:pStyle w:val="TAMainText"/>
      </w:pPr>
      <w:r w:rsidRPr="00936ADF">
        <w:t>A survey of the literature suggests that ligand sterics influence the extent to which Pd ring-walking occurs. The ancillary ligands reported to promote high amounts of polyfunctionalization are those that also promote catalysis at 12</w:t>
      </w:r>
      <w:r w:rsidRPr="00936ADF">
        <w:rPr>
          <w:i/>
          <w:iCs/>
        </w:rPr>
        <w:t>e</w:t>
      </w:r>
      <w:r w:rsidRPr="00936ADF">
        <w:rPr>
          <w:vertAlign w:val="superscript"/>
        </w:rPr>
        <w:t>–</w:t>
      </w:r>
      <w:r w:rsidRPr="00936ADF">
        <w:t xml:space="preserve"> Pd</w:t>
      </w:r>
      <w:r w:rsidRPr="00936ADF">
        <w:rPr>
          <w:vertAlign w:val="superscript"/>
        </w:rPr>
        <w:t>0</w:t>
      </w:r>
      <w:r w:rsidRPr="00936ADF">
        <w:t>,</w:t>
      </w:r>
      <w:r w:rsidR="00356BB2" w:rsidRPr="00936ADF">
        <w:rPr>
          <w:vertAlign w:val="superscript"/>
        </w:rPr>
        <w:t>21,22</w:t>
      </w:r>
      <w:r w:rsidRPr="00936ADF">
        <w:t xml:space="preserve"> such as P</w:t>
      </w:r>
      <w:r w:rsidRPr="00936ADF">
        <w:rPr>
          <w:i/>
          <w:iCs/>
          <w:vertAlign w:val="superscript"/>
        </w:rPr>
        <w:t>t</w:t>
      </w:r>
      <w:r w:rsidRPr="00936ADF">
        <w:t>Bu</w:t>
      </w:r>
      <w:r w:rsidRPr="00936ADF">
        <w:rPr>
          <w:vertAlign w:val="subscript"/>
        </w:rPr>
        <w:t>3</w:t>
      </w:r>
      <w:r w:rsidRPr="00936ADF">
        <w:t>, RuPhos, SIPr, IPr, and IPent.</w:t>
      </w:r>
      <w:r w:rsidR="00356BB2" w:rsidRPr="00936ADF">
        <w:rPr>
          <w:vertAlign w:val="superscript"/>
        </w:rPr>
        <w:t>4–14,17,19–23</w:t>
      </w:r>
      <w:r w:rsidRPr="00936ADF">
        <w:t xml:space="preserve"> These ligands are all larger than the reported threshold for promoting oxidative addition at monoligated PdL,</w:t>
      </w:r>
      <w:r w:rsidR="00356BB2" w:rsidRPr="00936ADF">
        <w:rPr>
          <w:vertAlign w:val="superscript"/>
        </w:rPr>
        <w:t>22</w:t>
      </w:r>
      <w:r w:rsidRPr="00936ADF">
        <w:t xml:space="preserve"> yet there is still considerable variability in their effects on selectivity. Despite an apparent steric trend,</w:t>
      </w:r>
      <w:r w:rsidRPr="00936ADF">
        <w:rPr>
          <w:i/>
          <w:iCs/>
        </w:rPr>
        <w:t xml:space="preserve"> the mechanistic basis for the relationship between ligand sterics and ring-walking behavior has not been demonstrated</w:t>
      </w:r>
      <w:r w:rsidRPr="00936ADF">
        <w:t>. Here we answer this question by investigating how PdL (L = bulky ligand) is released from the mono-cross-coupled product. We provide evidence that 12</w:t>
      </w:r>
      <w:r w:rsidRPr="00936ADF">
        <w:rPr>
          <w:i/>
          <w:iCs/>
        </w:rPr>
        <w:t>e</w:t>
      </w:r>
      <w:r w:rsidRPr="00936ADF">
        <w:rPr>
          <w:vertAlign w:val="superscript"/>
        </w:rPr>
        <w:t>–</w:t>
      </w:r>
      <w:r w:rsidRPr="00936ADF">
        <w:t xml:space="preserve"> Pd(NHC) does not directly dissociate from the intermediate </w:t>
      </w:r>
      <w:r w:rsidRPr="00936ADF">
        <w:rPr>
          <w:rFonts w:ascii="Symbol" w:hAnsi="Symbol"/>
        </w:rPr>
        <w:t>p</w:t>
      </w:r>
      <w:r w:rsidRPr="00936ADF">
        <w:t>-complex. Instead, another smaller ligand displaces Pd</w:t>
      </w:r>
      <w:r w:rsidRPr="00936ADF">
        <w:rPr>
          <w:vertAlign w:val="superscript"/>
        </w:rPr>
        <w:t>0</w:t>
      </w:r>
      <w:r w:rsidRPr="00936ADF">
        <w:t xml:space="preserve"> as a 14</w:t>
      </w:r>
      <w:r w:rsidRPr="00936ADF">
        <w:rPr>
          <w:i/>
          <w:iCs/>
        </w:rPr>
        <w:t>e</w:t>
      </w:r>
      <w:r w:rsidRPr="00936ADF">
        <w:rPr>
          <w:vertAlign w:val="superscript"/>
        </w:rPr>
        <w:t>–</w:t>
      </w:r>
      <w:r w:rsidRPr="00936ADF">
        <w:t xml:space="preserve"> species. Thus, bulkier ancillary ligands promote exhaustive functionalization by inhibiting a bimolecular mechanism for displacement of Pd</w:t>
      </w:r>
      <w:r w:rsidRPr="00936ADF">
        <w:rPr>
          <w:vertAlign w:val="superscript"/>
        </w:rPr>
        <w:t>0</w:t>
      </w:r>
      <w:r w:rsidRPr="00936ADF">
        <w:t xml:space="preserve"> from the initial cross-coupled product. </w:t>
      </w:r>
    </w:p>
    <w:p w14:paraId="7F3AB631" w14:textId="77777777" w:rsidR="006D2D7E" w:rsidRPr="00936ADF" w:rsidRDefault="006D2D7E" w:rsidP="006D2D7E">
      <w:pPr>
        <w:pStyle w:val="TESectionHeading"/>
      </w:pPr>
      <w:r w:rsidRPr="00936ADF">
        <w:t>results and discussion</w:t>
      </w:r>
    </w:p>
    <w:p w14:paraId="0A6C7ACD" w14:textId="3C013073" w:rsidR="006D2D7E" w:rsidRPr="00936ADF" w:rsidRDefault="006D2D7E" w:rsidP="006D2D7E">
      <w:pPr>
        <w:pStyle w:val="TAMainText"/>
        <w:rPr>
          <w:b/>
          <w:bCs/>
        </w:rPr>
      </w:pPr>
      <w:r w:rsidRPr="00936ADF">
        <w:rPr>
          <w:b/>
          <w:bCs/>
        </w:rPr>
        <w:t xml:space="preserve">Systematic Evaluation of Steric Trends. </w:t>
      </w:r>
      <w:r w:rsidRPr="00936ADF">
        <w:t xml:space="preserve">We first examined a series of NHC and phosphine ligands for the Suzuki cross-coupling of dichloroarene </w:t>
      </w:r>
      <w:r w:rsidRPr="00936ADF">
        <w:rPr>
          <w:b/>
          <w:bCs/>
        </w:rPr>
        <w:t>1</w:t>
      </w:r>
      <w:r w:rsidRPr="00936ADF">
        <w:t xml:space="preserve"> with 1 equiv of PhB(OH)</w:t>
      </w:r>
      <w:r w:rsidRPr="00936ADF">
        <w:rPr>
          <w:vertAlign w:val="subscript"/>
        </w:rPr>
        <w:t>2</w:t>
      </w:r>
      <w:r w:rsidRPr="00936ADF">
        <w:t xml:space="preserve"> in THF at room temperature (Figure 1A). Pre-formed Hazari-type Pd</w:t>
      </w:r>
      <w:r w:rsidRPr="00936ADF">
        <w:rPr>
          <w:vertAlign w:val="superscript"/>
        </w:rPr>
        <w:t>II</w:t>
      </w:r>
      <w:r w:rsidRPr="00936ADF">
        <w:t>-ligand precatalysts supported by 1-</w:t>
      </w:r>
      <w:r w:rsidRPr="00936ADF">
        <w:rPr>
          <w:i/>
          <w:iCs/>
        </w:rPr>
        <w:t>tert</w:t>
      </w:r>
      <w:r w:rsidRPr="00936ADF">
        <w:t>-butylindenyl were used.</w:t>
      </w:r>
      <w:r w:rsidR="00356BB2" w:rsidRPr="00936ADF">
        <w:rPr>
          <w:vertAlign w:val="superscript"/>
        </w:rPr>
        <w:t>24</w:t>
      </w:r>
      <w:r w:rsidRPr="00936ADF">
        <w:t xml:space="preserve"> The reactions were monitored over time because the proportion of diarylated product is expected to increase even in the absence of ring-walking as </w:t>
      </w:r>
      <w:r w:rsidRPr="00936ADF">
        <w:rPr>
          <w:b/>
          <w:bCs/>
        </w:rPr>
        <w:t>1a-mono</w:t>
      </w:r>
      <w:r w:rsidRPr="00936ADF">
        <w:t xml:space="preserve"> becomes more abundant. The bulkiest ligand in </w:t>
      </w:r>
      <w:r w:rsidRPr="00936ADF">
        <w:t xml:space="preserve">this NHC series is IPent. This ligand displays a remarkably strong preference for </w:t>
      </w:r>
      <w:r w:rsidRPr="00936ADF">
        <w:rPr>
          <w:b/>
          <w:bCs/>
        </w:rPr>
        <w:t>1a-di</w:t>
      </w:r>
      <w:r w:rsidRPr="00936ADF">
        <w:t>.</w:t>
      </w:r>
      <w:r w:rsidR="00356BB2" w:rsidRPr="00936ADF">
        <w:rPr>
          <w:vertAlign w:val="superscript"/>
        </w:rPr>
        <w:t>14</w:t>
      </w:r>
      <w:r w:rsidRPr="00936ADF">
        <w:t xml:space="preserve"> In fact, </w:t>
      </w:r>
      <w:r w:rsidRPr="00936ADF">
        <w:rPr>
          <w:b/>
          <w:bCs/>
        </w:rPr>
        <w:t>1a-mono</w:t>
      </w:r>
      <w:r w:rsidRPr="00936ADF">
        <w:t xml:space="preserve"> was never observed with this ligand, even at early time points. The slightly smaller ligand IPr also favors diarylation, but </w:t>
      </w:r>
      <w:r w:rsidRPr="00936ADF">
        <w:rPr>
          <w:b/>
          <w:bCs/>
        </w:rPr>
        <w:t>1a-mono</w:t>
      </w:r>
      <w:r w:rsidRPr="00936ADF">
        <w:t xml:space="preserve"> is seen as a significant minor product. In stark contrast, the still smaller ligand IMes gives </w:t>
      </w:r>
      <w:r w:rsidRPr="00936ADF">
        <w:rPr>
          <w:b/>
          <w:bCs/>
        </w:rPr>
        <w:t>1a-mono</w:t>
      </w:r>
      <w:r w:rsidRPr="00936ADF">
        <w:t xml:space="preserve"> as the major product and the diarylated product </w:t>
      </w:r>
      <w:r w:rsidRPr="00936ADF">
        <w:rPr>
          <w:b/>
          <w:bCs/>
        </w:rPr>
        <w:t>1a-di</w:t>
      </w:r>
      <w:r w:rsidRPr="00936ADF">
        <w:t xml:space="preserve"> only slowly accumulates over time. Of the phosphines in this study, SPhos promotes the most diarylation, although </w:t>
      </w:r>
      <w:r w:rsidRPr="00936ADF">
        <w:rPr>
          <w:b/>
          <w:bCs/>
        </w:rPr>
        <w:t>1a-mono</w:t>
      </w:r>
      <w:r w:rsidRPr="00936ADF">
        <w:t xml:space="preserve"> is overall favored.</w:t>
      </w:r>
      <w:r w:rsidR="00356BB2" w:rsidRPr="00936ADF">
        <w:rPr>
          <w:vertAlign w:val="superscript"/>
        </w:rPr>
        <w:t>25</w:t>
      </w:r>
      <w:r w:rsidRPr="00936ADF">
        <w:t xml:space="preserve"> The other phosphines (P</w:t>
      </w:r>
      <w:r w:rsidRPr="00936ADF">
        <w:rPr>
          <w:i/>
          <w:iCs/>
          <w:vertAlign w:val="superscript"/>
        </w:rPr>
        <w:t>t</w:t>
      </w:r>
      <w:r w:rsidRPr="00936ADF">
        <w:t>Bu</w:t>
      </w:r>
      <w:r w:rsidRPr="00936ADF">
        <w:rPr>
          <w:vertAlign w:val="subscript"/>
        </w:rPr>
        <w:t>3</w:t>
      </w:r>
      <w:r w:rsidRPr="00936ADF">
        <w:t>, PCy</w:t>
      </w:r>
      <w:r w:rsidRPr="00936ADF">
        <w:rPr>
          <w:vertAlign w:val="subscript"/>
        </w:rPr>
        <w:t>3</w:t>
      </w:r>
      <w:r w:rsidRPr="00936ADF">
        <w:t>, PhPCy</w:t>
      </w:r>
      <w:r w:rsidRPr="00936ADF">
        <w:rPr>
          <w:vertAlign w:val="subscript"/>
        </w:rPr>
        <w:t>2</w:t>
      </w:r>
      <w:r w:rsidRPr="00936ADF">
        <w:t xml:space="preserve">, and CyJohnPhos) give a similar product distribution to IMes, favoring monoarylation. The product ratio with these smaller ligands (around mono:di = 8:1 at the end of the reaction) may reflect the statistical distribution of products when diarylation results not from ring-walking, but rather from intermolecular encounters between Pd and </w:t>
      </w:r>
      <w:r w:rsidRPr="00936ADF">
        <w:rPr>
          <w:b/>
          <w:bCs/>
        </w:rPr>
        <w:t>1a-mono</w:t>
      </w:r>
      <w:r w:rsidRPr="00936ADF">
        <w:t>. Of the phosphines evaluated, SPhos is the bulkiest based on having the largest Boltzmann averaged percent buried volume (%</w:t>
      </w:r>
      <w:r w:rsidRPr="00936ADF">
        <w:rPr>
          <w:i/>
          <w:iCs/>
        </w:rPr>
        <w:t>V</w:t>
      </w:r>
      <w:r w:rsidRPr="00936ADF">
        <w:rPr>
          <w:vertAlign w:val="subscript"/>
        </w:rPr>
        <w:t>bur</w:t>
      </w:r>
      <w:r w:rsidRPr="00936ADF">
        <w:t>),</w:t>
      </w:r>
      <w:r w:rsidR="00356BB2" w:rsidRPr="00936ADF">
        <w:rPr>
          <w:vertAlign w:val="superscript"/>
        </w:rPr>
        <w:t>26,22</w:t>
      </w:r>
      <w:r w:rsidRPr="00936ADF">
        <w:t xml:space="preserve"> which is consistent with a relationship between ligand sterics and ring-walking. However, it appears that the NHC ligands IPr and especially IPent</w:t>
      </w:r>
      <w:r w:rsidR="00356BB2" w:rsidRPr="00936ADF">
        <w:rPr>
          <w:vertAlign w:val="superscript"/>
        </w:rPr>
        <w:t>13</w:t>
      </w:r>
      <w:r w:rsidRPr="00936ADF">
        <w:t xml:space="preserve"> are unique in promoting a high degree of diarylation for this cross-coupling system involving dichloroarene </w:t>
      </w:r>
      <w:r w:rsidRPr="00936ADF">
        <w:rPr>
          <w:b/>
          <w:bCs/>
        </w:rPr>
        <w:t>1</w:t>
      </w:r>
      <w:r w:rsidRPr="00936ADF">
        <w:t>. Overall, selectivity spans a wide range even when comparing ligands that are all expected to facilitate catalysis at 12</w:t>
      </w:r>
      <w:r w:rsidRPr="00936ADF">
        <w:rPr>
          <w:i/>
          <w:iCs/>
        </w:rPr>
        <w:t>e</w:t>
      </w:r>
      <w:r w:rsidRPr="00936ADF">
        <w:rPr>
          <w:vertAlign w:val="superscript"/>
        </w:rPr>
        <w:t>–</w:t>
      </w:r>
      <w:r w:rsidRPr="00936ADF">
        <w:t xml:space="preserve"> Pd</w:t>
      </w:r>
      <w:r w:rsidRPr="00936ADF">
        <w:rPr>
          <w:vertAlign w:val="superscript"/>
        </w:rPr>
        <w:t>0</w:t>
      </w:r>
      <w:r w:rsidRPr="00936ADF">
        <w:t xml:space="preserve"> such as the NHCs, P</w:t>
      </w:r>
      <w:r w:rsidRPr="00936ADF">
        <w:rPr>
          <w:i/>
          <w:iCs/>
          <w:vertAlign w:val="superscript"/>
        </w:rPr>
        <w:t>t</w:t>
      </w:r>
      <w:r w:rsidRPr="00936ADF">
        <w:t>Bu</w:t>
      </w:r>
      <w:r w:rsidRPr="00936ADF">
        <w:rPr>
          <w:vertAlign w:val="subscript"/>
        </w:rPr>
        <w:t>3</w:t>
      </w:r>
      <w:r w:rsidRPr="00936ADF">
        <w:t>, and the biarylphosphines.</w:t>
      </w:r>
    </w:p>
    <w:p w14:paraId="7EAFCDD4" w14:textId="311C6FBD" w:rsidR="006D2D7E" w:rsidRPr="00936ADF" w:rsidRDefault="006D2D7E" w:rsidP="006D2D7E">
      <w:pPr>
        <w:pStyle w:val="TAMainText"/>
      </w:pPr>
      <w:r w:rsidRPr="00936ADF">
        <w:rPr>
          <w:b/>
          <w:bCs/>
        </w:rPr>
        <w:t>Relevance of Ringwalking to Diarylation.</w:t>
      </w:r>
      <w:r w:rsidRPr="00936ADF">
        <w:t xml:space="preserve"> We expected that the exclusive selectivity for diarylation with IPent was due to ring-walking, but an alternate explanation could be that </w:t>
      </w:r>
      <w:r w:rsidRPr="00936ADF">
        <w:rPr>
          <w:b/>
          <w:bCs/>
        </w:rPr>
        <w:t>1a-mono</w:t>
      </w:r>
      <w:r w:rsidRPr="00936ADF">
        <w:t xml:space="preserve"> is much more reactive than </w:t>
      </w:r>
      <w:r w:rsidRPr="00936ADF">
        <w:rPr>
          <w:b/>
          <w:bCs/>
        </w:rPr>
        <w:t xml:space="preserve">1 </w:t>
      </w:r>
      <w:r w:rsidRPr="00936ADF">
        <w:t>toward an intermolecular reaction with Pd-IPent.</w:t>
      </w:r>
      <w:r w:rsidR="00356BB2" w:rsidRPr="00936ADF">
        <w:rPr>
          <w:vertAlign w:val="superscript"/>
        </w:rPr>
        <w:t>27</w:t>
      </w:r>
      <w:r w:rsidRPr="00936ADF">
        <w:t xml:space="preserve"> To evaluate this possibility, a competition between </w:t>
      </w:r>
      <w:r w:rsidRPr="00936ADF">
        <w:rPr>
          <w:b/>
          <w:bCs/>
        </w:rPr>
        <w:t>1</w:t>
      </w:r>
      <w:r w:rsidRPr="00936ADF">
        <w:t xml:space="preserve"> and its monoarylated analog </w:t>
      </w:r>
      <w:r w:rsidRPr="00936ADF">
        <w:rPr>
          <w:b/>
          <w:bCs/>
        </w:rPr>
        <w:t>3</w:t>
      </w:r>
      <w:r w:rsidRPr="00936ADF">
        <w:t xml:space="preserve"> was conducted (Figure 1B). With Pd/IPent, the dichloride </w:t>
      </w:r>
      <w:r w:rsidRPr="00936ADF">
        <w:rPr>
          <w:b/>
          <w:bCs/>
        </w:rPr>
        <w:t>1</w:t>
      </w:r>
      <w:r w:rsidRPr="00936ADF">
        <w:t xml:space="preserve"> was found to react at a similar rate to </w:t>
      </w:r>
      <w:r w:rsidRPr="00936ADF">
        <w:rPr>
          <w:b/>
          <w:bCs/>
        </w:rPr>
        <w:t>3</w:t>
      </w:r>
      <w:r w:rsidRPr="00936ADF">
        <w:t xml:space="preserve">. This outcome indicates that the Pd/IPent-catalyzed formation of </w:t>
      </w:r>
      <w:r w:rsidRPr="00936ADF">
        <w:rPr>
          <w:b/>
          <w:bCs/>
        </w:rPr>
        <w:t>1a-di</w:t>
      </w:r>
      <w:r w:rsidRPr="00936ADF">
        <w:t xml:space="preserve"> results from intramolecular oxidative addition due to slow release of Pd from the intermediate </w:t>
      </w:r>
      <w:r w:rsidRPr="00936ADF">
        <w:rPr>
          <w:rFonts w:ascii="Symbol" w:hAnsi="Symbol"/>
        </w:rPr>
        <w:t>p</w:t>
      </w:r>
      <w:r w:rsidRPr="00936ADF">
        <w:t xml:space="preserve">-complex, rather than exceptional reactivity between the monoarylated intermediate and Pd/IPent in an </w:t>
      </w:r>
      <w:r w:rsidRPr="00936ADF">
        <w:rPr>
          <w:i/>
          <w:iCs/>
        </w:rPr>
        <w:t>inter</w:t>
      </w:r>
      <w:r w:rsidRPr="00936ADF">
        <w:t>molecular fashion.</w:t>
      </w:r>
    </w:p>
    <w:p w14:paraId="1D4D751C" w14:textId="77777777" w:rsidR="006D2D7E" w:rsidRPr="00936ADF" w:rsidRDefault="006D2D7E" w:rsidP="006D2D7E">
      <w:pPr>
        <w:pStyle w:val="TAMainText"/>
        <w:rPr>
          <w:i/>
          <w:iCs/>
        </w:rPr>
      </w:pPr>
      <w:r w:rsidRPr="00936ADF">
        <w:rPr>
          <w:b/>
          <w:bCs/>
        </w:rPr>
        <w:t>Mechanistic Possibilities to Explain Ligand Trends.</w:t>
      </w:r>
      <w:r w:rsidRPr="00936ADF">
        <w:t xml:space="preserve"> The selectivity for di- versus monoarylation can be understood by the mechanistic scenarios in Figure 1C. If Pd is monoligated during reductive elimination, as expected with bulky ligands, PdL initially remains coordinated to the π system of the nascent product (</w:t>
      </w:r>
      <w:r w:rsidRPr="00936ADF">
        <w:rPr>
          <w:rFonts w:ascii="Symbol" w:hAnsi="Symbol"/>
          <w:b/>
          <w:bCs/>
        </w:rPr>
        <w:t>p</w:t>
      </w:r>
      <w:r w:rsidRPr="00936ADF">
        <w:rPr>
          <w:b/>
          <w:bCs/>
        </w:rPr>
        <w:t>-complex</w:t>
      </w:r>
      <w:r w:rsidRPr="00936ADF">
        <w:t>). PdL can then ring-walk and undergo intramolecular oxidative addition leading to the diarylated product (Path I). If Path I is slow enough, the monoarylated product could instead be released through either Path II or Path III. In Path II, Pd dissociates directly as a 12</w:t>
      </w:r>
      <w:r w:rsidRPr="00936ADF">
        <w:rPr>
          <w:i/>
          <w:iCs/>
        </w:rPr>
        <w:t>e</w:t>
      </w:r>
      <w:r w:rsidRPr="00936ADF">
        <w:rPr>
          <w:vertAlign w:val="superscript"/>
        </w:rPr>
        <w:t>–</w:t>
      </w:r>
      <w:r w:rsidRPr="00936ADF">
        <w:t xml:space="preserve"> species, while in Path III, an incoming ligand displaces Pd as a 14</w:t>
      </w:r>
      <w:r w:rsidRPr="00936ADF">
        <w:rPr>
          <w:i/>
          <w:iCs/>
        </w:rPr>
        <w:t>e</w:t>
      </w:r>
      <w:r w:rsidRPr="00936ADF">
        <w:rPr>
          <w:vertAlign w:val="superscript"/>
        </w:rPr>
        <w:t>–</w:t>
      </w:r>
      <w:r w:rsidRPr="00936ADF">
        <w:t xml:space="preserve"> complex. Understanding ligand effects on selectivity requires addressing the following key mechanistic question: </w:t>
      </w:r>
      <w:r w:rsidRPr="00936ADF">
        <w:rPr>
          <w:i/>
          <w:iCs/>
        </w:rPr>
        <w:t>is monoarylated product released by direct dissociation of 12e</w:t>
      </w:r>
      <w:r w:rsidRPr="00936ADF">
        <w:rPr>
          <w:i/>
          <w:iCs/>
          <w:vertAlign w:val="superscript"/>
        </w:rPr>
        <w:t>–</w:t>
      </w:r>
      <w:r w:rsidRPr="00936ADF">
        <w:t xml:space="preserve"> </w:t>
      </w:r>
      <w:r w:rsidRPr="00936ADF">
        <w:rPr>
          <w:i/>
          <w:iCs/>
        </w:rPr>
        <w:t>PdL (Path II) or by bimolecular displacement of 14e</w:t>
      </w:r>
      <w:r w:rsidRPr="00936ADF">
        <w:rPr>
          <w:i/>
          <w:iCs/>
          <w:vertAlign w:val="superscript"/>
        </w:rPr>
        <w:t>–</w:t>
      </w:r>
      <w:r w:rsidRPr="00936ADF">
        <w:t xml:space="preserve"> </w:t>
      </w:r>
      <w:r w:rsidRPr="00936ADF">
        <w:rPr>
          <w:i/>
          <w:iCs/>
        </w:rPr>
        <w:t>PdL(L’) (Path III)?</w:t>
      </w:r>
    </w:p>
    <w:p w14:paraId="45CAF547" w14:textId="77777777" w:rsidR="009D7284" w:rsidRPr="00936ADF" w:rsidRDefault="009D7284" w:rsidP="00866E72">
      <w:pPr>
        <w:pStyle w:val="TAMainText"/>
      </w:pPr>
    </w:p>
    <w:p w14:paraId="5BC4D20D" w14:textId="77777777" w:rsidR="006D2D7E" w:rsidRPr="00936ADF" w:rsidRDefault="006D2D7E" w:rsidP="00866E72">
      <w:pPr>
        <w:pStyle w:val="TAMainText"/>
      </w:pPr>
    </w:p>
    <w:p w14:paraId="05E24E45" w14:textId="77777777" w:rsidR="006D2D7E" w:rsidRPr="00936ADF" w:rsidRDefault="006D2D7E" w:rsidP="00866E72">
      <w:pPr>
        <w:pStyle w:val="TAMainText"/>
        <w:sectPr w:rsidR="006D2D7E" w:rsidRPr="00936ADF" w:rsidSect="003E5D0F">
          <w:endnotePr>
            <w:numFmt w:val="decimal"/>
          </w:endnotePr>
          <w:type w:val="continuous"/>
          <w:pgSz w:w="12240" w:h="15840"/>
          <w:pgMar w:top="720" w:right="1094" w:bottom="720" w:left="1094" w:header="720" w:footer="720" w:gutter="0"/>
          <w:cols w:num="2" w:space="461"/>
          <w:noEndnote/>
        </w:sectPr>
      </w:pPr>
    </w:p>
    <w:p w14:paraId="4147716B" w14:textId="0A8E8FBB" w:rsidR="009D7284" w:rsidRPr="00936ADF" w:rsidRDefault="007F2A52" w:rsidP="002404D0">
      <w:pPr>
        <w:pStyle w:val="TAMainText"/>
        <w:ind w:firstLine="0"/>
      </w:pPr>
      <w:r w:rsidRPr="00936ADF">
        <w:rPr>
          <w:noProof/>
        </w:rPr>
        <w:lastRenderedPageBreak/>
        <w:drawing>
          <wp:inline distT="0" distB="0" distL="0" distR="0" wp14:anchorId="1A2CAE36" wp14:editId="30DF8047">
            <wp:extent cx="6383020" cy="5482590"/>
            <wp:effectExtent l="0" t="0" r="5080" b="3810"/>
            <wp:docPr id="2363577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357716" name=""/>
                    <pic:cNvPicPr/>
                  </pic:nvPicPr>
                  <pic:blipFill>
                    <a:blip r:embed="rId11"/>
                    <a:stretch>
                      <a:fillRect/>
                    </a:stretch>
                  </pic:blipFill>
                  <pic:spPr>
                    <a:xfrm>
                      <a:off x="0" y="0"/>
                      <a:ext cx="6383020" cy="5482590"/>
                    </a:xfrm>
                    <a:prstGeom prst="rect">
                      <a:avLst/>
                    </a:prstGeom>
                  </pic:spPr>
                </pic:pic>
              </a:graphicData>
            </a:graphic>
          </wp:inline>
        </w:drawing>
      </w:r>
    </w:p>
    <w:p w14:paraId="7B5F3CF5" w14:textId="7EC6AC34" w:rsidR="009D7284" w:rsidRPr="00936ADF" w:rsidRDefault="009D7284" w:rsidP="009D7284">
      <w:pPr>
        <w:pStyle w:val="VAFigureCaption"/>
        <w:sectPr w:rsidR="009D7284" w:rsidRPr="00936ADF" w:rsidSect="003E5D0F">
          <w:endnotePr>
            <w:numFmt w:val="decimal"/>
          </w:endnotePr>
          <w:pgSz w:w="12240" w:h="15840"/>
          <w:pgMar w:top="720" w:right="1094" w:bottom="720" w:left="1094" w:header="720" w:footer="720" w:gutter="0"/>
          <w:cols w:space="720"/>
          <w:noEndnote/>
        </w:sectPr>
      </w:pPr>
      <w:r w:rsidRPr="00936ADF">
        <w:rPr>
          <w:b/>
          <w:bCs/>
        </w:rPr>
        <w:t xml:space="preserve">Figure </w:t>
      </w:r>
      <w:r w:rsidRPr="00936ADF">
        <w:rPr>
          <w:b/>
          <w:bCs/>
        </w:rPr>
        <w:fldChar w:fldCharType="begin"/>
      </w:r>
      <w:r w:rsidRPr="00936ADF">
        <w:rPr>
          <w:b/>
          <w:bCs/>
        </w:rPr>
        <w:instrText xml:space="preserve"> SEQ Figure \* ARABIC </w:instrText>
      </w:r>
      <w:r w:rsidRPr="00936ADF">
        <w:rPr>
          <w:b/>
          <w:bCs/>
        </w:rPr>
        <w:fldChar w:fldCharType="separate"/>
      </w:r>
      <w:r w:rsidR="00F10CA6" w:rsidRPr="00936ADF">
        <w:rPr>
          <w:b/>
          <w:bCs/>
          <w:noProof/>
        </w:rPr>
        <w:t>1</w:t>
      </w:r>
      <w:r w:rsidRPr="00936ADF">
        <w:rPr>
          <w:b/>
          <w:bCs/>
        </w:rPr>
        <w:fldChar w:fldCharType="end"/>
      </w:r>
      <w:r w:rsidRPr="00936ADF">
        <w:rPr>
          <w:b/>
          <w:bCs/>
        </w:rPr>
        <w:t>.</w:t>
      </w:r>
      <w:r w:rsidRPr="00936ADF">
        <w:t xml:space="preserve"> (A) </w:t>
      </w:r>
      <w:r w:rsidR="00675EA8" w:rsidRPr="00936ADF">
        <w:t>The bulkiest</w:t>
      </w:r>
      <w:r w:rsidRPr="00936ADF">
        <w:t xml:space="preserve"> ancillary ligands</w:t>
      </w:r>
      <w:r w:rsidR="00675EA8" w:rsidRPr="00936ADF">
        <w:t xml:space="preserve"> IPent and IPr favor diarylation, while smaller (yet still bulky) ligands</w:t>
      </w:r>
      <w:r w:rsidRPr="00936ADF">
        <w:t xml:space="preserve"> </w:t>
      </w:r>
      <w:r w:rsidR="00675EA8" w:rsidRPr="00936ADF">
        <w:t xml:space="preserve">promote </w:t>
      </w:r>
      <w:r w:rsidR="00AA5F44" w:rsidRPr="00936ADF">
        <w:t>mono</w:t>
      </w:r>
      <w:r w:rsidR="00675EA8" w:rsidRPr="00936ADF">
        <w:t>arylation of a dichloroarene</w:t>
      </w:r>
      <w:r w:rsidRPr="00936ADF">
        <w:t>.</w:t>
      </w:r>
      <w:r w:rsidR="0013176E" w:rsidRPr="00936ADF">
        <w:t xml:space="preserve"> </w:t>
      </w:r>
      <w:r w:rsidRPr="00936ADF">
        <w:t xml:space="preserve">(B) </w:t>
      </w:r>
      <w:r w:rsidR="00675EA8" w:rsidRPr="00936ADF">
        <w:t>A c</w:t>
      </w:r>
      <w:r w:rsidRPr="00936ADF">
        <w:t xml:space="preserve">ompetition experiment supports the role of </w:t>
      </w:r>
      <w:r w:rsidR="00B40250" w:rsidRPr="00936ADF">
        <w:t>Pd</w:t>
      </w:r>
      <w:r w:rsidRPr="00936ADF">
        <w:t xml:space="preserve"> ring-walking in the diarylation of dichloroarenes</w:t>
      </w:r>
      <w:r w:rsidR="004C4CCC" w:rsidRPr="00936ADF">
        <w:t xml:space="preserve"> catalyzed by Pd/IPent</w:t>
      </w:r>
      <w:r w:rsidRPr="00936ADF">
        <w:t>.</w:t>
      </w:r>
      <w:r w:rsidR="00675EA8" w:rsidRPr="00936ADF">
        <w:t xml:space="preserve"> </w:t>
      </w:r>
      <w:r w:rsidRPr="00936ADF">
        <w:t>(C) Mechanistic scenarios for generating diarylated versus monoarylated products.</w:t>
      </w:r>
      <w:r w:rsidR="0013176E" w:rsidRPr="00936ADF">
        <w:t xml:space="preserve"> For parts A and B, GC yields are calibrated against undecane as an internal standard, and data points typically represent an average of ≥2 trials.</w:t>
      </w:r>
    </w:p>
    <w:p w14:paraId="61182C72" w14:textId="7D31D7D6" w:rsidR="0046042C" w:rsidRPr="00936ADF" w:rsidRDefault="003F0EE0" w:rsidP="00866E72">
      <w:pPr>
        <w:pStyle w:val="TAMainText"/>
      </w:pPr>
      <w:r w:rsidRPr="00936ADF">
        <w:t>Although low-coordinate Pd</w:t>
      </w:r>
      <w:r w:rsidRPr="00936ADF">
        <w:rPr>
          <w:vertAlign w:val="superscript"/>
        </w:rPr>
        <w:t>0</w:t>
      </w:r>
      <w:r w:rsidRPr="00936ADF">
        <w:t>L has been proposed as an intermediate in cross-coupling catalytic cycles,</w:t>
      </w:r>
      <w:r w:rsidR="00356BB2" w:rsidRPr="00936ADF">
        <w:rPr>
          <w:vertAlign w:val="superscript"/>
        </w:rPr>
        <w:t>21,28,29,30,31,32,33</w:t>
      </w:r>
      <w:r w:rsidRPr="00936ADF">
        <w:t xml:space="preserve"> there is little evidence to support its existence in solution.</w:t>
      </w:r>
      <w:r w:rsidR="00356BB2" w:rsidRPr="00936ADF">
        <w:rPr>
          <w:vertAlign w:val="superscript"/>
        </w:rPr>
        <w:t>34</w:t>
      </w:r>
      <w:r w:rsidRPr="00936ADF">
        <w:t xml:space="preserve"> For example, efforts to engineer an isolable 12</w:t>
      </w:r>
      <w:r w:rsidRPr="00936ADF">
        <w:rPr>
          <w:i/>
          <w:iCs/>
        </w:rPr>
        <w:t>e</w:t>
      </w:r>
      <w:r w:rsidRPr="00936ADF">
        <w:rPr>
          <w:vertAlign w:val="superscript"/>
        </w:rPr>
        <w:t>–</w:t>
      </w:r>
      <w:r w:rsidRPr="00936ADF">
        <w:t xml:space="preserve"> Pd</w:t>
      </w:r>
      <w:r w:rsidRPr="00936ADF">
        <w:rPr>
          <w:vertAlign w:val="superscript"/>
        </w:rPr>
        <w:t>0</w:t>
      </w:r>
      <w:r w:rsidRPr="00936ADF">
        <w:t xml:space="preserve"> species with exceptionally hindered ligands still provide formally 14</w:t>
      </w:r>
      <w:r w:rsidRPr="00936ADF">
        <w:rPr>
          <w:i/>
          <w:iCs/>
        </w:rPr>
        <w:t>e</w:t>
      </w:r>
      <w:r w:rsidRPr="00936ADF">
        <w:rPr>
          <w:vertAlign w:val="superscript"/>
        </w:rPr>
        <w:t>–</w:t>
      </w:r>
      <w:r w:rsidRPr="00936ADF">
        <w:t xml:space="preserve"> complexes involving a second weaker ligand such as an arene.</w:t>
      </w:r>
      <w:r w:rsidR="00356BB2" w:rsidRPr="00936ADF">
        <w:rPr>
          <w:vertAlign w:val="superscript"/>
        </w:rPr>
        <w:t>35</w:t>
      </w:r>
      <w:r w:rsidRPr="00936ADF">
        <w:t xml:space="preserve"> For this reason, as well as the observed ligand steric trend</w:t>
      </w:r>
      <w:r w:rsidR="0089772E" w:rsidRPr="00936ADF">
        <w:t xml:space="preserve">, Path </w:t>
      </w:r>
      <w:r w:rsidR="00E95874" w:rsidRPr="00936ADF">
        <w:t>III</w:t>
      </w:r>
      <w:r w:rsidR="0089772E" w:rsidRPr="00936ADF">
        <w:t xml:space="preserve"> </w:t>
      </w:r>
      <w:r w:rsidRPr="00936ADF">
        <w:t xml:space="preserve">initially </w:t>
      </w:r>
      <w:r w:rsidR="0089772E" w:rsidRPr="00936ADF">
        <w:t>appear</w:t>
      </w:r>
      <w:r w:rsidR="00A85637" w:rsidRPr="00936ADF">
        <w:t>ed</w:t>
      </w:r>
      <w:r w:rsidR="0089772E" w:rsidRPr="00936ADF">
        <w:t xml:space="preserve"> more </w:t>
      </w:r>
      <w:r w:rsidR="00A85637" w:rsidRPr="00936ADF">
        <w:t>intuitive</w:t>
      </w:r>
      <w:r w:rsidR="0089772E" w:rsidRPr="00936ADF">
        <w:t xml:space="preserve">. </w:t>
      </w:r>
      <w:r w:rsidR="00CE3601" w:rsidRPr="00936ADF">
        <w:t>The</w:t>
      </w:r>
      <w:r w:rsidR="004A605F" w:rsidRPr="00936ADF">
        <w:t xml:space="preserve"> bimolecular</w:t>
      </w:r>
      <w:r w:rsidR="00CE3601" w:rsidRPr="00936ADF">
        <w:t xml:space="preserve"> transition state for Path </w:t>
      </w:r>
      <w:r w:rsidR="00E95874" w:rsidRPr="00936ADF">
        <w:t>III</w:t>
      </w:r>
      <w:r w:rsidR="00CE3601" w:rsidRPr="00936ADF">
        <w:t xml:space="preserve"> would be more crowded than the</w:t>
      </w:r>
      <w:r w:rsidR="004A605F" w:rsidRPr="00936ADF">
        <w:t xml:space="preserve"> unimolecular</w:t>
      </w:r>
      <w:r w:rsidR="00CE3601" w:rsidRPr="00936ADF">
        <w:t xml:space="preserve"> transition state for Path </w:t>
      </w:r>
      <w:r w:rsidR="00E95874" w:rsidRPr="00936ADF">
        <w:t>II</w:t>
      </w:r>
      <w:r w:rsidR="005A5FCF" w:rsidRPr="00936ADF">
        <w:t>;</w:t>
      </w:r>
      <w:r w:rsidR="00CE3601" w:rsidRPr="00936ADF">
        <w:t xml:space="preserve"> thus</w:t>
      </w:r>
      <w:r w:rsidR="005A5FCF" w:rsidRPr="00936ADF">
        <w:t xml:space="preserve">, </w:t>
      </w:r>
      <w:r w:rsidR="00CE3601" w:rsidRPr="00936ADF">
        <w:t xml:space="preserve">Path </w:t>
      </w:r>
      <w:r w:rsidR="00E95874" w:rsidRPr="00936ADF">
        <w:t>III</w:t>
      </w:r>
      <w:r w:rsidR="00CE3601" w:rsidRPr="00936ADF">
        <w:t xml:space="preserve"> should be slowed by ligand steric bulk. </w:t>
      </w:r>
      <w:r w:rsidR="005E7629" w:rsidRPr="00936ADF">
        <w:t>Path III has also been proposed as the mechanism for chain transfer in Pd-catalyzed cross-coupling “living” polymerizations.</w:t>
      </w:r>
      <w:r w:rsidR="00356BB2" w:rsidRPr="00936ADF">
        <w:rPr>
          <w:vertAlign w:val="superscript"/>
        </w:rPr>
        <w:t>18</w:t>
      </w:r>
      <w:r w:rsidR="005E7629" w:rsidRPr="00936ADF">
        <w:t xml:space="preserve"> </w:t>
      </w:r>
      <w:r w:rsidR="00A85637" w:rsidRPr="00936ADF">
        <w:t>However</w:t>
      </w:r>
      <w:r w:rsidR="00CE3601" w:rsidRPr="00936ADF">
        <w:t>, a ligand steric trend could</w:t>
      </w:r>
      <w:r w:rsidR="00A85637" w:rsidRPr="00936ADF">
        <w:t xml:space="preserve"> also</w:t>
      </w:r>
      <w:r w:rsidR="00CE3601" w:rsidRPr="00936ADF">
        <w:t xml:space="preserve"> be consistent with </w:t>
      </w:r>
      <w:r w:rsidR="00AE2DFB" w:rsidRPr="00936ADF">
        <w:t xml:space="preserve">Path </w:t>
      </w:r>
      <w:r w:rsidR="00E95874" w:rsidRPr="00936ADF">
        <w:t>II</w:t>
      </w:r>
      <w:r w:rsidR="00AE2DFB" w:rsidRPr="00936ADF">
        <w:t xml:space="preserve"> </w:t>
      </w:r>
      <w:r w:rsidR="00CE3601" w:rsidRPr="00936ADF">
        <w:t xml:space="preserve">if </w:t>
      </w:r>
      <w:r w:rsidR="00AE2DFB" w:rsidRPr="00936ADF">
        <w:t xml:space="preserve">bulkier ligands </w:t>
      </w:r>
      <w:r w:rsidR="009A04C7" w:rsidRPr="00936ADF">
        <w:t>destabilize the</w:t>
      </w:r>
      <w:r w:rsidR="00AE2DFB" w:rsidRPr="00936ADF">
        <w:t xml:space="preserve"> 1</w:t>
      </w:r>
      <w:r w:rsidR="009A04C7" w:rsidRPr="00936ADF">
        <w:t>4</w:t>
      </w:r>
      <w:r w:rsidR="00AE2DFB" w:rsidRPr="00936ADF">
        <w:rPr>
          <w:i/>
          <w:iCs/>
        </w:rPr>
        <w:t>e</w:t>
      </w:r>
      <w:r w:rsidR="00AE2DFB" w:rsidRPr="00936ADF">
        <w:rPr>
          <w:vertAlign w:val="superscript"/>
        </w:rPr>
        <w:t>–</w:t>
      </w:r>
      <w:r w:rsidR="00AE2DFB" w:rsidRPr="00936ADF">
        <w:t xml:space="preserve"> </w:t>
      </w:r>
      <w:r w:rsidR="00B40250" w:rsidRPr="00936ADF">
        <w:t>Pd</w:t>
      </w:r>
      <w:r w:rsidR="009A04C7" w:rsidRPr="00936ADF">
        <w:t xml:space="preserve"> </w:t>
      </w:r>
      <w:r w:rsidR="009A04C7" w:rsidRPr="00936ADF">
        <w:rPr>
          <w:rFonts w:ascii="Symbol" w:hAnsi="Symbol"/>
        </w:rPr>
        <w:t>p</w:t>
      </w:r>
      <w:r w:rsidR="009A04C7" w:rsidRPr="00936ADF">
        <w:t>-complex intermediate</w:t>
      </w:r>
      <w:r w:rsidR="00CE3601" w:rsidRPr="00936ADF">
        <w:t xml:space="preserve">. </w:t>
      </w:r>
      <w:r w:rsidR="0013176E" w:rsidRPr="00936ADF">
        <w:t>Thus, further studies were undertaken to distinguish between Paths II and III.</w:t>
      </w:r>
    </w:p>
    <w:p w14:paraId="34C2BA8A" w14:textId="20F5149F" w:rsidR="003F0EE0" w:rsidRPr="00936ADF" w:rsidRDefault="003F0EE0" w:rsidP="003F0EE0">
      <w:pPr>
        <w:pStyle w:val="TAMainText"/>
      </w:pPr>
      <w:r w:rsidRPr="00936ADF">
        <w:rPr>
          <w:b/>
          <w:bCs/>
        </w:rPr>
        <w:t>Effect of Coordinating Additives (Supports Path III).</w:t>
      </w:r>
      <w:r w:rsidRPr="00936ADF">
        <w:t xml:space="preserve"> Release of a monoarylated product by Path III requires a second incoming ligand (L’ in Figure 1C). P</w:t>
      </w:r>
      <w:r w:rsidR="004B2502" w:rsidRPr="00936ADF">
        <w:t>d</w:t>
      </w:r>
      <w:r w:rsidR="004B2502" w:rsidRPr="00936ADF">
        <w:rPr>
          <w:vertAlign w:val="superscript"/>
        </w:rPr>
        <w:t>0</w:t>
      </w:r>
      <w:r w:rsidRPr="00936ADF">
        <w:t xml:space="preserve"> is unlikely to accommodate two bulky ligands like IPr or IPent during the crowded transition structure</w:t>
      </w:r>
      <w:r w:rsidR="00356BB2" w:rsidRPr="00936ADF">
        <w:rPr>
          <w:vertAlign w:val="superscript"/>
        </w:rPr>
        <w:t>8,22,36</w:t>
      </w:r>
      <w:r w:rsidRPr="00936ADF">
        <w:t xml:space="preserve"> for ligand exchange, but L’ could be a smaller molecule. We hypothesized that, if Path III is operative, small coordinating additives would increase the proportion of monoarylated product in a cross-coupling reaction. To test this hypothesis, we evaluated the Suzuki coupling of </w:t>
      </w:r>
      <w:r w:rsidRPr="00936ADF">
        <w:rPr>
          <w:b/>
          <w:bCs/>
        </w:rPr>
        <w:t>1</w:t>
      </w:r>
      <w:r w:rsidRPr="00936ADF">
        <w:t xml:space="preserve"> catalyzed by Pd/IPr or Pd/IPent in the presence of several </w:t>
      </w:r>
      <w:r w:rsidRPr="00936ADF">
        <w:rPr>
          <w:rFonts w:ascii="Symbol" w:hAnsi="Symbol"/>
        </w:rPr>
        <w:t>p</w:t>
      </w:r>
      <w:r w:rsidRPr="00936ADF">
        <w:t xml:space="preserve">-accepting additives that should be good ligands for </w:t>
      </w:r>
      <w:r w:rsidR="002E10C6" w:rsidRPr="00936ADF">
        <w:t>Pd</w:t>
      </w:r>
      <w:r w:rsidR="002E10C6" w:rsidRPr="00936ADF">
        <w:rPr>
          <w:vertAlign w:val="superscript"/>
        </w:rPr>
        <w:t>0</w:t>
      </w:r>
      <w:r w:rsidR="002E10C6" w:rsidRPr="00936ADF">
        <w:t xml:space="preserve"> </w:t>
      </w:r>
      <w:r w:rsidRPr="00936ADF">
        <w:t>(Table 1).</w:t>
      </w:r>
    </w:p>
    <w:p w14:paraId="05BA44C3" w14:textId="6729984B" w:rsidR="007171CB" w:rsidRPr="00936ADF" w:rsidRDefault="006D2D7E" w:rsidP="00AA693E">
      <w:pPr>
        <w:pStyle w:val="VDTableTitle"/>
        <w:rPr>
          <w:bCs/>
          <w:i/>
          <w:iCs/>
          <w:vertAlign w:val="superscript"/>
        </w:rPr>
      </w:pPr>
      <w:r w:rsidRPr="00936ADF">
        <w:br w:type="column"/>
      </w:r>
      <w:r w:rsidR="007171CB" w:rsidRPr="00936ADF">
        <w:lastRenderedPageBreak/>
        <w:t xml:space="preserve">Table </w:t>
      </w:r>
      <w:r w:rsidRPr="00936ADF">
        <w:fldChar w:fldCharType="begin"/>
      </w:r>
      <w:r w:rsidRPr="00936ADF">
        <w:instrText xml:space="preserve"> SEQ Table \* ARABIC </w:instrText>
      </w:r>
      <w:r w:rsidRPr="00936ADF">
        <w:fldChar w:fldCharType="separate"/>
      </w:r>
      <w:r w:rsidR="00F10CA6" w:rsidRPr="00936ADF">
        <w:rPr>
          <w:noProof/>
        </w:rPr>
        <w:t>1</w:t>
      </w:r>
      <w:r w:rsidRPr="00936ADF">
        <w:rPr>
          <w:noProof/>
        </w:rPr>
        <w:fldChar w:fldCharType="end"/>
      </w:r>
      <w:r w:rsidR="00AA693E" w:rsidRPr="00936ADF">
        <w:t xml:space="preserve">. </w:t>
      </w:r>
      <w:r w:rsidR="00675EA8" w:rsidRPr="00936ADF">
        <w:t>Coordinating</w:t>
      </w:r>
      <w:r w:rsidR="00AA693E" w:rsidRPr="00936ADF">
        <w:t xml:space="preserve"> Additives and Solvents </w:t>
      </w:r>
      <w:r w:rsidR="00675EA8" w:rsidRPr="00936ADF">
        <w:t>Increase</w:t>
      </w:r>
      <w:r w:rsidR="00AA693E" w:rsidRPr="00936ADF">
        <w:t xml:space="preserve"> Selectivity for Mono- versus Diarylation</w:t>
      </w:r>
      <w:r w:rsidR="00AA693E" w:rsidRPr="00936ADF">
        <w:rPr>
          <w:bCs/>
          <w:i/>
          <w:iCs/>
          <w:vertAlign w:val="superscript"/>
        </w:rPr>
        <w:t>a</w:t>
      </w:r>
    </w:p>
    <w:p w14:paraId="6399B501" w14:textId="234E6EE9" w:rsidR="0010345B" w:rsidRPr="00936ADF" w:rsidRDefault="007F2A52" w:rsidP="003F0EE0">
      <w:pPr>
        <w:pStyle w:val="TAMainText"/>
        <w:ind w:firstLine="0"/>
      </w:pPr>
      <w:r w:rsidRPr="00936ADF">
        <w:rPr>
          <w:noProof/>
        </w:rPr>
        <w:drawing>
          <wp:inline distT="0" distB="0" distL="0" distR="0" wp14:anchorId="1301A62E" wp14:editId="000174F0">
            <wp:extent cx="3044825" cy="832485"/>
            <wp:effectExtent l="0" t="0" r="3175" b="5715"/>
            <wp:docPr id="12918392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1839228" name=""/>
                    <pic:cNvPicPr/>
                  </pic:nvPicPr>
                  <pic:blipFill>
                    <a:blip r:embed="rId12"/>
                    <a:stretch>
                      <a:fillRect/>
                    </a:stretch>
                  </pic:blipFill>
                  <pic:spPr>
                    <a:xfrm>
                      <a:off x="0" y="0"/>
                      <a:ext cx="3044825" cy="832485"/>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
        <w:gridCol w:w="1017"/>
        <w:gridCol w:w="1320"/>
        <w:gridCol w:w="690"/>
        <w:gridCol w:w="552"/>
        <w:gridCol w:w="738"/>
      </w:tblGrid>
      <w:tr w:rsidR="00597D0D" w:rsidRPr="00936ADF" w14:paraId="13C1A254" w14:textId="6914BA97" w:rsidTr="008F6EB3">
        <w:tc>
          <w:tcPr>
            <w:tcW w:w="478" w:type="dxa"/>
            <w:tcBorders>
              <w:top w:val="single" w:sz="4" w:space="0" w:color="auto"/>
              <w:bottom w:val="single" w:sz="4" w:space="0" w:color="auto"/>
            </w:tcBorders>
            <w:shd w:val="clear" w:color="auto" w:fill="F2F2F2" w:themeFill="background1" w:themeFillShade="F2"/>
          </w:tcPr>
          <w:p w14:paraId="5658A945" w14:textId="3627634A" w:rsidR="00597D0D" w:rsidRPr="00936ADF" w:rsidRDefault="00597D0D" w:rsidP="005D74B9">
            <w:pPr>
              <w:pStyle w:val="TCTableBody"/>
              <w:spacing w:before="0" w:after="0"/>
            </w:pPr>
            <w:r w:rsidRPr="00936ADF">
              <w:t>entry</w:t>
            </w:r>
          </w:p>
        </w:tc>
        <w:tc>
          <w:tcPr>
            <w:tcW w:w="1046" w:type="dxa"/>
            <w:tcBorders>
              <w:top w:val="single" w:sz="4" w:space="0" w:color="auto"/>
              <w:bottom w:val="single" w:sz="4" w:space="0" w:color="auto"/>
            </w:tcBorders>
            <w:shd w:val="clear" w:color="auto" w:fill="F2F2F2" w:themeFill="background1" w:themeFillShade="F2"/>
          </w:tcPr>
          <w:p w14:paraId="3A6B7EF9" w14:textId="532402DE" w:rsidR="00597D0D" w:rsidRPr="00936ADF" w:rsidRDefault="00597D0D" w:rsidP="005D74B9">
            <w:pPr>
              <w:pStyle w:val="TCTableBody"/>
              <w:spacing w:before="0" w:after="0"/>
            </w:pPr>
            <w:r w:rsidRPr="00936ADF">
              <w:t>solvent</w:t>
            </w:r>
          </w:p>
        </w:tc>
        <w:tc>
          <w:tcPr>
            <w:tcW w:w="1363" w:type="dxa"/>
            <w:tcBorders>
              <w:top w:val="single" w:sz="4" w:space="0" w:color="auto"/>
              <w:bottom w:val="single" w:sz="4" w:space="0" w:color="auto"/>
            </w:tcBorders>
            <w:shd w:val="clear" w:color="auto" w:fill="F2F2F2" w:themeFill="background1" w:themeFillShade="F2"/>
          </w:tcPr>
          <w:p w14:paraId="48F2E2CF" w14:textId="180164A0" w:rsidR="00597D0D" w:rsidRPr="00936ADF" w:rsidRDefault="00597D0D" w:rsidP="005D74B9">
            <w:pPr>
              <w:pStyle w:val="TCTableBody"/>
              <w:spacing w:before="0" w:after="0"/>
            </w:pPr>
            <w:r w:rsidRPr="00936ADF">
              <w:t>additive (equiv)</w:t>
            </w:r>
          </w:p>
        </w:tc>
        <w:tc>
          <w:tcPr>
            <w:tcW w:w="690" w:type="dxa"/>
            <w:tcBorders>
              <w:top w:val="single" w:sz="4" w:space="0" w:color="auto"/>
              <w:bottom w:val="single" w:sz="4" w:space="0" w:color="auto"/>
            </w:tcBorders>
            <w:shd w:val="clear" w:color="auto" w:fill="F2F2F2" w:themeFill="background1" w:themeFillShade="F2"/>
          </w:tcPr>
          <w:p w14:paraId="28F3FC90" w14:textId="7C1AAC30" w:rsidR="00597D0D" w:rsidRPr="00936ADF" w:rsidRDefault="003F0EE0" w:rsidP="005D74B9">
            <w:pPr>
              <w:pStyle w:val="TCTableBody"/>
              <w:spacing w:before="0" w:after="0"/>
              <w:rPr>
                <w:b/>
                <w:bCs/>
              </w:rPr>
            </w:pPr>
            <w:r w:rsidRPr="00936ADF">
              <w:rPr>
                <w:b/>
                <w:bCs/>
              </w:rPr>
              <w:t>1a-</w:t>
            </w:r>
            <w:r w:rsidR="00597D0D" w:rsidRPr="00936ADF">
              <w:rPr>
                <w:b/>
                <w:bCs/>
              </w:rPr>
              <w:t>mono</w:t>
            </w:r>
          </w:p>
        </w:tc>
        <w:tc>
          <w:tcPr>
            <w:tcW w:w="480" w:type="dxa"/>
            <w:tcBorders>
              <w:top w:val="single" w:sz="4" w:space="0" w:color="auto"/>
              <w:bottom w:val="single" w:sz="4" w:space="0" w:color="auto"/>
            </w:tcBorders>
            <w:shd w:val="clear" w:color="auto" w:fill="F2F2F2" w:themeFill="background1" w:themeFillShade="F2"/>
          </w:tcPr>
          <w:p w14:paraId="332CE03A" w14:textId="5DA3AA58" w:rsidR="00597D0D" w:rsidRPr="00936ADF" w:rsidRDefault="003F0EE0" w:rsidP="005D74B9">
            <w:pPr>
              <w:pStyle w:val="TCTableBody"/>
              <w:spacing w:before="0" w:after="0"/>
              <w:rPr>
                <w:b/>
                <w:bCs/>
              </w:rPr>
            </w:pPr>
            <w:r w:rsidRPr="00936ADF">
              <w:rPr>
                <w:b/>
                <w:bCs/>
              </w:rPr>
              <w:t>1a-</w:t>
            </w:r>
            <w:r w:rsidR="00597D0D" w:rsidRPr="00936ADF">
              <w:rPr>
                <w:b/>
                <w:bCs/>
              </w:rPr>
              <w:t>di</w:t>
            </w:r>
          </w:p>
        </w:tc>
        <w:tc>
          <w:tcPr>
            <w:tcW w:w="738" w:type="dxa"/>
            <w:tcBorders>
              <w:top w:val="single" w:sz="4" w:space="0" w:color="auto"/>
              <w:bottom w:val="single" w:sz="4" w:space="0" w:color="auto"/>
            </w:tcBorders>
            <w:shd w:val="clear" w:color="auto" w:fill="F2F2F2" w:themeFill="background1" w:themeFillShade="F2"/>
          </w:tcPr>
          <w:p w14:paraId="5B47324F" w14:textId="07E97ADA" w:rsidR="00597D0D" w:rsidRPr="00936ADF" w:rsidRDefault="00597D0D" w:rsidP="005D74B9">
            <w:pPr>
              <w:pStyle w:val="TCTableBody"/>
              <w:spacing w:before="0" w:after="0"/>
              <w:rPr>
                <w:b/>
                <w:bCs/>
              </w:rPr>
            </w:pPr>
            <w:r w:rsidRPr="00936ADF">
              <w:rPr>
                <w:b/>
                <w:bCs/>
              </w:rPr>
              <w:t>mono</w:t>
            </w:r>
            <w:r w:rsidRPr="00936ADF">
              <w:t xml:space="preserve">: </w:t>
            </w:r>
            <w:r w:rsidRPr="00936ADF">
              <w:rPr>
                <w:b/>
                <w:bCs/>
              </w:rPr>
              <w:t>di</w:t>
            </w:r>
          </w:p>
        </w:tc>
      </w:tr>
      <w:tr w:rsidR="00597D0D" w:rsidRPr="00936ADF" w14:paraId="784A9DB4" w14:textId="5561D96A" w:rsidTr="008F6EB3">
        <w:tc>
          <w:tcPr>
            <w:tcW w:w="478" w:type="dxa"/>
            <w:tcBorders>
              <w:top w:val="single" w:sz="4" w:space="0" w:color="auto"/>
            </w:tcBorders>
          </w:tcPr>
          <w:p w14:paraId="067D3035" w14:textId="16619658" w:rsidR="00597D0D" w:rsidRPr="00936ADF" w:rsidRDefault="00597D0D" w:rsidP="005D74B9">
            <w:pPr>
              <w:pStyle w:val="TCTableBody"/>
              <w:spacing w:before="0" w:after="0"/>
            </w:pPr>
            <w:r w:rsidRPr="00936ADF">
              <w:t>1</w:t>
            </w:r>
          </w:p>
        </w:tc>
        <w:tc>
          <w:tcPr>
            <w:tcW w:w="1046" w:type="dxa"/>
            <w:tcBorders>
              <w:top w:val="single" w:sz="4" w:space="0" w:color="auto"/>
            </w:tcBorders>
          </w:tcPr>
          <w:p w14:paraId="58FFC17B" w14:textId="1DA34F44" w:rsidR="00597D0D" w:rsidRPr="00936ADF" w:rsidRDefault="00597D0D" w:rsidP="005D74B9">
            <w:pPr>
              <w:pStyle w:val="TCTableBody"/>
              <w:spacing w:before="0" w:after="0"/>
            </w:pPr>
            <w:r w:rsidRPr="00936ADF">
              <w:t>THF</w:t>
            </w:r>
          </w:p>
        </w:tc>
        <w:tc>
          <w:tcPr>
            <w:tcW w:w="1363" w:type="dxa"/>
            <w:tcBorders>
              <w:top w:val="single" w:sz="4" w:space="0" w:color="auto"/>
            </w:tcBorders>
          </w:tcPr>
          <w:p w14:paraId="66AE709C" w14:textId="244C1D65" w:rsidR="00597D0D" w:rsidRPr="00936ADF" w:rsidRDefault="00597D0D" w:rsidP="005D74B9">
            <w:pPr>
              <w:pStyle w:val="TCTableBody"/>
              <w:spacing w:before="0" w:after="0"/>
            </w:pPr>
            <w:r w:rsidRPr="00936ADF">
              <w:t>--</w:t>
            </w:r>
          </w:p>
        </w:tc>
        <w:tc>
          <w:tcPr>
            <w:tcW w:w="690" w:type="dxa"/>
            <w:tcBorders>
              <w:top w:val="single" w:sz="4" w:space="0" w:color="auto"/>
            </w:tcBorders>
          </w:tcPr>
          <w:p w14:paraId="4D230436" w14:textId="0865622F" w:rsidR="00597D0D" w:rsidRPr="00936ADF" w:rsidRDefault="00B57A46" w:rsidP="005D74B9">
            <w:pPr>
              <w:pStyle w:val="TCTableBody"/>
              <w:spacing w:before="0" w:after="0"/>
            </w:pPr>
            <w:r w:rsidRPr="00936ADF">
              <w:t>9.7</w:t>
            </w:r>
          </w:p>
        </w:tc>
        <w:tc>
          <w:tcPr>
            <w:tcW w:w="480" w:type="dxa"/>
            <w:tcBorders>
              <w:top w:val="single" w:sz="4" w:space="0" w:color="auto"/>
            </w:tcBorders>
          </w:tcPr>
          <w:p w14:paraId="536568E7" w14:textId="55EB9651" w:rsidR="00597D0D" w:rsidRPr="00936ADF" w:rsidRDefault="00597D0D" w:rsidP="005D74B9">
            <w:pPr>
              <w:pStyle w:val="TCTableBody"/>
              <w:spacing w:before="0" w:after="0"/>
            </w:pPr>
            <w:r w:rsidRPr="00936ADF">
              <w:t>4</w:t>
            </w:r>
            <w:r w:rsidR="00B57A46" w:rsidRPr="00936ADF">
              <w:t>3.6</w:t>
            </w:r>
          </w:p>
        </w:tc>
        <w:tc>
          <w:tcPr>
            <w:tcW w:w="738" w:type="dxa"/>
            <w:tcBorders>
              <w:top w:val="single" w:sz="4" w:space="0" w:color="auto"/>
            </w:tcBorders>
          </w:tcPr>
          <w:p w14:paraId="25DE93BF" w14:textId="793B882C" w:rsidR="00597D0D" w:rsidRPr="00936ADF" w:rsidRDefault="00597D0D" w:rsidP="005D74B9">
            <w:pPr>
              <w:pStyle w:val="TCTableBody"/>
              <w:spacing w:before="0" w:after="0"/>
            </w:pPr>
            <w:r w:rsidRPr="00936ADF">
              <w:t>1 : 4</w:t>
            </w:r>
            <w:r w:rsidR="00B57A46" w:rsidRPr="00936ADF">
              <w:t>.5</w:t>
            </w:r>
          </w:p>
        </w:tc>
      </w:tr>
      <w:tr w:rsidR="00597D0D" w:rsidRPr="00936ADF" w14:paraId="0261420F" w14:textId="66D6D0DD" w:rsidTr="008F6EB3">
        <w:tc>
          <w:tcPr>
            <w:tcW w:w="478" w:type="dxa"/>
          </w:tcPr>
          <w:p w14:paraId="61910849" w14:textId="38D15AA0" w:rsidR="00597D0D" w:rsidRPr="00936ADF" w:rsidRDefault="00597D0D" w:rsidP="005D74B9">
            <w:pPr>
              <w:pStyle w:val="TCTableBody"/>
              <w:spacing w:before="0" w:after="0"/>
            </w:pPr>
            <w:r w:rsidRPr="00936ADF">
              <w:t>2</w:t>
            </w:r>
          </w:p>
        </w:tc>
        <w:tc>
          <w:tcPr>
            <w:tcW w:w="1046" w:type="dxa"/>
          </w:tcPr>
          <w:p w14:paraId="23EC1DC8" w14:textId="73B44FBA" w:rsidR="00597D0D" w:rsidRPr="00936ADF" w:rsidRDefault="00597D0D" w:rsidP="005D74B9">
            <w:pPr>
              <w:pStyle w:val="TCTableBody"/>
              <w:spacing w:before="0" w:after="0"/>
            </w:pPr>
            <w:r w:rsidRPr="00936ADF">
              <w:t>THF</w:t>
            </w:r>
          </w:p>
        </w:tc>
        <w:tc>
          <w:tcPr>
            <w:tcW w:w="1363" w:type="dxa"/>
          </w:tcPr>
          <w:p w14:paraId="343F41DF" w14:textId="7D96E119" w:rsidR="00597D0D" w:rsidRPr="00936ADF" w:rsidRDefault="00597D0D" w:rsidP="005D74B9">
            <w:pPr>
              <w:pStyle w:val="TCTableBody"/>
              <w:spacing w:before="0" w:after="0"/>
            </w:pPr>
            <w:r w:rsidRPr="00936ADF">
              <w:t>indene (0.1)</w:t>
            </w:r>
          </w:p>
        </w:tc>
        <w:tc>
          <w:tcPr>
            <w:tcW w:w="690" w:type="dxa"/>
          </w:tcPr>
          <w:p w14:paraId="79CED509" w14:textId="3E38A6C8" w:rsidR="00597D0D" w:rsidRPr="00936ADF" w:rsidRDefault="00597D0D" w:rsidP="005D74B9">
            <w:pPr>
              <w:pStyle w:val="TCTableBody"/>
              <w:spacing w:before="0" w:after="0"/>
            </w:pPr>
            <w:r w:rsidRPr="00936ADF">
              <w:t>5</w:t>
            </w:r>
            <w:r w:rsidR="00B57A46" w:rsidRPr="00936ADF">
              <w:t>8.6</w:t>
            </w:r>
          </w:p>
        </w:tc>
        <w:tc>
          <w:tcPr>
            <w:tcW w:w="480" w:type="dxa"/>
          </w:tcPr>
          <w:p w14:paraId="0ECFAFFC" w14:textId="2DC02D8A" w:rsidR="00597D0D" w:rsidRPr="00936ADF" w:rsidRDefault="00597D0D" w:rsidP="005D74B9">
            <w:pPr>
              <w:pStyle w:val="TCTableBody"/>
              <w:spacing w:before="0" w:after="0"/>
            </w:pPr>
            <w:r w:rsidRPr="00936ADF">
              <w:t>21</w:t>
            </w:r>
            <w:r w:rsidR="009B0CA3" w:rsidRPr="00936ADF">
              <w:t>.3</w:t>
            </w:r>
          </w:p>
        </w:tc>
        <w:tc>
          <w:tcPr>
            <w:tcW w:w="738" w:type="dxa"/>
          </w:tcPr>
          <w:p w14:paraId="5A179D41" w14:textId="0D442052" w:rsidR="00597D0D" w:rsidRPr="00936ADF" w:rsidRDefault="009B0CA3" w:rsidP="005D74B9">
            <w:pPr>
              <w:pStyle w:val="TCTableBody"/>
              <w:spacing w:before="0" w:after="0"/>
            </w:pPr>
            <w:r w:rsidRPr="00936ADF">
              <w:t>2.8</w:t>
            </w:r>
            <w:r w:rsidR="00597D0D" w:rsidRPr="00936ADF">
              <w:t xml:space="preserve"> : 1</w:t>
            </w:r>
          </w:p>
        </w:tc>
      </w:tr>
      <w:tr w:rsidR="00597D0D" w:rsidRPr="00936ADF" w14:paraId="5B1BDD4D" w14:textId="56F8A0D3" w:rsidTr="008F6EB3">
        <w:tc>
          <w:tcPr>
            <w:tcW w:w="478" w:type="dxa"/>
          </w:tcPr>
          <w:p w14:paraId="682FF577" w14:textId="528E8FDB" w:rsidR="00597D0D" w:rsidRPr="00936ADF" w:rsidRDefault="00597D0D" w:rsidP="005D74B9">
            <w:pPr>
              <w:pStyle w:val="TCTableBody"/>
              <w:spacing w:before="0" w:after="0"/>
            </w:pPr>
            <w:r w:rsidRPr="00936ADF">
              <w:t>3</w:t>
            </w:r>
          </w:p>
        </w:tc>
        <w:tc>
          <w:tcPr>
            <w:tcW w:w="1046" w:type="dxa"/>
          </w:tcPr>
          <w:p w14:paraId="068ECA80" w14:textId="6763856F" w:rsidR="00597D0D" w:rsidRPr="00936ADF" w:rsidRDefault="00597D0D" w:rsidP="005D74B9">
            <w:pPr>
              <w:pStyle w:val="TCTableBody"/>
              <w:spacing w:before="0" w:after="0"/>
            </w:pPr>
            <w:r w:rsidRPr="00936ADF">
              <w:t>THF</w:t>
            </w:r>
          </w:p>
        </w:tc>
        <w:tc>
          <w:tcPr>
            <w:tcW w:w="1363" w:type="dxa"/>
          </w:tcPr>
          <w:p w14:paraId="2EFB33A5" w14:textId="55994DCF" w:rsidR="00597D0D" w:rsidRPr="00936ADF" w:rsidRDefault="00597D0D" w:rsidP="005D74B9">
            <w:pPr>
              <w:pStyle w:val="TCTableBody"/>
              <w:spacing w:before="0" w:after="0"/>
            </w:pPr>
            <w:r w:rsidRPr="00936ADF">
              <w:t>1</w:t>
            </w:r>
            <w:r w:rsidRPr="00936ADF">
              <w:rPr>
                <w:i/>
                <w:iCs/>
              </w:rPr>
              <w:t>-t</w:t>
            </w:r>
            <w:r w:rsidRPr="00936ADF">
              <w:t>-Bu-indene (0.1)</w:t>
            </w:r>
          </w:p>
        </w:tc>
        <w:tc>
          <w:tcPr>
            <w:tcW w:w="690" w:type="dxa"/>
          </w:tcPr>
          <w:p w14:paraId="75F8FBAF" w14:textId="3DBC580D" w:rsidR="00597D0D" w:rsidRPr="00936ADF" w:rsidRDefault="00597D0D" w:rsidP="005D74B9">
            <w:pPr>
              <w:pStyle w:val="TCTableBody"/>
              <w:spacing w:before="0" w:after="0"/>
            </w:pPr>
            <w:r w:rsidRPr="00936ADF">
              <w:t>23</w:t>
            </w:r>
            <w:r w:rsidR="009B0CA3" w:rsidRPr="00936ADF">
              <w:t>.0</w:t>
            </w:r>
          </w:p>
        </w:tc>
        <w:tc>
          <w:tcPr>
            <w:tcW w:w="480" w:type="dxa"/>
          </w:tcPr>
          <w:p w14:paraId="6BDC51FF" w14:textId="4CDABA0F" w:rsidR="00597D0D" w:rsidRPr="00936ADF" w:rsidRDefault="00597D0D" w:rsidP="005D74B9">
            <w:pPr>
              <w:pStyle w:val="TCTableBody"/>
              <w:spacing w:before="0" w:after="0"/>
            </w:pPr>
            <w:r w:rsidRPr="00936ADF">
              <w:t>39</w:t>
            </w:r>
            <w:r w:rsidR="009B0CA3" w:rsidRPr="00936ADF">
              <w:t>.4</w:t>
            </w:r>
          </w:p>
        </w:tc>
        <w:tc>
          <w:tcPr>
            <w:tcW w:w="738" w:type="dxa"/>
          </w:tcPr>
          <w:p w14:paraId="1B3EB32B" w14:textId="0C9B3DAC" w:rsidR="00597D0D" w:rsidRPr="00936ADF" w:rsidRDefault="00597D0D" w:rsidP="005D74B9">
            <w:pPr>
              <w:pStyle w:val="TCTableBody"/>
              <w:spacing w:before="0" w:after="0"/>
            </w:pPr>
            <w:r w:rsidRPr="00936ADF">
              <w:t xml:space="preserve">1 : </w:t>
            </w:r>
            <w:r w:rsidR="009B0CA3" w:rsidRPr="00936ADF">
              <w:t>1.7</w:t>
            </w:r>
          </w:p>
        </w:tc>
      </w:tr>
      <w:tr w:rsidR="00597D0D" w:rsidRPr="00936ADF" w14:paraId="313C40AE" w14:textId="4F6C3D68" w:rsidTr="008F6EB3">
        <w:tc>
          <w:tcPr>
            <w:tcW w:w="478" w:type="dxa"/>
          </w:tcPr>
          <w:p w14:paraId="5705CBAE" w14:textId="42319555" w:rsidR="00597D0D" w:rsidRPr="00936ADF" w:rsidRDefault="00597D0D" w:rsidP="005D74B9">
            <w:pPr>
              <w:pStyle w:val="TCTableBody"/>
              <w:spacing w:before="0" w:after="0"/>
            </w:pPr>
            <w:r w:rsidRPr="00936ADF">
              <w:t>4</w:t>
            </w:r>
          </w:p>
        </w:tc>
        <w:tc>
          <w:tcPr>
            <w:tcW w:w="1046" w:type="dxa"/>
          </w:tcPr>
          <w:p w14:paraId="52613724" w14:textId="7002DEB2" w:rsidR="00597D0D" w:rsidRPr="00936ADF" w:rsidRDefault="00597D0D" w:rsidP="005D74B9">
            <w:pPr>
              <w:pStyle w:val="TCTableBody"/>
              <w:spacing w:before="0" w:after="0"/>
            </w:pPr>
            <w:r w:rsidRPr="00936ADF">
              <w:t>THF</w:t>
            </w:r>
          </w:p>
        </w:tc>
        <w:tc>
          <w:tcPr>
            <w:tcW w:w="1363" w:type="dxa"/>
          </w:tcPr>
          <w:p w14:paraId="768D2F33" w14:textId="42F8BACA" w:rsidR="00597D0D" w:rsidRPr="00936ADF" w:rsidRDefault="00597D0D" w:rsidP="005D74B9">
            <w:pPr>
              <w:pStyle w:val="TCTableBody"/>
              <w:spacing w:before="0" w:after="0"/>
            </w:pPr>
            <w:r w:rsidRPr="00936ADF">
              <w:t>pyridine (0.1)</w:t>
            </w:r>
          </w:p>
        </w:tc>
        <w:tc>
          <w:tcPr>
            <w:tcW w:w="690" w:type="dxa"/>
          </w:tcPr>
          <w:p w14:paraId="2158B08A" w14:textId="31305E82" w:rsidR="00597D0D" w:rsidRPr="00936ADF" w:rsidRDefault="00597D0D" w:rsidP="005D74B9">
            <w:pPr>
              <w:pStyle w:val="TCTableBody"/>
              <w:spacing w:before="0" w:after="0"/>
            </w:pPr>
            <w:r w:rsidRPr="00936ADF">
              <w:t>44</w:t>
            </w:r>
            <w:r w:rsidR="009B0CA3" w:rsidRPr="00936ADF">
              <w:t>.0</w:t>
            </w:r>
          </w:p>
        </w:tc>
        <w:tc>
          <w:tcPr>
            <w:tcW w:w="480" w:type="dxa"/>
          </w:tcPr>
          <w:p w14:paraId="62795F18" w14:textId="38291847" w:rsidR="00597D0D" w:rsidRPr="00936ADF" w:rsidRDefault="00597D0D" w:rsidP="005D74B9">
            <w:pPr>
              <w:pStyle w:val="TCTableBody"/>
              <w:spacing w:before="0" w:after="0"/>
            </w:pPr>
            <w:r w:rsidRPr="00936ADF">
              <w:t>2</w:t>
            </w:r>
            <w:r w:rsidR="009B0CA3" w:rsidRPr="00936ADF">
              <w:t>8.8</w:t>
            </w:r>
          </w:p>
        </w:tc>
        <w:tc>
          <w:tcPr>
            <w:tcW w:w="738" w:type="dxa"/>
          </w:tcPr>
          <w:p w14:paraId="067C8EE2" w14:textId="42705FE0" w:rsidR="00597D0D" w:rsidRPr="00936ADF" w:rsidRDefault="009B0CA3" w:rsidP="005D74B9">
            <w:pPr>
              <w:pStyle w:val="TCTableBody"/>
              <w:spacing w:before="0" w:after="0"/>
            </w:pPr>
            <w:r w:rsidRPr="00936ADF">
              <w:t>1.5</w:t>
            </w:r>
            <w:r w:rsidR="00597D0D" w:rsidRPr="00936ADF">
              <w:t xml:space="preserve"> : 1</w:t>
            </w:r>
          </w:p>
        </w:tc>
      </w:tr>
      <w:tr w:rsidR="00597D0D" w:rsidRPr="00936ADF" w14:paraId="39FDAFD5" w14:textId="73822E3E" w:rsidTr="008F6EB3">
        <w:tc>
          <w:tcPr>
            <w:tcW w:w="478" w:type="dxa"/>
          </w:tcPr>
          <w:p w14:paraId="6F8A1824" w14:textId="033AB061" w:rsidR="00597D0D" w:rsidRPr="00936ADF" w:rsidRDefault="00597D0D" w:rsidP="005D74B9">
            <w:pPr>
              <w:pStyle w:val="TCTableBody"/>
              <w:spacing w:before="0" w:after="0"/>
            </w:pPr>
            <w:r w:rsidRPr="00936ADF">
              <w:t>5</w:t>
            </w:r>
          </w:p>
        </w:tc>
        <w:tc>
          <w:tcPr>
            <w:tcW w:w="1046" w:type="dxa"/>
          </w:tcPr>
          <w:p w14:paraId="1B8A1DAA" w14:textId="392637AB" w:rsidR="00597D0D" w:rsidRPr="00936ADF" w:rsidRDefault="00597D0D" w:rsidP="005D74B9">
            <w:pPr>
              <w:pStyle w:val="TCTableBody"/>
              <w:spacing w:before="0" w:after="0"/>
            </w:pPr>
            <w:r w:rsidRPr="00936ADF">
              <w:t>THF</w:t>
            </w:r>
          </w:p>
        </w:tc>
        <w:tc>
          <w:tcPr>
            <w:tcW w:w="1363" w:type="dxa"/>
          </w:tcPr>
          <w:p w14:paraId="1CA0BC28" w14:textId="4B7CDA55" w:rsidR="00597D0D" w:rsidRPr="00936ADF" w:rsidRDefault="00597D0D" w:rsidP="005D74B9">
            <w:pPr>
              <w:pStyle w:val="TCTableBody"/>
              <w:spacing w:before="0" w:after="0"/>
            </w:pPr>
            <w:r w:rsidRPr="00936ADF">
              <w:t>lutidine (0.1)</w:t>
            </w:r>
          </w:p>
        </w:tc>
        <w:tc>
          <w:tcPr>
            <w:tcW w:w="690" w:type="dxa"/>
          </w:tcPr>
          <w:p w14:paraId="5D5F0340" w14:textId="2633565D" w:rsidR="00597D0D" w:rsidRPr="00936ADF" w:rsidRDefault="00597D0D" w:rsidP="005D74B9">
            <w:pPr>
              <w:pStyle w:val="TCTableBody"/>
              <w:spacing w:before="0" w:after="0"/>
            </w:pPr>
            <w:r w:rsidRPr="00936ADF">
              <w:t>3</w:t>
            </w:r>
            <w:r w:rsidR="009B0CA3" w:rsidRPr="00936ADF">
              <w:t>5.7</w:t>
            </w:r>
          </w:p>
        </w:tc>
        <w:tc>
          <w:tcPr>
            <w:tcW w:w="480" w:type="dxa"/>
          </w:tcPr>
          <w:p w14:paraId="210C9B59" w14:textId="25BBB458" w:rsidR="00597D0D" w:rsidRPr="00936ADF" w:rsidRDefault="00597D0D" w:rsidP="005D74B9">
            <w:pPr>
              <w:pStyle w:val="TCTableBody"/>
              <w:spacing w:before="0" w:after="0"/>
            </w:pPr>
            <w:r w:rsidRPr="00936ADF">
              <w:t>3</w:t>
            </w:r>
            <w:r w:rsidR="009B0CA3" w:rsidRPr="00936ADF">
              <w:t>3.6</w:t>
            </w:r>
          </w:p>
        </w:tc>
        <w:tc>
          <w:tcPr>
            <w:tcW w:w="738" w:type="dxa"/>
          </w:tcPr>
          <w:p w14:paraId="6434FEED" w14:textId="0970FC47" w:rsidR="00597D0D" w:rsidRPr="00936ADF" w:rsidRDefault="00597D0D" w:rsidP="005D74B9">
            <w:pPr>
              <w:pStyle w:val="TCTableBody"/>
              <w:spacing w:before="0" w:after="0"/>
            </w:pPr>
            <w:r w:rsidRPr="00936ADF">
              <w:t>1</w:t>
            </w:r>
            <w:r w:rsidR="009B0CA3" w:rsidRPr="00936ADF">
              <w:t>.1</w:t>
            </w:r>
            <w:r w:rsidRPr="00936ADF">
              <w:t xml:space="preserve"> : 1</w:t>
            </w:r>
          </w:p>
        </w:tc>
      </w:tr>
      <w:tr w:rsidR="00597D0D" w:rsidRPr="00936ADF" w14:paraId="692962D9" w14:textId="6024B46B" w:rsidTr="008F6EB3">
        <w:tc>
          <w:tcPr>
            <w:tcW w:w="478" w:type="dxa"/>
          </w:tcPr>
          <w:p w14:paraId="544F6029" w14:textId="7D8D2C30" w:rsidR="00597D0D" w:rsidRPr="00936ADF" w:rsidRDefault="00597D0D" w:rsidP="005D74B9">
            <w:pPr>
              <w:pStyle w:val="TCTableBody"/>
              <w:spacing w:before="0" w:after="0"/>
            </w:pPr>
            <w:r w:rsidRPr="00936ADF">
              <w:t>6</w:t>
            </w:r>
          </w:p>
        </w:tc>
        <w:tc>
          <w:tcPr>
            <w:tcW w:w="1046" w:type="dxa"/>
          </w:tcPr>
          <w:p w14:paraId="2F320141" w14:textId="0A326F45" w:rsidR="00597D0D" w:rsidRPr="00936ADF" w:rsidRDefault="00597D0D" w:rsidP="005D74B9">
            <w:pPr>
              <w:pStyle w:val="TCTableBody"/>
              <w:spacing w:before="0" w:after="0"/>
            </w:pPr>
            <w:r w:rsidRPr="00936ADF">
              <w:t>THF</w:t>
            </w:r>
          </w:p>
        </w:tc>
        <w:tc>
          <w:tcPr>
            <w:tcW w:w="1363" w:type="dxa"/>
          </w:tcPr>
          <w:p w14:paraId="2C66EA30" w14:textId="0F8D77CD" w:rsidR="00597D0D" w:rsidRPr="00936ADF" w:rsidRDefault="00597D0D" w:rsidP="005D74B9">
            <w:pPr>
              <w:pStyle w:val="TCTableBody"/>
              <w:spacing w:before="0" w:after="0"/>
            </w:pPr>
            <w:r w:rsidRPr="00936ADF">
              <w:t>DMSO (0.1)</w:t>
            </w:r>
          </w:p>
        </w:tc>
        <w:tc>
          <w:tcPr>
            <w:tcW w:w="690" w:type="dxa"/>
          </w:tcPr>
          <w:p w14:paraId="03330989" w14:textId="7FA14EA5" w:rsidR="00597D0D" w:rsidRPr="00936ADF" w:rsidRDefault="00597D0D" w:rsidP="005D74B9">
            <w:pPr>
              <w:pStyle w:val="TCTableBody"/>
              <w:spacing w:before="0" w:after="0"/>
            </w:pPr>
            <w:r w:rsidRPr="00936ADF">
              <w:t>6</w:t>
            </w:r>
            <w:r w:rsidR="009D3B81" w:rsidRPr="00936ADF">
              <w:t>2.5</w:t>
            </w:r>
          </w:p>
        </w:tc>
        <w:tc>
          <w:tcPr>
            <w:tcW w:w="480" w:type="dxa"/>
          </w:tcPr>
          <w:p w14:paraId="580174EE" w14:textId="165ACDCE" w:rsidR="00597D0D" w:rsidRPr="00936ADF" w:rsidRDefault="00597D0D" w:rsidP="005D74B9">
            <w:pPr>
              <w:pStyle w:val="TCTableBody"/>
              <w:spacing w:before="0" w:after="0"/>
            </w:pPr>
            <w:r w:rsidRPr="00936ADF">
              <w:t>1</w:t>
            </w:r>
            <w:r w:rsidR="009D3B81" w:rsidRPr="00936ADF">
              <w:t>4.7</w:t>
            </w:r>
          </w:p>
        </w:tc>
        <w:tc>
          <w:tcPr>
            <w:tcW w:w="738" w:type="dxa"/>
          </w:tcPr>
          <w:p w14:paraId="7B2A6368" w14:textId="4293B059" w:rsidR="00597D0D" w:rsidRPr="00936ADF" w:rsidRDefault="00597D0D" w:rsidP="005D74B9">
            <w:pPr>
              <w:pStyle w:val="TCTableBody"/>
              <w:spacing w:before="0" w:after="0"/>
            </w:pPr>
            <w:r w:rsidRPr="00936ADF">
              <w:t>4</w:t>
            </w:r>
            <w:r w:rsidR="009B0CA3" w:rsidRPr="00936ADF">
              <w:t>.3</w:t>
            </w:r>
            <w:r w:rsidRPr="00936ADF">
              <w:t xml:space="preserve"> : 1</w:t>
            </w:r>
          </w:p>
        </w:tc>
      </w:tr>
      <w:tr w:rsidR="00597D0D" w:rsidRPr="00936ADF" w14:paraId="7789DFF4" w14:textId="24347442" w:rsidTr="008F6EB3">
        <w:tc>
          <w:tcPr>
            <w:tcW w:w="478" w:type="dxa"/>
          </w:tcPr>
          <w:p w14:paraId="73C21E82" w14:textId="2BE51B10" w:rsidR="00597D0D" w:rsidRPr="00936ADF" w:rsidRDefault="00597D0D" w:rsidP="005D74B9">
            <w:pPr>
              <w:pStyle w:val="TCTableBody"/>
              <w:spacing w:before="0" w:after="0"/>
            </w:pPr>
            <w:r w:rsidRPr="00936ADF">
              <w:t>7</w:t>
            </w:r>
          </w:p>
        </w:tc>
        <w:tc>
          <w:tcPr>
            <w:tcW w:w="1046" w:type="dxa"/>
          </w:tcPr>
          <w:p w14:paraId="5AF2AAC7" w14:textId="4BE35CDE" w:rsidR="00597D0D" w:rsidRPr="00936ADF" w:rsidRDefault="00597D0D" w:rsidP="005D74B9">
            <w:pPr>
              <w:pStyle w:val="TCTableBody"/>
              <w:spacing w:before="0" w:after="0"/>
            </w:pPr>
            <w:r w:rsidRPr="00936ADF">
              <w:t>THF</w:t>
            </w:r>
          </w:p>
        </w:tc>
        <w:tc>
          <w:tcPr>
            <w:tcW w:w="1363" w:type="dxa"/>
          </w:tcPr>
          <w:p w14:paraId="2A8E8D4E" w14:textId="0E3B939E" w:rsidR="00597D0D" w:rsidRPr="00936ADF" w:rsidRDefault="00597D0D" w:rsidP="005D74B9">
            <w:pPr>
              <w:pStyle w:val="TCTableBody"/>
              <w:spacing w:before="0" w:after="0"/>
            </w:pPr>
            <w:r w:rsidRPr="00936ADF">
              <w:t>DMSO (1)</w:t>
            </w:r>
          </w:p>
        </w:tc>
        <w:tc>
          <w:tcPr>
            <w:tcW w:w="690" w:type="dxa"/>
          </w:tcPr>
          <w:p w14:paraId="39CFAA39" w14:textId="046DF00A" w:rsidR="00597D0D" w:rsidRPr="00936ADF" w:rsidRDefault="00597D0D" w:rsidP="005D74B9">
            <w:pPr>
              <w:pStyle w:val="TCTableBody"/>
              <w:spacing w:before="0" w:after="0"/>
            </w:pPr>
            <w:r w:rsidRPr="00936ADF">
              <w:t>7</w:t>
            </w:r>
            <w:r w:rsidR="00540250" w:rsidRPr="00936ADF">
              <w:t>8.5</w:t>
            </w:r>
          </w:p>
        </w:tc>
        <w:tc>
          <w:tcPr>
            <w:tcW w:w="480" w:type="dxa"/>
          </w:tcPr>
          <w:p w14:paraId="6EC23215" w14:textId="2A31B95C" w:rsidR="00597D0D" w:rsidRPr="00936ADF" w:rsidRDefault="00597D0D" w:rsidP="005D74B9">
            <w:pPr>
              <w:pStyle w:val="TCTableBody"/>
              <w:spacing w:before="0" w:after="0"/>
            </w:pPr>
            <w:r w:rsidRPr="00936ADF">
              <w:t>1</w:t>
            </w:r>
            <w:r w:rsidR="00540250" w:rsidRPr="00936ADF">
              <w:t>0.8</w:t>
            </w:r>
          </w:p>
        </w:tc>
        <w:tc>
          <w:tcPr>
            <w:tcW w:w="738" w:type="dxa"/>
          </w:tcPr>
          <w:p w14:paraId="0B5CDBFA" w14:textId="76C9DC13" w:rsidR="00597D0D" w:rsidRPr="00936ADF" w:rsidRDefault="00597D0D" w:rsidP="005D74B9">
            <w:pPr>
              <w:pStyle w:val="TCTableBody"/>
              <w:spacing w:before="0" w:after="0"/>
            </w:pPr>
            <w:r w:rsidRPr="00936ADF">
              <w:t>7</w:t>
            </w:r>
            <w:r w:rsidR="009B0CA3" w:rsidRPr="00936ADF">
              <w:t>.3</w:t>
            </w:r>
            <w:r w:rsidRPr="00936ADF">
              <w:t xml:space="preserve"> : 1</w:t>
            </w:r>
          </w:p>
        </w:tc>
      </w:tr>
      <w:tr w:rsidR="00597D0D" w:rsidRPr="00936ADF" w14:paraId="6945CC2F" w14:textId="046FAAB0" w:rsidTr="008F6EB3">
        <w:tc>
          <w:tcPr>
            <w:tcW w:w="478" w:type="dxa"/>
          </w:tcPr>
          <w:p w14:paraId="7F619B8F" w14:textId="1D083804" w:rsidR="00597D0D" w:rsidRPr="00936ADF" w:rsidRDefault="00597D0D" w:rsidP="005D74B9">
            <w:pPr>
              <w:pStyle w:val="TCTableBody"/>
              <w:spacing w:before="0" w:after="0"/>
              <w:rPr>
                <w:i/>
                <w:iCs/>
                <w:vertAlign w:val="superscript"/>
              </w:rPr>
            </w:pPr>
            <w:r w:rsidRPr="00936ADF">
              <w:t>8</w:t>
            </w:r>
            <w:r w:rsidR="007171CB" w:rsidRPr="00936ADF">
              <w:rPr>
                <w:i/>
                <w:iCs/>
                <w:vertAlign w:val="superscript"/>
              </w:rPr>
              <w:t>b</w:t>
            </w:r>
          </w:p>
        </w:tc>
        <w:tc>
          <w:tcPr>
            <w:tcW w:w="1046" w:type="dxa"/>
          </w:tcPr>
          <w:p w14:paraId="4814B448" w14:textId="6C6E9054" w:rsidR="00597D0D" w:rsidRPr="00936ADF" w:rsidRDefault="00597D0D" w:rsidP="005D74B9">
            <w:pPr>
              <w:pStyle w:val="TCTableBody"/>
              <w:spacing w:before="0" w:after="0"/>
            </w:pPr>
            <w:r w:rsidRPr="00936ADF">
              <w:t>THF</w:t>
            </w:r>
          </w:p>
        </w:tc>
        <w:tc>
          <w:tcPr>
            <w:tcW w:w="1363" w:type="dxa"/>
          </w:tcPr>
          <w:p w14:paraId="5D550393" w14:textId="3220E390" w:rsidR="00597D0D" w:rsidRPr="00936ADF" w:rsidRDefault="00597D0D" w:rsidP="005D74B9">
            <w:pPr>
              <w:pStyle w:val="TCTableBody"/>
              <w:spacing w:before="0" w:after="0"/>
            </w:pPr>
            <w:r w:rsidRPr="00936ADF">
              <w:t>--</w:t>
            </w:r>
          </w:p>
        </w:tc>
        <w:tc>
          <w:tcPr>
            <w:tcW w:w="690" w:type="dxa"/>
          </w:tcPr>
          <w:p w14:paraId="2176FAF1" w14:textId="68384752" w:rsidR="00597D0D" w:rsidRPr="00936ADF" w:rsidRDefault="00597D0D" w:rsidP="005D74B9">
            <w:pPr>
              <w:pStyle w:val="TCTableBody"/>
              <w:spacing w:before="0" w:after="0"/>
            </w:pPr>
            <w:r w:rsidRPr="00936ADF">
              <w:t>0</w:t>
            </w:r>
            <w:r w:rsidR="00F5752A" w:rsidRPr="00936ADF">
              <w:t>.0</w:t>
            </w:r>
          </w:p>
        </w:tc>
        <w:tc>
          <w:tcPr>
            <w:tcW w:w="480" w:type="dxa"/>
          </w:tcPr>
          <w:p w14:paraId="6C85AF8A" w14:textId="455336FC" w:rsidR="00597D0D" w:rsidRPr="00936ADF" w:rsidRDefault="00AA5F44" w:rsidP="005D74B9">
            <w:pPr>
              <w:pStyle w:val="TCTableBody"/>
              <w:spacing w:before="0" w:after="0"/>
            </w:pPr>
            <w:r w:rsidRPr="00936ADF">
              <w:t>50</w:t>
            </w:r>
            <w:r w:rsidR="00540250" w:rsidRPr="00936ADF">
              <w:t>.3</w:t>
            </w:r>
          </w:p>
        </w:tc>
        <w:tc>
          <w:tcPr>
            <w:tcW w:w="738" w:type="dxa"/>
          </w:tcPr>
          <w:p w14:paraId="4AF3E380" w14:textId="1DE9A200" w:rsidR="00597D0D" w:rsidRPr="00936ADF" w:rsidRDefault="00597D0D" w:rsidP="005D74B9">
            <w:pPr>
              <w:pStyle w:val="TCTableBody"/>
              <w:spacing w:before="0" w:after="0"/>
            </w:pPr>
            <w:r w:rsidRPr="00936ADF">
              <w:t>1 : &gt;99</w:t>
            </w:r>
          </w:p>
        </w:tc>
      </w:tr>
      <w:tr w:rsidR="00597D0D" w:rsidRPr="00936ADF" w14:paraId="3136C388" w14:textId="096B7CDF" w:rsidTr="008F6EB3">
        <w:tc>
          <w:tcPr>
            <w:tcW w:w="478" w:type="dxa"/>
          </w:tcPr>
          <w:p w14:paraId="35B71478" w14:textId="0A2D198B" w:rsidR="00597D0D" w:rsidRPr="00936ADF" w:rsidRDefault="00597D0D" w:rsidP="005D74B9">
            <w:pPr>
              <w:pStyle w:val="TCTableBody"/>
              <w:spacing w:before="0" w:after="0"/>
            </w:pPr>
            <w:r w:rsidRPr="00936ADF">
              <w:t>9</w:t>
            </w:r>
            <w:r w:rsidR="007171CB" w:rsidRPr="00936ADF">
              <w:rPr>
                <w:i/>
                <w:iCs/>
                <w:vertAlign w:val="superscript"/>
              </w:rPr>
              <w:t>b</w:t>
            </w:r>
          </w:p>
        </w:tc>
        <w:tc>
          <w:tcPr>
            <w:tcW w:w="1046" w:type="dxa"/>
          </w:tcPr>
          <w:p w14:paraId="4C90FC10" w14:textId="68A3E4FE" w:rsidR="00597D0D" w:rsidRPr="00936ADF" w:rsidRDefault="00597D0D" w:rsidP="005D74B9">
            <w:pPr>
              <w:pStyle w:val="TCTableBody"/>
              <w:spacing w:before="0" w:after="0"/>
            </w:pPr>
            <w:r w:rsidRPr="00936ADF">
              <w:t>THF</w:t>
            </w:r>
          </w:p>
        </w:tc>
        <w:tc>
          <w:tcPr>
            <w:tcW w:w="1363" w:type="dxa"/>
          </w:tcPr>
          <w:p w14:paraId="7122D517" w14:textId="770486E4" w:rsidR="00597D0D" w:rsidRPr="00936ADF" w:rsidRDefault="00597D0D" w:rsidP="005D74B9">
            <w:pPr>
              <w:pStyle w:val="TCTableBody"/>
              <w:spacing w:before="0" w:after="0"/>
            </w:pPr>
            <w:r w:rsidRPr="00936ADF">
              <w:t>DMSO (0.1)</w:t>
            </w:r>
          </w:p>
        </w:tc>
        <w:tc>
          <w:tcPr>
            <w:tcW w:w="690" w:type="dxa"/>
          </w:tcPr>
          <w:p w14:paraId="6055C70B" w14:textId="37F60EAC" w:rsidR="00597D0D" w:rsidRPr="00936ADF" w:rsidRDefault="00F007B6" w:rsidP="005D74B9">
            <w:pPr>
              <w:pStyle w:val="TCTableBody"/>
              <w:spacing w:before="0" w:after="0"/>
            </w:pPr>
            <w:r w:rsidRPr="00936ADF">
              <w:t>1</w:t>
            </w:r>
            <w:r w:rsidR="00540250" w:rsidRPr="00936ADF">
              <w:t>.2</w:t>
            </w:r>
          </w:p>
        </w:tc>
        <w:tc>
          <w:tcPr>
            <w:tcW w:w="480" w:type="dxa"/>
          </w:tcPr>
          <w:p w14:paraId="55C1DC38" w14:textId="29A3983F" w:rsidR="00597D0D" w:rsidRPr="00936ADF" w:rsidRDefault="00597D0D" w:rsidP="005D74B9">
            <w:pPr>
              <w:pStyle w:val="TCTableBody"/>
              <w:spacing w:before="0" w:after="0"/>
            </w:pPr>
            <w:r w:rsidRPr="00936ADF">
              <w:t>4</w:t>
            </w:r>
            <w:r w:rsidR="00F007B6" w:rsidRPr="00936ADF">
              <w:t>3</w:t>
            </w:r>
            <w:r w:rsidR="00540250" w:rsidRPr="00936ADF">
              <w:t>.6</w:t>
            </w:r>
          </w:p>
        </w:tc>
        <w:tc>
          <w:tcPr>
            <w:tcW w:w="738" w:type="dxa"/>
          </w:tcPr>
          <w:p w14:paraId="7BA2228B" w14:textId="453D1FF1" w:rsidR="00597D0D" w:rsidRPr="00936ADF" w:rsidRDefault="00597D0D" w:rsidP="005D74B9">
            <w:pPr>
              <w:pStyle w:val="TCTableBody"/>
              <w:spacing w:before="0" w:after="0"/>
            </w:pPr>
            <w:r w:rsidRPr="00936ADF">
              <w:t xml:space="preserve">1 : </w:t>
            </w:r>
            <w:r w:rsidR="00540250" w:rsidRPr="00936ADF">
              <w:t>38</w:t>
            </w:r>
          </w:p>
        </w:tc>
      </w:tr>
      <w:tr w:rsidR="00597D0D" w:rsidRPr="00936ADF" w14:paraId="6C414808" w14:textId="16141CCB" w:rsidTr="008F6EB3">
        <w:tc>
          <w:tcPr>
            <w:tcW w:w="478" w:type="dxa"/>
          </w:tcPr>
          <w:p w14:paraId="1CF810D3" w14:textId="50FEC43B" w:rsidR="00597D0D" w:rsidRPr="00936ADF" w:rsidRDefault="00597D0D" w:rsidP="005D74B9">
            <w:pPr>
              <w:pStyle w:val="TCTableBody"/>
              <w:spacing w:before="0" w:after="0"/>
            </w:pPr>
            <w:r w:rsidRPr="00936ADF">
              <w:t>10</w:t>
            </w:r>
            <w:r w:rsidR="007171CB" w:rsidRPr="00936ADF">
              <w:rPr>
                <w:i/>
                <w:iCs/>
                <w:vertAlign w:val="superscript"/>
              </w:rPr>
              <w:t>b</w:t>
            </w:r>
          </w:p>
        </w:tc>
        <w:tc>
          <w:tcPr>
            <w:tcW w:w="1046" w:type="dxa"/>
          </w:tcPr>
          <w:p w14:paraId="62DA876A" w14:textId="7294D57D" w:rsidR="00597D0D" w:rsidRPr="00936ADF" w:rsidRDefault="00597D0D" w:rsidP="005D74B9">
            <w:pPr>
              <w:pStyle w:val="TCTableBody"/>
              <w:spacing w:before="0" w:after="0"/>
            </w:pPr>
            <w:r w:rsidRPr="00936ADF">
              <w:t>THF</w:t>
            </w:r>
          </w:p>
        </w:tc>
        <w:tc>
          <w:tcPr>
            <w:tcW w:w="1363" w:type="dxa"/>
          </w:tcPr>
          <w:p w14:paraId="7489DAFA" w14:textId="20427A89" w:rsidR="00597D0D" w:rsidRPr="00936ADF" w:rsidRDefault="00597D0D" w:rsidP="005D74B9">
            <w:pPr>
              <w:pStyle w:val="TCTableBody"/>
              <w:spacing w:before="0" w:after="0"/>
            </w:pPr>
            <w:r w:rsidRPr="00936ADF">
              <w:t>DMSO (10)</w:t>
            </w:r>
          </w:p>
        </w:tc>
        <w:tc>
          <w:tcPr>
            <w:tcW w:w="690" w:type="dxa"/>
          </w:tcPr>
          <w:p w14:paraId="67A2911E" w14:textId="1AFC3699" w:rsidR="00597D0D" w:rsidRPr="00936ADF" w:rsidRDefault="00597D0D" w:rsidP="005D74B9">
            <w:pPr>
              <w:pStyle w:val="TCTableBody"/>
              <w:spacing w:before="0" w:after="0"/>
            </w:pPr>
            <w:r w:rsidRPr="00936ADF">
              <w:t>3</w:t>
            </w:r>
            <w:r w:rsidR="00540250" w:rsidRPr="00936ADF">
              <w:t>1.6</w:t>
            </w:r>
          </w:p>
        </w:tc>
        <w:tc>
          <w:tcPr>
            <w:tcW w:w="480" w:type="dxa"/>
          </w:tcPr>
          <w:p w14:paraId="62A6261B" w14:textId="30BD6F93" w:rsidR="00597D0D" w:rsidRPr="00936ADF" w:rsidRDefault="00597D0D" w:rsidP="005D74B9">
            <w:pPr>
              <w:pStyle w:val="TCTableBody"/>
              <w:spacing w:before="0" w:after="0"/>
            </w:pPr>
            <w:r w:rsidRPr="00936ADF">
              <w:t>2</w:t>
            </w:r>
            <w:r w:rsidR="00540250" w:rsidRPr="00936ADF">
              <w:t>7.7</w:t>
            </w:r>
          </w:p>
        </w:tc>
        <w:tc>
          <w:tcPr>
            <w:tcW w:w="738" w:type="dxa"/>
          </w:tcPr>
          <w:p w14:paraId="1CA1599C" w14:textId="384621E7" w:rsidR="00597D0D" w:rsidRPr="00936ADF" w:rsidRDefault="00597D0D" w:rsidP="005D74B9">
            <w:pPr>
              <w:pStyle w:val="TCTableBody"/>
              <w:spacing w:before="0" w:after="0"/>
            </w:pPr>
            <w:r w:rsidRPr="00936ADF">
              <w:t>1</w:t>
            </w:r>
            <w:r w:rsidR="009B0CA3" w:rsidRPr="00936ADF">
              <w:t>.1</w:t>
            </w:r>
            <w:r w:rsidRPr="00936ADF">
              <w:t xml:space="preserve"> : 1</w:t>
            </w:r>
          </w:p>
        </w:tc>
      </w:tr>
      <w:tr w:rsidR="008F6EB3" w:rsidRPr="00936ADF" w14:paraId="680D3449" w14:textId="77777777" w:rsidTr="008F6EB3">
        <w:tc>
          <w:tcPr>
            <w:tcW w:w="478" w:type="dxa"/>
          </w:tcPr>
          <w:p w14:paraId="44D7B566" w14:textId="27770ACE" w:rsidR="008F6EB3" w:rsidRPr="00936ADF" w:rsidRDefault="008F6EB3" w:rsidP="005D74B9">
            <w:pPr>
              <w:pStyle w:val="TCTableBody"/>
              <w:spacing w:before="0" w:after="0"/>
            </w:pPr>
            <w:r w:rsidRPr="00936ADF">
              <w:t>11</w:t>
            </w:r>
          </w:p>
        </w:tc>
        <w:tc>
          <w:tcPr>
            <w:tcW w:w="1046" w:type="dxa"/>
          </w:tcPr>
          <w:p w14:paraId="2256E864" w14:textId="200B402C" w:rsidR="008F6EB3" w:rsidRPr="00936ADF" w:rsidRDefault="008F6EB3" w:rsidP="005D74B9">
            <w:pPr>
              <w:pStyle w:val="TCTableBody"/>
              <w:spacing w:before="0" w:after="0"/>
            </w:pPr>
            <w:r w:rsidRPr="00936ADF">
              <w:t>MeCN</w:t>
            </w:r>
          </w:p>
        </w:tc>
        <w:tc>
          <w:tcPr>
            <w:tcW w:w="1363" w:type="dxa"/>
          </w:tcPr>
          <w:p w14:paraId="7B1E121A" w14:textId="0A3A6749" w:rsidR="008F6EB3" w:rsidRPr="00936ADF" w:rsidRDefault="008F6EB3" w:rsidP="005D74B9">
            <w:pPr>
              <w:pStyle w:val="TCTableBody"/>
              <w:spacing w:before="0" w:after="0"/>
            </w:pPr>
            <w:r w:rsidRPr="00936ADF">
              <w:t>--</w:t>
            </w:r>
          </w:p>
        </w:tc>
        <w:tc>
          <w:tcPr>
            <w:tcW w:w="690" w:type="dxa"/>
          </w:tcPr>
          <w:p w14:paraId="4BA95E1D" w14:textId="26C36A95" w:rsidR="008F6EB3" w:rsidRPr="00936ADF" w:rsidRDefault="0032392A" w:rsidP="005D74B9">
            <w:pPr>
              <w:pStyle w:val="TCTableBody"/>
              <w:spacing w:before="0" w:after="0"/>
            </w:pPr>
            <w:r w:rsidRPr="00936ADF">
              <w:t>3</w:t>
            </w:r>
            <w:r w:rsidR="00540250" w:rsidRPr="00936ADF">
              <w:t>0.9</w:t>
            </w:r>
          </w:p>
        </w:tc>
        <w:tc>
          <w:tcPr>
            <w:tcW w:w="480" w:type="dxa"/>
          </w:tcPr>
          <w:p w14:paraId="3B8C6350" w14:textId="4AD33ADB" w:rsidR="008F6EB3" w:rsidRPr="00936ADF" w:rsidRDefault="00540250" w:rsidP="005D74B9">
            <w:pPr>
              <w:pStyle w:val="TCTableBody"/>
              <w:spacing w:before="0" w:after="0"/>
            </w:pPr>
            <w:r w:rsidRPr="00936ADF">
              <w:t>1.7</w:t>
            </w:r>
          </w:p>
        </w:tc>
        <w:tc>
          <w:tcPr>
            <w:tcW w:w="738" w:type="dxa"/>
          </w:tcPr>
          <w:p w14:paraId="13CAD9AB" w14:textId="38DCADF2" w:rsidR="008F6EB3" w:rsidRPr="00936ADF" w:rsidRDefault="008F6EB3" w:rsidP="005D74B9">
            <w:pPr>
              <w:pStyle w:val="TCTableBody"/>
              <w:spacing w:before="0" w:after="0"/>
            </w:pPr>
            <w:r w:rsidRPr="00936ADF">
              <w:t>1</w:t>
            </w:r>
            <w:r w:rsidR="00540250" w:rsidRPr="00936ADF">
              <w:t>9</w:t>
            </w:r>
            <w:r w:rsidRPr="00936ADF">
              <w:t xml:space="preserve"> : 1</w:t>
            </w:r>
          </w:p>
        </w:tc>
      </w:tr>
      <w:tr w:rsidR="008F6EB3" w:rsidRPr="00936ADF" w14:paraId="140F1EE2" w14:textId="74F7828C" w:rsidTr="008F6EB3">
        <w:tc>
          <w:tcPr>
            <w:tcW w:w="478" w:type="dxa"/>
          </w:tcPr>
          <w:p w14:paraId="1F7557E4" w14:textId="7FAF597D" w:rsidR="008F6EB3" w:rsidRPr="00936ADF" w:rsidRDefault="008F6EB3" w:rsidP="008F6EB3">
            <w:pPr>
              <w:pStyle w:val="TCTableBody"/>
              <w:spacing w:before="0" w:after="0"/>
            </w:pPr>
            <w:r w:rsidRPr="00936ADF">
              <w:t>12</w:t>
            </w:r>
          </w:p>
        </w:tc>
        <w:tc>
          <w:tcPr>
            <w:tcW w:w="1046" w:type="dxa"/>
          </w:tcPr>
          <w:p w14:paraId="2D4CF890" w14:textId="48DF4C0B" w:rsidR="008F6EB3" w:rsidRPr="00936ADF" w:rsidRDefault="008F6EB3" w:rsidP="008F6EB3">
            <w:pPr>
              <w:pStyle w:val="TCTableBody"/>
              <w:spacing w:before="0" w:after="0"/>
            </w:pPr>
            <w:r w:rsidRPr="00936ADF">
              <w:t>benzene</w:t>
            </w:r>
          </w:p>
        </w:tc>
        <w:tc>
          <w:tcPr>
            <w:tcW w:w="1363" w:type="dxa"/>
          </w:tcPr>
          <w:p w14:paraId="7CE86A6D" w14:textId="2B893BC7" w:rsidR="008F6EB3" w:rsidRPr="00936ADF" w:rsidRDefault="008F6EB3" w:rsidP="008F6EB3">
            <w:pPr>
              <w:pStyle w:val="TCTableBody"/>
              <w:spacing w:before="0" w:after="0"/>
            </w:pPr>
            <w:r w:rsidRPr="00936ADF">
              <w:t>--</w:t>
            </w:r>
          </w:p>
        </w:tc>
        <w:tc>
          <w:tcPr>
            <w:tcW w:w="690" w:type="dxa"/>
          </w:tcPr>
          <w:p w14:paraId="7B47C7B0" w14:textId="17CD52B3" w:rsidR="008F6EB3" w:rsidRPr="00936ADF" w:rsidRDefault="008F6EB3" w:rsidP="008F6EB3">
            <w:pPr>
              <w:pStyle w:val="TCTableBody"/>
              <w:spacing w:before="0" w:after="0"/>
            </w:pPr>
            <w:r w:rsidRPr="00936ADF">
              <w:t>60</w:t>
            </w:r>
            <w:r w:rsidR="009B0CA3" w:rsidRPr="00936ADF">
              <w:t>.0</w:t>
            </w:r>
          </w:p>
        </w:tc>
        <w:tc>
          <w:tcPr>
            <w:tcW w:w="480" w:type="dxa"/>
          </w:tcPr>
          <w:p w14:paraId="0BC4A0F4" w14:textId="22A5D898" w:rsidR="008F6EB3" w:rsidRPr="00936ADF" w:rsidRDefault="008F6EB3" w:rsidP="008F6EB3">
            <w:pPr>
              <w:pStyle w:val="TCTableBody"/>
              <w:spacing w:before="0" w:after="0"/>
            </w:pPr>
            <w:r w:rsidRPr="00936ADF">
              <w:t>1</w:t>
            </w:r>
            <w:r w:rsidR="009B0CA3" w:rsidRPr="00936ADF">
              <w:t>6.7</w:t>
            </w:r>
          </w:p>
        </w:tc>
        <w:tc>
          <w:tcPr>
            <w:tcW w:w="738" w:type="dxa"/>
          </w:tcPr>
          <w:p w14:paraId="56581CA2" w14:textId="3FE96BEA" w:rsidR="008F6EB3" w:rsidRPr="00936ADF" w:rsidRDefault="009B0CA3" w:rsidP="008F6EB3">
            <w:pPr>
              <w:pStyle w:val="TCTableBody"/>
              <w:spacing w:before="0" w:after="0"/>
            </w:pPr>
            <w:r w:rsidRPr="00936ADF">
              <w:t>3.6</w:t>
            </w:r>
            <w:r w:rsidR="008F6EB3" w:rsidRPr="00936ADF">
              <w:t xml:space="preserve"> : 1</w:t>
            </w:r>
          </w:p>
        </w:tc>
      </w:tr>
      <w:tr w:rsidR="008F6EB3" w:rsidRPr="00936ADF" w14:paraId="08B52C52" w14:textId="0D4F62B9" w:rsidTr="008F6EB3">
        <w:tc>
          <w:tcPr>
            <w:tcW w:w="478" w:type="dxa"/>
          </w:tcPr>
          <w:p w14:paraId="2320819F" w14:textId="4625BBEC" w:rsidR="008F6EB3" w:rsidRPr="00936ADF" w:rsidRDefault="008F6EB3" w:rsidP="008F6EB3">
            <w:pPr>
              <w:pStyle w:val="TCTableBody"/>
              <w:spacing w:before="0" w:after="0"/>
            </w:pPr>
            <w:r w:rsidRPr="00936ADF">
              <w:t>13</w:t>
            </w:r>
          </w:p>
        </w:tc>
        <w:tc>
          <w:tcPr>
            <w:tcW w:w="1046" w:type="dxa"/>
          </w:tcPr>
          <w:p w14:paraId="36E2216D" w14:textId="62BDFDFE" w:rsidR="008F6EB3" w:rsidRPr="00936ADF" w:rsidRDefault="008F6EB3" w:rsidP="008F6EB3">
            <w:pPr>
              <w:pStyle w:val="TCTableBody"/>
              <w:spacing w:before="0" w:after="0"/>
              <w:rPr>
                <w:vertAlign w:val="subscript"/>
              </w:rPr>
            </w:pPr>
            <w:r w:rsidRPr="00936ADF">
              <w:t>PhCF</w:t>
            </w:r>
            <w:r w:rsidRPr="00936ADF">
              <w:rPr>
                <w:vertAlign w:val="subscript"/>
              </w:rPr>
              <w:t>3</w:t>
            </w:r>
          </w:p>
        </w:tc>
        <w:tc>
          <w:tcPr>
            <w:tcW w:w="1363" w:type="dxa"/>
          </w:tcPr>
          <w:p w14:paraId="1C292CAA" w14:textId="35AFAE2B" w:rsidR="008F6EB3" w:rsidRPr="00936ADF" w:rsidRDefault="008F6EB3" w:rsidP="008F6EB3">
            <w:pPr>
              <w:pStyle w:val="TCTableBody"/>
              <w:spacing w:before="0" w:after="0"/>
            </w:pPr>
            <w:r w:rsidRPr="00936ADF">
              <w:t>--</w:t>
            </w:r>
          </w:p>
        </w:tc>
        <w:tc>
          <w:tcPr>
            <w:tcW w:w="690" w:type="dxa"/>
          </w:tcPr>
          <w:p w14:paraId="72A335F8" w14:textId="4D1E7901" w:rsidR="008F6EB3" w:rsidRPr="00936ADF" w:rsidRDefault="008F6EB3" w:rsidP="008F6EB3">
            <w:pPr>
              <w:pStyle w:val="TCTableBody"/>
              <w:spacing w:before="0" w:after="0"/>
            </w:pPr>
            <w:r w:rsidRPr="00936ADF">
              <w:t>6</w:t>
            </w:r>
            <w:r w:rsidR="009B0CA3" w:rsidRPr="00936ADF">
              <w:t>5.8</w:t>
            </w:r>
          </w:p>
        </w:tc>
        <w:tc>
          <w:tcPr>
            <w:tcW w:w="480" w:type="dxa"/>
          </w:tcPr>
          <w:p w14:paraId="7A5A5E7B" w14:textId="1DBF1718" w:rsidR="008F6EB3" w:rsidRPr="00936ADF" w:rsidRDefault="008F6EB3" w:rsidP="008F6EB3">
            <w:pPr>
              <w:pStyle w:val="TCTableBody"/>
              <w:spacing w:before="0" w:after="0"/>
            </w:pPr>
            <w:r w:rsidRPr="00936ADF">
              <w:t>1</w:t>
            </w:r>
            <w:r w:rsidR="009B0CA3" w:rsidRPr="00936ADF">
              <w:t>5.8</w:t>
            </w:r>
          </w:p>
        </w:tc>
        <w:tc>
          <w:tcPr>
            <w:tcW w:w="738" w:type="dxa"/>
          </w:tcPr>
          <w:p w14:paraId="398B0DF4" w14:textId="74A4EB50" w:rsidR="008F6EB3" w:rsidRPr="00936ADF" w:rsidRDefault="008F6EB3" w:rsidP="008F6EB3">
            <w:pPr>
              <w:pStyle w:val="TCTableBody"/>
              <w:spacing w:before="0" w:after="0"/>
            </w:pPr>
            <w:r w:rsidRPr="00936ADF">
              <w:t>4</w:t>
            </w:r>
            <w:r w:rsidR="009B0CA3" w:rsidRPr="00936ADF">
              <w:t>.2</w:t>
            </w:r>
            <w:r w:rsidRPr="00936ADF">
              <w:t xml:space="preserve"> : 1</w:t>
            </w:r>
          </w:p>
        </w:tc>
      </w:tr>
      <w:tr w:rsidR="008F6EB3" w:rsidRPr="00936ADF" w14:paraId="1CD28FAE" w14:textId="26A30CB4" w:rsidTr="008F6EB3">
        <w:tc>
          <w:tcPr>
            <w:tcW w:w="478" w:type="dxa"/>
          </w:tcPr>
          <w:p w14:paraId="2972015C" w14:textId="17E4428D" w:rsidR="008F6EB3" w:rsidRPr="00936ADF" w:rsidRDefault="008F6EB3" w:rsidP="008F6EB3">
            <w:pPr>
              <w:pStyle w:val="TCTableBody"/>
              <w:spacing w:before="0" w:after="0"/>
            </w:pPr>
            <w:r w:rsidRPr="00936ADF">
              <w:t>14</w:t>
            </w:r>
          </w:p>
        </w:tc>
        <w:tc>
          <w:tcPr>
            <w:tcW w:w="1046" w:type="dxa"/>
          </w:tcPr>
          <w:p w14:paraId="58C92374" w14:textId="6BBB5A8E" w:rsidR="008F6EB3" w:rsidRPr="00936ADF" w:rsidRDefault="008F6EB3" w:rsidP="008F6EB3">
            <w:pPr>
              <w:pStyle w:val="TCTableBody"/>
              <w:spacing w:before="0" w:after="0"/>
            </w:pPr>
            <w:r w:rsidRPr="00936ADF">
              <w:t>anisole</w:t>
            </w:r>
          </w:p>
        </w:tc>
        <w:tc>
          <w:tcPr>
            <w:tcW w:w="1363" w:type="dxa"/>
          </w:tcPr>
          <w:p w14:paraId="37620FD4" w14:textId="2FB96656" w:rsidR="008F6EB3" w:rsidRPr="00936ADF" w:rsidRDefault="008F6EB3" w:rsidP="008F6EB3">
            <w:pPr>
              <w:pStyle w:val="TCTableBody"/>
              <w:spacing w:before="0" w:after="0"/>
            </w:pPr>
            <w:r w:rsidRPr="00936ADF">
              <w:t>--</w:t>
            </w:r>
          </w:p>
        </w:tc>
        <w:tc>
          <w:tcPr>
            <w:tcW w:w="690" w:type="dxa"/>
          </w:tcPr>
          <w:p w14:paraId="48060711" w14:textId="5AF51CD4" w:rsidR="008F6EB3" w:rsidRPr="00936ADF" w:rsidRDefault="008F6EB3" w:rsidP="008F6EB3">
            <w:pPr>
              <w:pStyle w:val="TCTableBody"/>
              <w:spacing w:before="0" w:after="0"/>
            </w:pPr>
            <w:r w:rsidRPr="00936ADF">
              <w:t>4</w:t>
            </w:r>
            <w:r w:rsidR="009B0CA3" w:rsidRPr="00936ADF">
              <w:t>4.9</w:t>
            </w:r>
          </w:p>
        </w:tc>
        <w:tc>
          <w:tcPr>
            <w:tcW w:w="480" w:type="dxa"/>
          </w:tcPr>
          <w:p w14:paraId="2A49E2DB" w14:textId="5DA588DA" w:rsidR="008F6EB3" w:rsidRPr="00936ADF" w:rsidRDefault="008F6EB3" w:rsidP="008F6EB3">
            <w:pPr>
              <w:pStyle w:val="TCTableBody"/>
              <w:spacing w:before="0" w:after="0"/>
            </w:pPr>
            <w:r w:rsidRPr="00936ADF">
              <w:t>23</w:t>
            </w:r>
            <w:r w:rsidR="009B0CA3" w:rsidRPr="00936ADF">
              <w:t>.3</w:t>
            </w:r>
          </w:p>
        </w:tc>
        <w:tc>
          <w:tcPr>
            <w:tcW w:w="738" w:type="dxa"/>
          </w:tcPr>
          <w:p w14:paraId="582B1EAB" w14:textId="07AE4473" w:rsidR="008F6EB3" w:rsidRPr="00936ADF" w:rsidRDefault="009B0CA3" w:rsidP="008F6EB3">
            <w:pPr>
              <w:pStyle w:val="TCTableBody"/>
              <w:spacing w:before="0" w:after="0"/>
            </w:pPr>
            <w:r w:rsidRPr="00936ADF">
              <w:t>1.9</w:t>
            </w:r>
            <w:r w:rsidR="008F6EB3" w:rsidRPr="00936ADF">
              <w:t xml:space="preserve"> : 1</w:t>
            </w:r>
          </w:p>
        </w:tc>
      </w:tr>
      <w:tr w:rsidR="00597D0D" w:rsidRPr="00936ADF" w14:paraId="5B28574A" w14:textId="24AB02F1" w:rsidTr="008F6EB3">
        <w:tc>
          <w:tcPr>
            <w:tcW w:w="478" w:type="dxa"/>
            <w:tcBorders>
              <w:bottom w:val="single" w:sz="4" w:space="0" w:color="auto"/>
            </w:tcBorders>
          </w:tcPr>
          <w:p w14:paraId="17316BF8" w14:textId="3141C8E5" w:rsidR="00597D0D" w:rsidRPr="00936ADF" w:rsidRDefault="007171CB" w:rsidP="005D74B9">
            <w:pPr>
              <w:pStyle w:val="TCTableBody"/>
              <w:spacing w:before="0" w:after="0"/>
            </w:pPr>
            <w:r w:rsidRPr="00936ADF">
              <w:t>1</w:t>
            </w:r>
            <w:r w:rsidR="008F6EB3" w:rsidRPr="00936ADF">
              <w:t>5</w:t>
            </w:r>
          </w:p>
        </w:tc>
        <w:tc>
          <w:tcPr>
            <w:tcW w:w="1046" w:type="dxa"/>
            <w:tcBorders>
              <w:bottom w:val="single" w:sz="4" w:space="0" w:color="auto"/>
            </w:tcBorders>
          </w:tcPr>
          <w:p w14:paraId="6A331AB3" w14:textId="68272D70" w:rsidR="00597D0D" w:rsidRPr="00936ADF" w:rsidRDefault="007171CB" w:rsidP="005D74B9">
            <w:pPr>
              <w:pStyle w:val="TCTableBody"/>
              <w:spacing w:before="0" w:after="0"/>
            </w:pPr>
            <w:r w:rsidRPr="00936ADF">
              <w:t>mesitylene</w:t>
            </w:r>
          </w:p>
        </w:tc>
        <w:tc>
          <w:tcPr>
            <w:tcW w:w="1363" w:type="dxa"/>
            <w:tcBorders>
              <w:bottom w:val="single" w:sz="4" w:space="0" w:color="auto"/>
            </w:tcBorders>
          </w:tcPr>
          <w:p w14:paraId="4594381E" w14:textId="3887941A" w:rsidR="00597D0D" w:rsidRPr="00936ADF" w:rsidRDefault="00597D0D" w:rsidP="005D74B9">
            <w:pPr>
              <w:pStyle w:val="TCTableBody"/>
              <w:spacing w:before="0" w:after="0"/>
            </w:pPr>
            <w:r w:rsidRPr="00936ADF">
              <w:t>--</w:t>
            </w:r>
          </w:p>
        </w:tc>
        <w:tc>
          <w:tcPr>
            <w:tcW w:w="690" w:type="dxa"/>
            <w:tcBorders>
              <w:bottom w:val="single" w:sz="4" w:space="0" w:color="auto"/>
            </w:tcBorders>
          </w:tcPr>
          <w:p w14:paraId="6239B0BC" w14:textId="5274E66A" w:rsidR="00597D0D" w:rsidRPr="00936ADF" w:rsidRDefault="007171CB" w:rsidP="005D74B9">
            <w:pPr>
              <w:pStyle w:val="TCTableBody"/>
              <w:spacing w:before="0" w:after="0"/>
            </w:pPr>
            <w:r w:rsidRPr="00936ADF">
              <w:t>25</w:t>
            </w:r>
            <w:r w:rsidR="009B0CA3" w:rsidRPr="00936ADF">
              <w:t>.1</w:t>
            </w:r>
          </w:p>
        </w:tc>
        <w:tc>
          <w:tcPr>
            <w:tcW w:w="480" w:type="dxa"/>
            <w:tcBorders>
              <w:bottom w:val="single" w:sz="4" w:space="0" w:color="auto"/>
            </w:tcBorders>
          </w:tcPr>
          <w:p w14:paraId="5A3E1455" w14:textId="5E95E3AA" w:rsidR="00597D0D" w:rsidRPr="00936ADF" w:rsidRDefault="007171CB" w:rsidP="005D74B9">
            <w:pPr>
              <w:pStyle w:val="TCTableBody"/>
              <w:spacing w:before="0" w:after="0"/>
            </w:pPr>
            <w:r w:rsidRPr="00936ADF">
              <w:t>28</w:t>
            </w:r>
            <w:r w:rsidR="009B0CA3" w:rsidRPr="00936ADF">
              <w:t>.0</w:t>
            </w:r>
          </w:p>
        </w:tc>
        <w:tc>
          <w:tcPr>
            <w:tcW w:w="738" w:type="dxa"/>
            <w:tcBorders>
              <w:bottom w:val="single" w:sz="4" w:space="0" w:color="auto"/>
            </w:tcBorders>
          </w:tcPr>
          <w:p w14:paraId="4F9CAE51" w14:textId="75D29145" w:rsidR="00597D0D" w:rsidRPr="00936ADF" w:rsidRDefault="007171CB" w:rsidP="005D74B9">
            <w:pPr>
              <w:pStyle w:val="TCTableBody"/>
              <w:spacing w:before="0" w:after="0"/>
            </w:pPr>
            <w:r w:rsidRPr="00936ADF">
              <w:t>1 : 1</w:t>
            </w:r>
            <w:r w:rsidR="009B0CA3" w:rsidRPr="00936ADF">
              <w:t>.1</w:t>
            </w:r>
          </w:p>
        </w:tc>
      </w:tr>
    </w:tbl>
    <w:p w14:paraId="2187D106" w14:textId="036C5ACA" w:rsidR="0010345B" w:rsidRPr="00936ADF" w:rsidRDefault="00AA693E" w:rsidP="00AA693E">
      <w:pPr>
        <w:pStyle w:val="FETableFootnote"/>
      </w:pPr>
      <w:r w:rsidRPr="00936ADF">
        <w:rPr>
          <w:i/>
          <w:iCs/>
          <w:vertAlign w:val="superscript"/>
        </w:rPr>
        <w:t>a</w:t>
      </w:r>
      <w:r w:rsidRPr="00936ADF">
        <w:t xml:space="preserve">GC yields calibrated against </w:t>
      </w:r>
      <w:r w:rsidR="00A140A8" w:rsidRPr="00936ADF">
        <w:t xml:space="preserve">undecane </w:t>
      </w:r>
      <w:r w:rsidRPr="00936ADF">
        <w:t xml:space="preserve">as the internal standard. Average of </w:t>
      </w:r>
      <w:r w:rsidR="00A140A8" w:rsidRPr="00936ADF">
        <w:t>≥2</w:t>
      </w:r>
      <w:r w:rsidRPr="00936ADF">
        <w:t xml:space="preserve"> trials</w:t>
      </w:r>
      <w:r w:rsidR="009B0CA3" w:rsidRPr="00936ADF">
        <w:t>.</w:t>
      </w:r>
      <w:r w:rsidR="0075093C" w:rsidRPr="00936ADF">
        <w:t xml:space="preserve"> </w:t>
      </w:r>
      <w:r w:rsidRPr="00936ADF">
        <w:rPr>
          <w:i/>
          <w:iCs/>
          <w:vertAlign w:val="superscript"/>
        </w:rPr>
        <w:t>b</w:t>
      </w:r>
      <w:r w:rsidRPr="00936ADF">
        <w:t>With IPent instead of IPr.</w:t>
      </w:r>
    </w:p>
    <w:p w14:paraId="7C4B88EC" w14:textId="20722497" w:rsidR="00346C77" w:rsidRPr="00936ADF" w:rsidRDefault="00741C57" w:rsidP="00866E72">
      <w:pPr>
        <w:pStyle w:val="TAMainText"/>
      </w:pPr>
      <w:r w:rsidRPr="00936ADF">
        <w:t>With IPr, the product ratio is about 1:4 (</w:t>
      </w:r>
      <w:r w:rsidR="003F0EE0" w:rsidRPr="00936ADF">
        <w:rPr>
          <w:b/>
          <w:bCs/>
        </w:rPr>
        <w:t>1a-mono</w:t>
      </w:r>
      <w:r w:rsidRPr="00936ADF">
        <w:t>:</w:t>
      </w:r>
      <w:r w:rsidR="003F0EE0" w:rsidRPr="00936ADF">
        <w:rPr>
          <w:b/>
          <w:bCs/>
        </w:rPr>
        <w:t>1a-di</w:t>
      </w:r>
      <w:r w:rsidRPr="00936ADF">
        <w:t>) at the end of the reaction</w:t>
      </w:r>
      <w:r w:rsidR="0013176E" w:rsidRPr="00936ADF">
        <w:t xml:space="preserve"> in THF</w:t>
      </w:r>
      <w:r w:rsidRPr="00936ADF">
        <w:t xml:space="preserve"> in the absence of additives</w:t>
      </w:r>
      <w:r w:rsidR="0018603D" w:rsidRPr="00936ADF">
        <w:t xml:space="preserve"> (entry 1)</w:t>
      </w:r>
      <w:r w:rsidRPr="00936ADF">
        <w:t>. However, just 10 mol</w:t>
      </w:r>
      <w:r w:rsidR="00E206ED" w:rsidRPr="00936ADF">
        <w:t xml:space="preserve"> </w:t>
      </w:r>
      <w:r w:rsidRPr="00936ADF">
        <w:t>% of electron</w:t>
      </w:r>
      <w:r w:rsidR="00EF5146" w:rsidRPr="00936ADF">
        <w:t>-</w:t>
      </w:r>
      <w:r w:rsidRPr="00936ADF">
        <w:t xml:space="preserve">deficient alkenes (entries </w:t>
      </w:r>
      <w:r w:rsidR="00AA693E" w:rsidRPr="00936ADF">
        <w:t>2-3</w:t>
      </w:r>
      <w:r w:rsidRPr="00936ADF">
        <w:t xml:space="preserve">), pyridines (entries </w:t>
      </w:r>
      <w:r w:rsidR="00AA693E" w:rsidRPr="00936ADF">
        <w:t>4-5</w:t>
      </w:r>
      <w:r w:rsidRPr="00936ADF">
        <w:t xml:space="preserve">), or DMSO (entry </w:t>
      </w:r>
      <w:r w:rsidR="00AA693E" w:rsidRPr="00936ADF">
        <w:t>6</w:t>
      </w:r>
      <w:r w:rsidRPr="00936ADF">
        <w:t>) ha</w:t>
      </w:r>
      <w:r w:rsidR="00EF5146" w:rsidRPr="00936ADF">
        <w:t>ve</w:t>
      </w:r>
      <w:r w:rsidRPr="00936ADF">
        <w:t xml:space="preserve"> a dramatic impact on the selectivity, in many cases inverting it to favor </w:t>
      </w:r>
      <w:r w:rsidR="003F0EE0" w:rsidRPr="00936ADF">
        <w:rPr>
          <w:b/>
          <w:bCs/>
        </w:rPr>
        <w:t>1a-mono</w:t>
      </w:r>
      <w:r w:rsidRPr="00936ADF">
        <w:t>. Unsubstituted indene more strongly promote</w:t>
      </w:r>
      <w:r w:rsidR="00EF5146" w:rsidRPr="00936ADF">
        <w:t>s</w:t>
      </w:r>
      <w:r w:rsidRPr="00936ADF">
        <w:t xml:space="preserve"> monoarylation than the more hindered 1-</w:t>
      </w:r>
      <w:r w:rsidRPr="00936ADF">
        <w:rPr>
          <w:i/>
          <w:iCs/>
        </w:rPr>
        <w:t>tert</w:t>
      </w:r>
      <w:r w:rsidRPr="00936ADF">
        <w:t>-butylindene (entries</w:t>
      </w:r>
      <w:r w:rsidR="00AA693E" w:rsidRPr="00936ADF">
        <w:t xml:space="preserve"> 2-3</w:t>
      </w:r>
      <w:r w:rsidRPr="00936ADF">
        <w:t xml:space="preserve">), which is consistent </w:t>
      </w:r>
      <w:r w:rsidR="0013176E" w:rsidRPr="00936ADF">
        <w:t xml:space="preserve">with sterics influencing the energy of the </w:t>
      </w:r>
      <w:r w:rsidRPr="00936ADF">
        <w:t xml:space="preserve">crowded transition structure </w:t>
      </w:r>
      <w:r w:rsidR="0013176E" w:rsidRPr="00936ADF">
        <w:t>for</w:t>
      </w:r>
      <w:r w:rsidRPr="00936ADF">
        <w:t xml:space="preserve"> </w:t>
      </w:r>
      <w:r w:rsidR="00903B6E" w:rsidRPr="00936ADF">
        <w:t>Path III</w:t>
      </w:r>
      <w:r w:rsidRPr="00936ADF">
        <w:t xml:space="preserve">. </w:t>
      </w:r>
      <w:r w:rsidR="00E7029F" w:rsidRPr="00936ADF">
        <w:t>P</w:t>
      </w:r>
      <w:r w:rsidR="00EF5146" w:rsidRPr="00936ADF">
        <w:t>yridine and 2,6-dimethylpyridine</w:t>
      </w:r>
      <w:r w:rsidR="00E7029F" w:rsidRPr="00936ADF">
        <w:t xml:space="preserve"> (lutidine) </w:t>
      </w:r>
      <w:r w:rsidR="004B2502" w:rsidRPr="00936ADF">
        <w:t>provide</w:t>
      </w:r>
      <w:r w:rsidR="00EF5146" w:rsidRPr="00936ADF">
        <w:t xml:space="preserve"> similar selectivit</w:t>
      </w:r>
      <w:r w:rsidR="0018603D" w:rsidRPr="00936ADF">
        <w:t>ies</w:t>
      </w:r>
      <w:r w:rsidR="00AA693E" w:rsidRPr="00936ADF">
        <w:t xml:space="preserve"> (entries 4-5)</w:t>
      </w:r>
      <w:r w:rsidR="00EF5146" w:rsidRPr="00936ADF">
        <w:t xml:space="preserve">, </w:t>
      </w:r>
      <w:r w:rsidR="004B2502" w:rsidRPr="00936ADF">
        <w:t>indicating</w:t>
      </w:r>
      <w:r w:rsidR="00EF5146" w:rsidRPr="00936ADF">
        <w:t xml:space="preserve"> that coordination of </w:t>
      </w:r>
      <w:r w:rsidR="002E10C6" w:rsidRPr="00936ADF">
        <w:t>Pd</w:t>
      </w:r>
      <w:r w:rsidR="002E10C6" w:rsidRPr="00936ADF">
        <w:rPr>
          <w:vertAlign w:val="superscript"/>
        </w:rPr>
        <w:t>0</w:t>
      </w:r>
      <w:r w:rsidR="00EF5146" w:rsidRPr="00936ADF">
        <w:t xml:space="preserve"> to pyridine’s </w:t>
      </w:r>
      <w:r w:rsidR="00EF5146" w:rsidRPr="00936ADF">
        <w:rPr>
          <w:rFonts w:ascii="Symbol" w:hAnsi="Symbol"/>
        </w:rPr>
        <w:t>p</w:t>
      </w:r>
      <w:r w:rsidR="00EF5146" w:rsidRPr="00936ADF">
        <w:t xml:space="preserve"> system may be more significant than coordination through nitrogen. The best selectivity for monoarylation using IPr was achieved with DMSO, reaching a maximum of about 7:1 mono:di selectivity with 1 equiv of this additive</w:t>
      </w:r>
      <w:r w:rsidR="00AA693E" w:rsidRPr="00936ADF">
        <w:t xml:space="preserve"> (</w:t>
      </w:r>
      <w:r w:rsidR="00346C77" w:rsidRPr="00936ADF">
        <w:t>entry 7)</w:t>
      </w:r>
      <w:r w:rsidR="00EF5146" w:rsidRPr="00936ADF">
        <w:t>. This ratio is similar to the selectivity observed with IMes and most of the phosphines in Figure 1A</w:t>
      </w:r>
      <w:r w:rsidR="00CF7BE8" w:rsidRPr="00936ADF">
        <w:t xml:space="preserve">, </w:t>
      </w:r>
      <w:r w:rsidR="004B2502" w:rsidRPr="00936ADF">
        <w:t xml:space="preserve">suggesting that the minor product </w:t>
      </w:r>
      <w:r w:rsidR="004B2502" w:rsidRPr="00936ADF">
        <w:rPr>
          <w:b/>
          <w:bCs/>
        </w:rPr>
        <w:t>1a-di</w:t>
      </w:r>
      <w:r w:rsidR="004B2502" w:rsidRPr="00936ADF">
        <w:t xml:space="preserve"> observed under these conditions may result from intermolecular reaction of</w:t>
      </w:r>
      <w:r w:rsidR="0013176E" w:rsidRPr="00936ADF">
        <w:t xml:space="preserve"> </w:t>
      </w:r>
      <w:r w:rsidR="0013176E" w:rsidRPr="00936ADF">
        <w:rPr>
          <w:b/>
          <w:bCs/>
        </w:rPr>
        <w:t>1a-mono</w:t>
      </w:r>
      <w:r w:rsidR="00CF7BE8" w:rsidRPr="00936ADF">
        <w:t>.</w:t>
      </w:r>
      <w:r w:rsidR="00EF5146" w:rsidRPr="00936ADF">
        <w:t xml:space="preserve"> </w:t>
      </w:r>
      <w:r w:rsidR="0010345B" w:rsidRPr="00936ADF">
        <w:t xml:space="preserve">Remarkably, DMSO </w:t>
      </w:r>
      <w:r w:rsidR="00E7029F" w:rsidRPr="00936ADF">
        <w:t>a</w:t>
      </w:r>
      <w:r w:rsidR="00A85637" w:rsidRPr="00936ADF">
        <w:t xml:space="preserve">lso </w:t>
      </w:r>
      <w:r w:rsidR="00E7029F" w:rsidRPr="00936ADF">
        <w:t>has a strong impact on</w:t>
      </w:r>
      <w:r w:rsidR="00A85637" w:rsidRPr="00936ADF">
        <w:t xml:space="preserve"> selectivity in the</w:t>
      </w:r>
      <w:r w:rsidR="0010345B" w:rsidRPr="00936ADF">
        <w:t xml:space="preserve"> Pd/IPent-catalyzed cross-coupling. In the absence of additives, IPent promotes exclusive diarylation</w:t>
      </w:r>
      <w:r w:rsidR="00346C77" w:rsidRPr="00936ADF">
        <w:t xml:space="preserve"> (entry 8)</w:t>
      </w:r>
      <w:r w:rsidR="0010345B" w:rsidRPr="00936ADF">
        <w:t xml:space="preserve">, but monoarylation </w:t>
      </w:r>
      <w:r w:rsidR="0013176E" w:rsidRPr="00936ADF">
        <w:t xml:space="preserve">is </w:t>
      </w:r>
      <w:r w:rsidR="00A85637" w:rsidRPr="00936ADF">
        <w:t>slightly</w:t>
      </w:r>
      <w:r w:rsidR="0010345B" w:rsidRPr="00936ADF">
        <w:t xml:space="preserve"> </w:t>
      </w:r>
      <w:r w:rsidR="0013176E" w:rsidRPr="00936ADF">
        <w:t>favored</w:t>
      </w:r>
      <w:r w:rsidR="0010345B" w:rsidRPr="00936ADF">
        <w:t xml:space="preserve"> when 10 equiv DMSO are included as an additive (compare entries </w:t>
      </w:r>
      <w:r w:rsidR="00346C77" w:rsidRPr="00936ADF">
        <w:t>8-10</w:t>
      </w:r>
      <w:r w:rsidR="0010345B" w:rsidRPr="00936ADF">
        <w:t xml:space="preserve">). </w:t>
      </w:r>
      <w:r w:rsidR="0013176E" w:rsidRPr="00936ADF">
        <w:t xml:space="preserve">Larger quantities of DMSO </w:t>
      </w:r>
      <w:r w:rsidR="00433A83" w:rsidRPr="00936ADF">
        <w:t>(20 equiv) inhibit the reaction</w:t>
      </w:r>
      <w:r w:rsidR="0013176E" w:rsidRPr="00936ADF">
        <w:t xml:space="preserve"> (see </w:t>
      </w:r>
      <w:r w:rsidR="008763D9" w:rsidRPr="00936ADF">
        <w:t>Table S10</w:t>
      </w:r>
      <w:r w:rsidR="0013176E" w:rsidRPr="00936ADF">
        <w:t>).</w:t>
      </w:r>
    </w:p>
    <w:p w14:paraId="25C5BA64" w14:textId="61D5D7F3" w:rsidR="00346C77" w:rsidRPr="00936ADF" w:rsidRDefault="00346C77" w:rsidP="00866E72">
      <w:pPr>
        <w:pStyle w:val="TAMainText"/>
        <w:rPr>
          <w:vertAlign w:val="superscript"/>
        </w:rPr>
      </w:pPr>
      <w:r w:rsidRPr="00936ADF">
        <w:t xml:space="preserve">Given the profound effect of coordinating additives in promoting monoarylation, we considered that </w:t>
      </w:r>
      <w:r w:rsidR="008F6EB3" w:rsidRPr="00936ADF">
        <w:t>coordinating</w:t>
      </w:r>
      <w:r w:rsidR="00481AFC" w:rsidRPr="00936ADF">
        <w:t xml:space="preserve"> </w:t>
      </w:r>
      <w:r w:rsidRPr="00936ADF">
        <w:t xml:space="preserve">solvents could play a similar role. Indeed, when THF is replaced with </w:t>
      </w:r>
      <w:r w:rsidR="008F6EB3" w:rsidRPr="00936ADF">
        <w:t xml:space="preserve">MeCN for the Suzuki coupling catalyzed by Pd/IPr, selectivity inverts to favor </w:t>
      </w:r>
      <w:r w:rsidR="008F6EB3" w:rsidRPr="00936ADF">
        <w:rPr>
          <w:b/>
          <w:bCs/>
        </w:rPr>
        <w:t>1a-mono</w:t>
      </w:r>
      <w:r w:rsidR="008F6EB3" w:rsidRPr="00936ADF">
        <w:t xml:space="preserve">, although the yield is poor (entry 11). The use of a </w:t>
      </w:r>
      <w:r w:rsidR="008F6EB3" w:rsidRPr="00936ADF">
        <w:rPr>
          <w:rFonts w:ascii="Symbol" w:hAnsi="Symbol"/>
        </w:rPr>
        <w:t>p</w:t>
      </w:r>
      <w:r w:rsidR="008F6EB3" w:rsidRPr="00936ADF">
        <w:t xml:space="preserve">-coordinating </w:t>
      </w:r>
      <w:r w:rsidR="008F6EB3" w:rsidRPr="00936ADF">
        <w:t xml:space="preserve">aromatic solvent, </w:t>
      </w:r>
      <w:r w:rsidRPr="00936ADF">
        <w:t>benzene</w:t>
      </w:r>
      <w:r w:rsidR="008F6EB3" w:rsidRPr="00936ADF">
        <w:t>,</w:t>
      </w:r>
      <w:r w:rsidRPr="00936ADF">
        <w:t xml:space="preserve"> </w:t>
      </w:r>
      <w:r w:rsidR="008F6EB3" w:rsidRPr="00936ADF">
        <w:t>enables higher yield of</w:t>
      </w:r>
      <w:r w:rsidRPr="00936ADF">
        <w:t xml:space="preserve"> </w:t>
      </w:r>
      <w:r w:rsidR="00225EE3" w:rsidRPr="00936ADF">
        <w:rPr>
          <w:b/>
          <w:bCs/>
        </w:rPr>
        <w:t>1a-mono</w:t>
      </w:r>
      <w:r w:rsidRPr="00936ADF">
        <w:t xml:space="preserve"> (entry 1</w:t>
      </w:r>
      <w:r w:rsidR="008F6EB3" w:rsidRPr="00936ADF">
        <w:t>2</w:t>
      </w:r>
      <w:r w:rsidRPr="00936ADF">
        <w:t xml:space="preserve">). </w:t>
      </w:r>
      <w:r w:rsidR="0018603D" w:rsidRPr="00936ADF">
        <w:t>S</w:t>
      </w:r>
      <w:r w:rsidRPr="00936ADF">
        <w:t xml:space="preserve">electivity is modestly affected by the </w:t>
      </w:r>
      <w:r w:rsidRPr="00936ADF">
        <w:rPr>
          <w:rFonts w:ascii="Symbol" w:hAnsi="Symbol"/>
        </w:rPr>
        <w:t>p</w:t>
      </w:r>
      <w:r w:rsidRPr="00936ADF">
        <w:t>-</w:t>
      </w:r>
      <w:r w:rsidR="00675EA8" w:rsidRPr="00936ADF">
        <w:t>accepting</w:t>
      </w:r>
      <w:r w:rsidRPr="00936ADF">
        <w:t xml:space="preserve"> ability of </w:t>
      </w:r>
      <w:r w:rsidR="008F6EB3" w:rsidRPr="00936ADF">
        <w:t>a</w:t>
      </w:r>
      <w:r w:rsidRPr="00936ADF">
        <w:t>romatic solvent</w:t>
      </w:r>
      <w:r w:rsidR="008F6EB3" w:rsidRPr="00936ADF">
        <w:t>s</w:t>
      </w:r>
      <w:r w:rsidR="0018603D" w:rsidRPr="00936ADF">
        <w:t>.</w:t>
      </w:r>
      <w:r w:rsidRPr="00936ADF">
        <w:t xml:space="preserve"> </w:t>
      </w:r>
      <w:r w:rsidR="0018603D" w:rsidRPr="00936ADF">
        <w:t>F</w:t>
      </w:r>
      <w:r w:rsidRPr="00936ADF">
        <w:t>or example, the more electron-rich anisole is less effective at promoting monoarylation than benzene or trifluorotoluene (compare entries 1</w:t>
      </w:r>
      <w:r w:rsidR="008F6EB3" w:rsidRPr="00936ADF">
        <w:t>2</w:t>
      </w:r>
      <w:r w:rsidRPr="00936ADF">
        <w:t>-1</w:t>
      </w:r>
      <w:r w:rsidR="008F6EB3" w:rsidRPr="00936ADF">
        <w:t>4</w:t>
      </w:r>
      <w:r w:rsidRPr="00936ADF">
        <w:t>). Mesitylene promotes less monoarylation than the other aromatic solvents</w:t>
      </w:r>
      <w:r w:rsidR="00F50AED" w:rsidRPr="00936ADF">
        <w:t xml:space="preserve"> (entry 1</w:t>
      </w:r>
      <w:r w:rsidR="008F6EB3" w:rsidRPr="00936ADF">
        <w:t>5</w:t>
      </w:r>
      <w:r w:rsidR="00F50AED" w:rsidRPr="00936ADF">
        <w:t>)</w:t>
      </w:r>
      <w:r w:rsidRPr="00936ADF">
        <w:t xml:space="preserve">, which is consistent with its worse </w:t>
      </w:r>
      <w:r w:rsidRPr="00936ADF">
        <w:rPr>
          <w:rFonts w:ascii="Symbol" w:hAnsi="Symbol"/>
        </w:rPr>
        <w:t>p</w:t>
      </w:r>
      <w:r w:rsidRPr="00936ADF">
        <w:t xml:space="preserve">-coordinating ability due to both electronics and sterics. </w:t>
      </w:r>
      <w:r w:rsidR="0010345B" w:rsidRPr="00936ADF">
        <w:t>Taken together, the effect of additives</w:t>
      </w:r>
      <w:r w:rsidRPr="00936ADF">
        <w:t xml:space="preserve"> and solvents</w:t>
      </w:r>
      <w:r w:rsidR="0010345B" w:rsidRPr="00936ADF">
        <w:t xml:space="preserve"> </w:t>
      </w:r>
      <w:r w:rsidR="00F50AED" w:rsidRPr="00936ADF">
        <w:t xml:space="preserve">on selectivity </w:t>
      </w:r>
      <w:r w:rsidR="0010345B" w:rsidRPr="00936ADF">
        <w:t>supports the feasib</w:t>
      </w:r>
      <w:r w:rsidR="00373478" w:rsidRPr="00936ADF">
        <w:t>i</w:t>
      </w:r>
      <w:r w:rsidR="0010345B" w:rsidRPr="00936ADF">
        <w:t xml:space="preserve">lity of </w:t>
      </w:r>
      <w:r w:rsidR="00903B6E" w:rsidRPr="00936ADF">
        <w:t>Path III</w:t>
      </w:r>
      <w:r w:rsidR="0010345B" w:rsidRPr="00936ADF">
        <w:t xml:space="preserve"> for release of monoarylated product from </w:t>
      </w:r>
      <w:r w:rsidR="00B40250" w:rsidRPr="00936ADF">
        <w:t>Pd</w:t>
      </w:r>
      <w:r w:rsidRPr="00936ADF">
        <w:t>.</w:t>
      </w:r>
      <w:r w:rsidR="0010345B" w:rsidRPr="00936ADF">
        <w:t xml:space="preserve"> Additional results with other </w:t>
      </w:r>
      <w:r w:rsidR="008F6EB3" w:rsidRPr="00936ADF">
        <w:t xml:space="preserve">solvents and </w:t>
      </w:r>
      <w:r w:rsidR="0010345B" w:rsidRPr="00936ADF">
        <w:t xml:space="preserve">additives are available in </w:t>
      </w:r>
      <w:r w:rsidR="008763D9" w:rsidRPr="00936ADF">
        <w:t>Table S10</w:t>
      </w:r>
      <w:r w:rsidR="0010345B" w:rsidRPr="00936ADF">
        <w:t>.</w:t>
      </w:r>
      <w:r w:rsidR="00931116" w:rsidRPr="00936ADF">
        <w:rPr>
          <w:vertAlign w:val="superscript"/>
        </w:rPr>
        <w:t>37</w:t>
      </w:r>
    </w:p>
    <w:p w14:paraId="2575CE04" w14:textId="4534C4DE" w:rsidR="000C7913" w:rsidRPr="00936ADF" w:rsidRDefault="00E7029F" w:rsidP="00866E72">
      <w:pPr>
        <w:pStyle w:val="TAMainText"/>
      </w:pPr>
      <w:r w:rsidRPr="00936ADF">
        <w:rPr>
          <w:b/>
          <w:bCs/>
        </w:rPr>
        <w:t>(</w:t>
      </w:r>
      <w:r w:rsidR="005754C8" w:rsidRPr="00936ADF">
        <w:rPr>
          <w:b/>
          <w:bCs/>
        </w:rPr>
        <w:t>How</w:t>
      </w:r>
      <w:r w:rsidRPr="00936ADF">
        <w:rPr>
          <w:b/>
          <w:bCs/>
        </w:rPr>
        <w:t>)</w:t>
      </w:r>
      <w:r w:rsidR="005754C8" w:rsidRPr="00936ADF">
        <w:rPr>
          <w:b/>
          <w:bCs/>
        </w:rPr>
        <w:t xml:space="preserve"> Does </w:t>
      </w:r>
      <w:r w:rsidR="00903B6E" w:rsidRPr="00936ADF">
        <w:rPr>
          <w:b/>
          <w:bCs/>
        </w:rPr>
        <w:t>Path III</w:t>
      </w:r>
      <w:r w:rsidR="005754C8" w:rsidRPr="00936ADF">
        <w:rPr>
          <w:b/>
          <w:bCs/>
        </w:rPr>
        <w:t xml:space="preserve"> Take Place Without Coordinating Additives?</w:t>
      </w:r>
      <w:r w:rsidR="005754C8" w:rsidRPr="00936ADF">
        <w:t xml:space="preserve"> </w:t>
      </w:r>
      <w:r w:rsidRPr="00936ADF">
        <w:t>The results above s</w:t>
      </w:r>
      <w:r w:rsidR="00481AFC" w:rsidRPr="00936ADF">
        <w:t>how</w:t>
      </w:r>
      <w:r w:rsidRPr="00936ADF">
        <w:t xml:space="preserve"> that </w:t>
      </w:r>
      <w:r w:rsidRPr="00936ADF">
        <w:rPr>
          <w:rFonts w:ascii="Symbol" w:hAnsi="Symbol"/>
        </w:rPr>
        <w:t>p</w:t>
      </w:r>
      <w:r w:rsidRPr="00936ADF">
        <w:t xml:space="preserve">-coordinating additives or solvents can promote release of monoarylated products through </w:t>
      </w:r>
      <w:r w:rsidR="00903B6E" w:rsidRPr="00936ADF">
        <w:t>Path III</w:t>
      </w:r>
      <w:r w:rsidRPr="00936ADF">
        <w:t xml:space="preserve">. However, we next wanted to determine whether </w:t>
      </w:r>
      <w:r w:rsidR="00903B6E" w:rsidRPr="00936ADF">
        <w:t>Path III</w:t>
      </w:r>
      <w:r w:rsidRPr="00936ADF">
        <w:t xml:space="preserve"> is still operative in the absence of </w:t>
      </w:r>
      <w:r w:rsidR="002F16B4" w:rsidRPr="00936ADF">
        <w:t>these</w:t>
      </w:r>
      <w:r w:rsidRPr="00936ADF">
        <w:t xml:space="preserve"> additives in a solvent like THF, which is not a </w:t>
      </w:r>
      <w:r w:rsidRPr="00936ADF">
        <w:rPr>
          <w:rFonts w:ascii="Symbol" w:hAnsi="Symbol"/>
        </w:rPr>
        <w:t>p</w:t>
      </w:r>
      <w:r w:rsidRPr="00936ADF">
        <w:t xml:space="preserve">-acceptor. </w:t>
      </w:r>
      <w:r w:rsidR="000C7913" w:rsidRPr="00936ADF">
        <w:t xml:space="preserve">To answer this question, we evaluated the effect of reaction concentration on </w:t>
      </w:r>
      <w:r w:rsidR="001F29CA" w:rsidRPr="00936ADF">
        <w:t xml:space="preserve">the </w:t>
      </w:r>
      <w:r w:rsidR="000C7913" w:rsidRPr="00936ADF">
        <w:t>selectivity</w:t>
      </w:r>
      <w:r w:rsidR="001F29CA" w:rsidRPr="00936ADF">
        <w:t xml:space="preserve"> of the Suzuki coupling of </w:t>
      </w:r>
      <w:r w:rsidR="001F29CA" w:rsidRPr="00936ADF">
        <w:rPr>
          <w:b/>
          <w:bCs/>
        </w:rPr>
        <w:t>1</w:t>
      </w:r>
      <w:r w:rsidR="001F29CA" w:rsidRPr="00936ADF">
        <w:t xml:space="preserve"> catalyzed by Pd/IPr</w:t>
      </w:r>
      <w:r w:rsidR="000C7913" w:rsidRPr="00936ADF">
        <w:t xml:space="preserve">. </w:t>
      </w:r>
      <w:r w:rsidR="0013176E" w:rsidRPr="00936ADF">
        <w:t xml:space="preserve">More monoarylation is seen when the reaction is run at higher concentrations in THF (Table 2, entries 1–4), which is consistent with one of the solutes serving as a ligand in the bimolecular transition state for Path III. </w:t>
      </w:r>
      <w:r w:rsidR="00225EE3" w:rsidRPr="00936ADF">
        <w:t>In contrast,</w:t>
      </w:r>
      <w:r w:rsidR="0013176E" w:rsidRPr="00936ADF">
        <w:t xml:space="preserve"> selectivity was independent of concentration</w:t>
      </w:r>
      <w:r w:rsidR="00225EE3" w:rsidRPr="00936ADF">
        <w:t xml:space="preserve"> in benzene</w:t>
      </w:r>
      <w:r w:rsidR="0013176E" w:rsidRPr="00936ADF">
        <w:t xml:space="preserve">. This outcome is consistent with benzene, whose concentration remains essentially constant, </w:t>
      </w:r>
      <w:r w:rsidR="000C7913" w:rsidRPr="00936ADF">
        <w:t>serv</w:t>
      </w:r>
      <w:r w:rsidR="0013176E" w:rsidRPr="00936ADF">
        <w:t>ing</w:t>
      </w:r>
      <w:r w:rsidR="000C7913" w:rsidRPr="00936ADF">
        <w:t xml:space="preserve"> as the second ligand for </w:t>
      </w:r>
      <w:r w:rsidR="00903B6E" w:rsidRPr="00936ADF">
        <w:t>Path III</w:t>
      </w:r>
      <w:r w:rsidR="000C7913" w:rsidRPr="00936ADF">
        <w:t xml:space="preserve"> (entries 5-8).</w:t>
      </w:r>
    </w:p>
    <w:p w14:paraId="0AAAFAFA" w14:textId="05FE1607" w:rsidR="005E7629" w:rsidRPr="00936ADF" w:rsidRDefault="005E7629" w:rsidP="00866E72">
      <w:pPr>
        <w:pStyle w:val="TAMainText"/>
      </w:pPr>
      <w:r w:rsidRPr="00936ADF">
        <w:t xml:space="preserve">We envisioned that the incoming ligand necessary to promote Path III in non-coordinating THF could be one of three species: (a) a derivative of </w:t>
      </w:r>
      <w:r w:rsidRPr="00936ADF">
        <w:rPr>
          <w:i/>
          <w:iCs/>
        </w:rPr>
        <w:t>tert</w:t>
      </w:r>
      <w:r w:rsidRPr="00936ADF">
        <w:t>-butylindene released upon reduction of the Pd</w:t>
      </w:r>
      <w:r w:rsidRPr="00936ADF">
        <w:rPr>
          <w:vertAlign w:val="superscript"/>
        </w:rPr>
        <w:t>II</w:t>
      </w:r>
      <w:r w:rsidRPr="00936ADF">
        <w:t xml:space="preserve"> precatalyst; (b) a dichloroarene substrate molecule; or (c) the arylboronic acid or a related species. Each of these possibilities was evaluated in cross-coupling reactions using IPr as the ligand, as described below. The results suggest that a substrate molecule promotes Path III in THF.</w:t>
      </w:r>
    </w:p>
    <w:p w14:paraId="1CF1DED3" w14:textId="1DA92F99" w:rsidR="005E7629" w:rsidRPr="00936ADF" w:rsidRDefault="005E7629" w:rsidP="005E7629">
      <w:pPr>
        <w:pStyle w:val="TAMainText"/>
        <w:ind w:firstLine="0"/>
      </w:pPr>
    </w:p>
    <w:p w14:paraId="23944A23" w14:textId="25C60CFC" w:rsidR="00397649" w:rsidRPr="00936ADF" w:rsidRDefault="00A97014" w:rsidP="00397649">
      <w:pPr>
        <w:pStyle w:val="VDTableTitle"/>
        <w:rPr>
          <w:bCs/>
          <w:i/>
          <w:iCs/>
          <w:vertAlign w:val="superscript"/>
        </w:rPr>
      </w:pPr>
      <w:r w:rsidRPr="00936ADF">
        <w:br w:type="column"/>
      </w:r>
      <w:r w:rsidR="00397649" w:rsidRPr="00936ADF">
        <w:lastRenderedPageBreak/>
        <w:t xml:space="preserve">Table </w:t>
      </w:r>
      <w:r w:rsidRPr="00936ADF">
        <w:fldChar w:fldCharType="begin"/>
      </w:r>
      <w:r w:rsidRPr="00936ADF">
        <w:instrText xml:space="preserve"> SEQ Table \* ARABIC </w:instrText>
      </w:r>
      <w:r w:rsidRPr="00936ADF">
        <w:fldChar w:fldCharType="separate"/>
      </w:r>
      <w:r w:rsidR="00F10CA6" w:rsidRPr="00936ADF">
        <w:rPr>
          <w:noProof/>
        </w:rPr>
        <w:t>2</w:t>
      </w:r>
      <w:r w:rsidRPr="00936ADF">
        <w:rPr>
          <w:noProof/>
        </w:rPr>
        <w:fldChar w:fldCharType="end"/>
      </w:r>
      <w:r w:rsidR="00397649" w:rsidRPr="00936ADF">
        <w:t xml:space="preserve">. </w:t>
      </w:r>
      <w:r w:rsidR="00675EA8" w:rsidRPr="00936ADF">
        <w:t>Less Diarylation is Observed at Higher Concentrations in THF, but Concentration has no Effect on Selectivity in Benzene</w:t>
      </w:r>
      <w:r w:rsidR="00397649" w:rsidRPr="00936ADF">
        <w:rPr>
          <w:bCs/>
          <w:i/>
          <w:iCs/>
          <w:vertAlign w:val="superscript"/>
        </w:rPr>
        <w:t>a</w:t>
      </w:r>
    </w:p>
    <w:p w14:paraId="0AECE0C8" w14:textId="334E4A3C" w:rsidR="00397649" w:rsidRPr="00936ADF" w:rsidRDefault="007F2A52" w:rsidP="005E7629">
      <w:pPr>
        <w:pStyle w:val="TAMainText"/>
        <w:ind w:firstLine="0"/>
      </w:pPr>
      <w:r w:rsidRPr="00936ADF">
        <w:rPr>
          <w:noProof/>
        </w:rPr>
        <w:drawing>
          <wp:inline distT="0" distB="0" distL="0" distR="0" wp14:anchorId="5D82BF8E" wp14:editId="6A40E7FF">
            <wp:extent cx="3044825" cy="774065"/>
            <wp:effectExtent l="0" t="0" r="3175" b="635"/>
            <wp:docPr id="21430026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3002677" name=""/>
                    <pic:cNvPicPr/>
                  </pic:nvPicPr>
                  <pic:blipFill>
                    <a:blip r:embed="rId13"/>
                    <a:stretch>
                      <a:fillRect/>
                    </a:stretch>
                  </pic:blipFill>
                  <pic:spPr>
                    <a:xfrm>
                      <a:off x="0" y="0"/>
                      <a:ext cx="3044825" cy="774065"/>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7"/>
        <w:gridCol w:w="1019"/>
        <w:gridCol w:w="1319"/>
        <w:gridCol w:w="690"/>
        <w:gridCol w:w="552"/>
        <w:gridCol w:w="738"/>
      </w:tblGrid>
      <w:tr w:rsidR="00397649" w:rsidRPr="00936ADF" w14:paraId="76E89965" w14:textId="77777777" w:rsidTr="003228B8">
        <w:tc>
          <w:tcPr>
            <w:tcW w:w="478" w:type="dxa"/>
            <w:tcBorders>
              <w:top w:val="single" w:sz="4" w:space="0" w:color="auto"/>
              <w:bottom w:val="single" w:sz="4" w:space="0" w:color="auto"/>
            </w:tcBorders>
            <w:shd w:val="clear" w:color="auto" w:fill="F2F2F2" w:themeFill="background1" w:themeFillShade="F2"/>
          </w:tcPr>
          <w:p w14:paraId="3C7817BF" w14:textId="77777777" w:rsidR="00397649" w:rsidRPr="00936ADF" w:rsidRDefault="00397649" w:rsidP="005D74B9">
            <w:pPr>
              <w:pStyle w:val="TCTableBody"/>
              <w:spacing w:before="0" w:after="0"/>
            </w:pPr>
            <w:r w:rsidRPr="00936ADF">
              <w:t>entry</w:t>
            </w:r>
          </w:p>
        </w:tc>
        <w:tc>
          <w:tcPr>
            <w:tcW w:w="1054" w:type="dxa"/>
            <w:tcBorders>
              <w:top w:val="single" w:sz="4" w:space="0" w:color="auto"/>
              <w:bottom w:val="single" w:sz="4" w:space="0" w:color="auto"/>
            </w:tcBorders>
            <w:shd w:val="clear" w:color="auto" w:fill="F2F2F2" w:themeFill="background1" w:themeFillShade="F2"/>
          </w:tcPr>
          <w:p w14:paraId="6633D1FA" w14:textId="77777777" w:rsidR="00397649" w:rsidRPr="00936ADF" w:rsidRDefault="00397649" w:rsidP="005D74B9">
            <w:pPr>
              <w:pStyle w:val="TCTableBody"/>
              <w:spacing w:before="0" w:after="0"/>
            </w:pPr>
            <w:r w:rsidRPr="00936ADF">
              <w:t>solvent</w:t>
            </w:r>
          </w:p>
        </w:tc>
        <w:tc>
          <w:tcPr>
            <w:tcW w:w="1375" w:type="dxa"/>
            <w:tcBorders>
              <w:top w:val="single" w:sz="4" w:space="0" w:color="auto"/>
              <w:bottom w:val="single" w:sz="4" w:space="0" w:color="auto"/>
            </w:tcBorders>
            <w:shd w:val="clear" w:color="auto" w:fill="F2F2F2" w:themeFill="background1" w:themeFillShade="F2"/>
          </w:tcPr>
          <w:p w14:paraId="6D0B4A9F" w14:textId="2E6FA4EF" w:rsidR="00397649" w:rsidRPr="00936ADF" w:rsidRDefault="00397649" w:rsidP="005D74B9">
            <w:pPr>
              <w:pStyle w:val="TCTableBody"/>
              <w:spacing w:before="0" w:after="0"/>
            </w:pPr>
            <w:r w:rsidRPr="00936ADF">
              <w:t>conc. (</w:t>
            </w:r>
            <w:r w:rsidRPr="00936ADF">
              <w:rPr>
                <w:i/>
                <w:iCs/>
              </w:rPr>
              <w:t>M</w:t>
            </w:r>
            <w:r w:rsidRPr="00936ADF">
              <w:t>)</w:t>
            </w:r>
          </w:p>
        </w:tc>
        <w:tc>
          <w:tcPr>
            <w:tcW w:w="690" w:type="dxa"/>
            <w:tcBorders>
              <w:top w:val="single" w:sz="4" w:space="0" w:color="auto"/>
              <w:bottom w:val="single" w:sz="4" w:space="0" w:color="auto"/>
            </w:tcBorders>
            <w:shd w:val="clear" w:color="auto" w:fill="F2F2F2" w:themeFill="background1" w:themeFillShade="F2"/>
          </w:tcPr>
          <w:p w14:paraId="653A97B1" w14:textId="26AB46AB" w:rsidR="00397649" w:rsidRPr="00936ADF" w:rsidRDefault="00553545" w:rsidP="005D74B9">
            <w:pPr>
              <w:pStyle w:val="TCTableBody"/>
              <w:spacing w:before="0" w:after="0"/>
              <w:rPr>
                <w:b/>
                <w:bCs/>
              </w:rPr>
            </w:pPr>
            <w:r w:rsidRPr="00936ADF">
              <w:rPr>
                <w:b/>
                <w:bCs/>
              </w:rPr>
              <w:t>1a-</w:t>
            </w:r>
            <w:r w:rsidR="00397649" w:rsidRPr="00936ADF">
              <w:rPr>
                <w:b/>
                <w:bCs/>
              </w:rPr>
              <w:t>mono</w:t>
            </w:r>
          </w:p>
        </w:tc>
        <w:tc>
          <w:tcPr>
            <w:tcW w:w="450" w:type="dxa"/>
            <w:tcBorders>
              <w:top w:val="single" w:sz="4" w:space="0" w:color="auto"/>
              <w:bottom w:val="single" w:sz="4" w:space="0" w:color="auto"/>
            </w:tcBorders>
            <w:shd w:val="clear" w:color="auto" w:fill="F2F2F2" w:themeFill="background1" w:themeFillShade="F2"/>
          </w:tcPr>
          <w:p w14:paraId="13DA4ABA" w14:textId="64CBDDAC" w:rsidR="00397649" w:rsidRPr="00936ADF" w:rsidRDefault="00553545" w:rsidP="005D74B9">
            <w:pPr>
              <w:pStyle w:val="TCTableBody"/>
              <w:spacing w:before="0" w:after="0"/>
              <w:rPr>
                <w:b/>
                <w:bCs/>
              </w:rPr>
            </w:pPr>
            <w:r w:rsidRPr="00936ADF">
              <w:rPr>
                <w:b/>
                <w:bCs/>
              </w:rPr>
              <w:t>1a-</w:t>
            </w:r>
            <w:r w:rsidR="00397649" w:rsidRPr="00936ADF">
              <w:rPr>
                <w:b/>
                <w:bCs/>
              </w:rPr>
              <w:t>di</w:t>
            </w:r>
          </w:p>
        </w:tc>
        <w:tc>
          <w:tcPr>
            <w:tcW w:w="738" w:type="dxa"/>
            <w:tcBorders>
              <w:top w:val="single" w:sz="4" w:space="0" w:color="auto"/>
              <w:bottom w:val="single" w:sz="4" w:space="0" w:color="auto"/>
            </w:tcBorders>
            <w:shd w:val="clear" w:color="auto" w:fill="F2F2F2" w:themeFill="background1" w:themeFillShade="F2"/>
          </w:tcPr>
          <w:p w14:paraId="38718ADA" w14:textId="77777777" w:rsidR="00397649" w:rsidRPr="00936ADF" w:rsidRDefault="00397649" w:rsidP="005D74B9">
            <w:pPr>
              <w:pStyle w:val="TCTableBody"/>
              <w:spacing w:before="0" w:after="0"/>
              <w:rPr>
                <w:b/>
                <w:bCs/>
              </w:rPr>
            </w:pPr>
            <w:r w:rsidRPr="00936ADF">
              <w:rPr>
                <w:b/>
                <w:bCs/>
              </w:rPr>
              <w:t>mono</w:t>
            </w:r>
            <w:r w:rsidRPr="00936ADF">
              <w:t xml:space="preserve">: </w:t>
            </w:r>
            <w:r w:rsidRPr="00936ADF">
              <w:rPr>
                <w:b/>
                <w:bCs/>
              </w:rPr>
              <w:t>di</w:t>
            </w:r>
          </w:p>
        </w:tc>
      </w:tr>
      <w:tr w:rsidR="00397649" w:rsidRPr="00936ADF" w14:paraId="7EECB823" w14:textId="77777777" w:rsidTr="003228B8">
        <w:tc>
          <w:tcPr>
            <w:tcW w:w="478" w:type="dxa"/>
            <w:tcBorders>
              <w:top w:val="single" w:sz="4" w:space="0" w:color="auto"/>
            </w:tcBorders>
          </w:tcPr>
          <w:p w14:paraId="5451AD7A" w14:textId="77777777" w:rsidR="00397649" w:rsidRPr="00936ADF" w:rsidRDefault="00397649" w:rsidP="005D74B9">
            <w:pPr>
              <w:pStyle w:val="TCTableBody"/>
              <w:spacing w:before="0" w:after="0"/>
            </w:pPr>
            <w:r w:rsidRPr="00936ADF">
              <w:t>1</w:t>
            </w:r>
          </w:p>
        </w:tc>
        <w:tc>
          <w:tcPr>
            <w:tcW w:w="1054" w:type="dxa"/>
            <w:tcBorders>
              <w:top w:val="single" w:sz="4" w:space="0" w:color="auto"/>
            </w:tcBorders>
          </w:tcPr>
          <w:p w14:paraId="5C790FD7" w14:textId="77777777" w:rsidR="00397649" w:rsidRPr="00936ADF" w:rsidRDefault="00397649" w:rsidP="005D74B9">
            <w:pPr>
              <w:pStyle w:val="TCTableBody"/>
              <w:spacing w:before="0" w:after="0"/>
            </w:pPr>
            <w:r w:rsidRPr="00936ADF">
              <w:t>THF</w:t>
            </w:r>
          </w:p>
        </w:tc>
        <w:tc>
          <w:tcPr>
            <w:tcW w:w="1375" w:type="dxa"/>
            <w:tcBorders>
              <w:top w:val="single" w:sz="4" w:space="0" w:color="auto"/>
            </w:tcBorders>
          </w:tcPr>
          <w:p w14:paraId="2B6181E0" w14:textId="23943ED3" w:rsidR="00397649" w:rsidRPr="00936ADF" w:rsidRDefault="00116EC2" w:rsidP="005D74B9">
            <w:pPr>
              <w:pStyle w:val="TCTableBody"/>
              <w:spacing w:before="0" w:after="0"/>
            </w:pPr>
            <w:r w:rsidRPr="00936ADF">
              <w:t>0.16</w:t>
            </w:r>
          </w:p>
        </w:tc>
        <w:tc>
          <w:tcPr>
            <w:tcW w:w="690" w:type="dxa"/>
            <w:tcBorders>
              <w:top w:val="single" w:sz="4" w:space="0" w:color="auto"/>
            </w:tcBorders>
          </w:tcPr>
          <w:p w14:paraId="56C02EE3" w14:textId="6A92BB6A" w:rsidR="00397649" w:rsidRPr="00936ADF" w:rsidRDefault="00116EC2" w:rsidP="005D74B9">
            <w:pPr>
              <w:pStyle w:val="TCTableBody"/>
              <w:spacing w:before="0" w:after="0"/>
            </w:pPr>
            <w:r w:rsidRPr="00936ADF">
              <w:t>6</w:t>
            </w:r>
            <w:r w:rsidR="009B0CA3" w:rsidRPr="00936ADF">
              <w:t>.0</w:t>
            </w:r>
          </w:p>
        </w:tc>
        <w:tc>
          <w:tcPr>
            <w:tcW w:w="450" w:type="dxa"/>
            <w:tcBorders>
              <w:top w:val="single" w:sz="4" w:space="0" w:color="auto"/>
            </w:tcBorders>
          </w:tcPr>
          <w:p w14:paraId="25D3A35E" w14:textId="4A4D5F0A" w:rsidR="00397649" w:rsidRPr="00936ADF" w:rsidRDefault="00116EC2" w:rsidP="005D74B9">
            <w:pPr>
              <w:pStyle w:val="TCTableBody"/>
              <w:spacing w:before="0" w:after="0"/>
            </w:pPr>
            <w:r w:rsidRPr="00936ADF">
              <w:t>37</w:t>
            </w:r>
            <w:r w:rsidR="009B0CA3" w:rsidRPr="00936ADF">
              <w:t>.2</w:t>
            </w:r>
          </w:p>
        </w:tc>
        <w:tc>
          <w:tcPr>
            <w:tcW w:w="738" w:type="dxa"/>
            <w:tcBorders>
              <w:top w:val="single" w:sz="4" w:space="0" w:color="auto"/>
            </w:tcBorders>
          </w:tcPr>
          <w:p w14:paraId="432F0C03" w14:textId="43F1CABD" w:rsidR="00397649" w:rsidRPr="00936ADF" w:rsidRDefault="00397649" w:rsidP="005D74B9">
            <w:pPr>
              <w:pStyle w:val="TCTableBody"/>
              <w:spacing w:before="0" w:after="0"/>
            </w:pPr>
            <w:r w:rsidRPr="00936ADF">
              <w:t xml:space="preserve">1 : </w:t>
            </w:r>
            <w:r w:rsidR="00116EC2" w:rsidRPr="00936ADF">
              <w:t>6</w:t>
            </w:r>
            <w:r w:rsidR="009B0CA3" w:rsidRPr="00936ADF">
              <w:t>.2</w:t>
            </w:r>
          </w:p>
        </w:tc>
      </w:tr>
      <w:tr w:rsidR="00397649" w:rsidRPr="00936ADF" w14:paraId="2E4FDD3A" w14:textId="77777777" w:rsidTr="003228B8">
        <w:tc>
          <w:tcPr>
            <w:tcW w:w="478" w:type="dxa"/>
          </w:tcPr>
          <w:p w14:paraId="5A6109E1" w14:textId="77777777" w:rsidR="00397649" w:rsidRPr="00936ADF" w:rsidRDefault="00397649" w:rsidP="005D74B9">
            <w:pPr>
              <w:pStyle w:val="TCTableBody"/>
              <w:spacing w:before="0" w:after="0"/>
            </w:pPr>
            <w:r w:rsidRPr="00936ADF">
              <w:t>2</w:t>
            </w:r>
          </w:p>
        </w:tc>
        <w:tc>
          <w:tcPr>
            <w:tcW w:w="1054" w:type="dxa"/>
          </w:tcPr>
          <w:p w14:paraId="57C4DD9F" w14:textId="77777777" w:rsidR="00397649" w:rsidRPr="00936ADF" w:rsidRDefault="00397649" w:rsidP="005D74B9">
            <w:pPr>
              <w:pStyle w:val="TCTableBody"/>
              <w:spacing w:before="0" w:after="0"/>
            </w:pPr>
            <w:r w:rsidRPr="00936ADF">
              <w:t>THF</w:t>
            </w:r>
          </w:p>
        </w:tc>
        <w:tc>
          <w:tcPr>
            <w:tcW w:w="1375" w:type="dxa"/>
          </w:tcPr>
          <w:p w14:paraId="3676F148" w14:textId="093AD8A8" w:rsidR="00397649" w:rsidRPr="00936ADF" w:rsidRDefault="00116EC2" w:rsidP="005D74B9">
            <w:pPr>
              <w:pStyle w:val="TCTableBody"/>
              <w:spacing w:before="0" w:after="0"/>
            </w:pPr>
            <w:r w:rsidRPr="00936ADF">
              <w:t>0.20</w:t>
            </w:r>
          </w:p>
        </w:tc>
        <w:tc>
          <w:tcPr>
            <w:tcW w:w="690" w:type="dxa"/>
          </w:tcPr>
          <w:p w14:paraId="0C132CCE" w14:textId="402FBCCD" w:rsidR="00397649" w:rsidRPr="00936ADF" w:rsidRDefault="009B0CA3" w:rsidP="005D74B9">
            <w:pPr>
              <w:pStyle w:val="TCTableBody"/>
              <w:spacing w:before="0" w:after="0"/>
            </w:pPr>
            <w:r w:rsidRPr="00936ADF">
              <w:t>7.7</w:t>
            </w:r>
          </w:p>
        </w:tc>
        <w:tc>
          <w:tcPr>
            <w:tcW w:w="450" w:type="dxa"/>
          </w:tcPr>
          <w:p w14:paraId="56AA7F8D" w14:textId="725823AD" w:rsidR="00397649" w:rsidRPr="00936ADF" w:rsidRDefault="00116EC2" w:rsidP="005D74B9">
            <w:pPr>
              <w:pStyle w:val="TCTableBody"/>
              <w:spacing w:before="0" w:after="0"/>
            </w:pPr>
            <w:r w:rsidRPr="00936ADF">
              <w:t>3</w:t>
            </w:r>
            <w:r w:rsidR="009B0CA3" w:rsidRPr="00936ADF">
              <w:t>8.7</w:t>
            </w:r>
          </w:p>
        </w:tc>
        <w:tc>
          <w:tcPr>
            <w:tcW w:w="738" w:type="dxa"/>
          </w:tcPr>
          <w:p w14:paraId="65EC1E36" w14:textId="319724A5" w:rsidR="00397649" w:rsidRPr="00936ADF" w:rsidRDefault="00116EC2" w:rsidP="005D74B9">
            <w:pPr>
              <w:pStyle w:val="TCTableBody"/>
              <w:spacing w:before="0" w:after="0"/>
            </w:pPr>
            <w:r w:rsidRPr="00936ADF">
              <w:t>1 : 5</w:t>
            </w:r>
            <w:r w:rsidR="009B0CA3" w:rsidRPr="00936ADF">
              <w:t>.0</w:t>
            </w:r>
          </w:p>
        </w:tc>
      </w:tr>
      <w:tr w:rsidR="00397649" w:rsidRPr="00936ADF" w14:paraId="5530F815" w14:textId="77777777" w:rsidTr="003228B8">
        <w:tc>
          <w:tcPr>
            <w:tcW w:w="478" w:type="dxa"/>
          </w:tcPr>
          <w:p w14:paraId="48E6CB38" w14:textId="77777777" w:rsidR="00397649" w:rsidRPr="00936ADF" w:rsidRDefault="00397649" w:rsidP="005D74B9">
            <w:pPr>
              <w:pStyle w:val="TCTableBody"/>
              <w:spacing w:before="0" w:after="0"/>
            </w:pPr>
            <w:r w:rsidRPr="00936ADF">
              <w:t>3</w:t>
            </w:r>
          </w:p>
        </w:tc>
        <w:tc>
          <w:tcPr>
            <w:tcW w:w="1054" w:type="dxa"/>
          </w:tcPr>
          <w:p w14:paraId="590EF251" w14:textId="77777777" w:rsidR="00397649" w:rsidRPr="00936ADF" w:rsidRDefault="00397649" w:rsidP="005D74B9">
            <w:pPr>
              <w:pStyle w:val="TCTableBody"/>
              <w:spacing w:before="0" w:after="0"/>
            </w:pPr>
            <w:r w:rsidRPr="00936ADF">
              <w:t>THF</w:t>
            </w:r>
          </w:p>
        </w:tc>
        <w:tc>
          <w:tcPr>
            <w:tcW w:w="1375" w:type="dxa"/>
          </w:tcPr>
          <w:p w14:paraId="2D72F880" w14:textId="61CAFBC5" w:rsidR="00397649" w:rsidRPr="00936ADF" w:rsidRDefault="00116EC2" w:rsidP="005D74B9">
            <w:pPr>
              <w:pStyle w:val="TCTableBody"/>
              <w:spacing w:before="0" w:after="0"/>
            </w:pPr>
            <w:r w:rsidRPr="00936ADF">
              <w:t>0.25</w:t>
            </w:r>
          </w:p>
        </w:tc>
        <w:tc>
          <w:tcPr>
            <w:tcW w:w="690" w:type="dxa"/>
          </w:tcPr>
          <w:p w14:paraId="2EB40FA2" w14:textId="292C2EA9" w:rsidR="00397649" w:rsidRPr="00936ADF" w:rsidRDefault="009B0CA3" w:rsidP="005D74B9">
            <w:pPr>
              <w:pStyle w:val="TCTableBody"/>
              <w:spacing w:before="0" w:after="0"/>
            </w:pPr>
            <w:r w:rsidRPr="00936ADF">
              <w:t>9.7</w:t>
            </w:r>
          </w:p>
        </w:tc>
        <w:tc>
          <w:tcPr>
            <w:tcW w:w="450" w:type="dxa"/>
          </w:tcPr>
          <w:p w14:paraId="4CC8781E" w14:textId="72CDF506" w:rsidR="00397649" w:rsidRPr="00936ADF" w:rsidRDefault="00AA5F44" w:rsidP="005D74B9">
            <w:pPr>
              <w:pStyle w:val="TCTableBody"/>
              <w:spacing w:before="0" w:after="0"/>
            </w:pPr>
            <w:r w:rsidRPr="00936ADF">
              <w:t>4</w:t>
            </w:r>
            <w:r w:rsidR="009B0CA3" w:rsidRPr="00936ADF">
              <w:t>3.6</w:t>
            </w:r>
          </w:p>
        </w:tc>
        <w:tc>
          <w:tcPr>
            <w:tcW w:w="738" w:type="dxa"/>
          </w:tcPr>
          <w:p w14:paraId="41B4EE91" w14:textId="7889D2E2" w:rsidR="00397649" w:rsidRPr="00936ADF" w:rsidRDefault="00397649" w:rsidP="005D74B9">
            <w:pPr>
              <w:pStyle w:val="TCTableBody"/>
              <w:spacing w:before="0" w:after="0"/>
            </w:pPr>
            <w:r w:rsidRPr="00936ADF">
              <w:t xml:space="preserve">1 : </w:t>
            </w:r>
            <w:r w:rsidR="00116EC2" w:rsidRPr="00936ADF">
              <w:t>4</w:t>
            </w:r>
            <w:r w:rsidR="009B0CA3" w:rsidRPr="00936ADF">
              <w:t>.5</w:t>
            </w:r>
          </w:p>
        </w:tc>
      </w:tr>
      <w:tr w:rsidR="00397649" w:rsidRPr="00936ADF" w14:paraId="2C6DE4EA" w14:textId="77777777" w:rsidTr="003228B8">
        <w:tc>
          <w:tcPr>
            <w:tcW w:w="478" w:type="dxa"/>
          </w:tcPr>
          <w:p w14:paraId="52AA1B70" w14:textId="77777777" w:rsidR="00397649" w:rsidRPr="00936ADF" w:rsidRDefault="00397649" w:rsidP="005D74B9">
            <w:pPr>
              <w:pStyle w:val="TCTableBody"/>
              <w:spacing w:before="0" w:after="0"/>
            </w:pPr>
            <w:r w:rsidRPr="00936ADF">
              <w:t>4</w:t>
            </w:r>
          </w:p>
        </w:tc>
        <w:tc>
          <w:tcPr>
            <w:tcW w:w="1054" w:type="dxa"/>
          </w:tcPr>
          <w:p w14:paraId="62EB8169" w14:textId="77777777" w:rsidR="00397649" w:rsidRPr="00936ADF" w:rsidRDefault="00397649" w:rsidP="005D74B9">
            <w:pPr>
              <w:pStyle w:val="TCTableBody"/>
              <w:spacing w:before="0" w:after="0"/>
            </w:pPr>
            <w:r w:rsidRPr="00936ADF">
              <w:t>THF</w:t>
            </w:r>
          </w:p>
        </w:tc>
        <w:tc>
          <w:tcPr>
            <w:tcW w:w="1375" w:type="dxa"/>
          </w:tcPr>
          <w:p w14:paraId="7FD07E4B" w14:textId="79017291" w:rsidR="00397649" w:rsidRPr="00936ADF" w:rsidRDefault="00116EC2" w:rsidP="005D74B9">
            <w:pPr>
              <w:pStyle w:val="TCTableBody"/>
              <w:spacing w:before="0" w:after="0"/>
            </w:pPr>
            <w:r w:rsidRPr="00936ADF">
              <w:t>0.40</w:t>
            </w:r>
          </w:p>
        </w:tc>
        <w:tc>
          <w:tcPr>
            <w:tcW w:w="690" w:type="dxa"/>
          </w:tcPr>
          <w:p w14:paraId="7C8A0BB0" w14:textId="035E5DFC" w:rsidR="00397649" w:rsidRPr="00936ADF" w:rsidRDefault="00116EC2" w:rsidP="005D74B9">
            <w:pPr>
              <w:pStyle w:val="TCTableBody"/>
              <w:spacing w:before="0" w:after="0"/>
            </w:pPr>
            <w:r w:rsidRPr="00936ADF">
              <w:t>14</w:t>
            </w:r>
            <w:r w:rsidR="009B0CA3" w:rsidRPr="00936ADF">
              <w:t>.5</w:t>
            </w:r>
          </w:p>
        </w:tc>
        <w:tc>
          <w:tcPr>
            <w:tcW w:w="450" w:type="dxa"/>
          </w:tcPr>
          <w:p w14:paraId="56EF564C" w14:textId="2CCA17FB" w:rsidR="00397649" w:rsidRPr="00936ADF" w:rsidRDefault="00116EC2" w:rsidP="005D74B9">
            <w:pPr>
              <w:pStyle w:val="TCTableBody"/>
              <w:spacing w:before="0" w:after="0"/>
            </w:pPr>
            <w:r w:rsidRPr="00936ADF">
              <w:t>38</w:t>
            </w:r>
            <w:r w:rsidR="009B0CA3" w:rsidRPr="00936ADF">
              <w:t>.4</w:t>
            </w:r>
          </w:p>
        </w:tc>
        <w:tc>
          <w:tcPr>
            <w:tcW w:w="738" w:type="dxa"/>
          </w:tcPr>
          <w:p w14:paraId="36CE8916" w14:textId="0EF15FA8" w:rsidR="00397649" w:rsidRPr="00936ADF" w:rsidRDefault="00116EC2" w:rsidP="005D74B9">
            <w:pPr>
              <w:pStyle w:val="TCTableBody"/>
              <w:spacing w:before="0" w:after="0"/>
            </w:pPr>
            <w:r w:rsidRPr="00936ADF">
              <w:t xml:space="preserve">1 : </w:t>
            </w:r>
            <w:r w:rsidR="009B0CA3" w:rsidRPr="00936ADF">
              <w:t>2.6</w:t>
            </w:r>
          </w:p>
        </w:tc>
      </w:tr>
      <w:tr w:rsidR="00116EC2" w:rsidRPr="00936ADF" w14:paraId="4815CEF4" w14:textId="77777777" w:rsidTr="003228B8">
        <w:tc>
          <w:tcPr>
            <w:tcW w:w="478" w:type="dxa"/>
          </w:tcPr>
          <w:p w14:paraId="0EF3A945" w14:textId="77777777" w:rsidR="00116EC2" w:rsidRPr="00936ADF" w:rsidRDefault="00116EC2" w:rsidP="005D74B9">
            <w:pPr>
              <w:pStyle w:val="TCTableBody"/>
              <w:spacing w:before="0" w:after="0"/>
            </w:pPr>
            <w:r w:rsidRPr="00936ADF">
              <w:t>5</w:t>
            </w:r>
          </w:p>
        </w:tc>
        <w:tc>
          <w:tcPr>
            <w:tcW w:w="1054" w:type="dxa"/>
          </w:tcPr>
          <w:p w14:paraId="34B181C0" w14:textId="1FD7FB8E" w:rsidR="00116EC2" w:rsidRPr="00936ADF" w:rsidRDefault="00116EC2" w:rsidP="005D74B9">
            <w:pPr>
              <w:pStyle w:val="TCTableBody"/>
              <w:spacing w:before="0" w:after="0"/>
            </w:pPr>
            <w:r w:rsidRPr="00936ADF">
              <w:t>benzene</w:t>
            </w:r>
          </w:p>
        </w:tc>
        <w:tc>
          <w:tcPr>
            <w:tcW w:w="1375" w:type="dxa"/>
          </w:tcPr>
          <w:p w14:paraId="18CB79BF" w14:textId="1342340C" w:rsidR="00116EC2" w:rsidRPr="00936ADF" w:rsidRDefault="00116EC2" w:rsidP="005D74B9">
            <w:pPr>
              <w:pStyle w:val="TCTableBody"/>
              <w:spacing w:before="0" w:after="0"/>
            </w:pPr>
            <w:r w:rsidRPr="00936ADF">
              <w:t>0.16</w:t>
            </w:r>
          </w:p>
        </w:tc>
        <w:tc>
          <w:tcPr>
            <w:tcW w:w="690" w:type="dxa"/>
          </w:tcPr>
          <w:p w14:paraId="510A4371" w14:textId="3A51D0B6" w:rsidR="00116EC2" w:rsidRPr="00936ADF" w:rsidRDefault="00116EC2" w:rsidP="005D74B9">
            <w:pPr>
              <w:pStyle w:val="TCTableBody"/>
              <w:spacing w:before="0" w:after="0"/>
            </w:pPr>
            <w:r w:rsidRPr="00936ADF">
              <w:t>59</w:t>
            </w:r>
            <w:r w:rsidR="009B0CA3" w:rsidRPr="00936ADF">
              <w:t>.2</w:t>
            </w:r>
          </w:p>
        </w:tc>
        <w:tc>
          <w:tcPr>
            <w:tcW w:w="450" w:type="dxa"/>
          </w:tcPr>
          <w:p w14:paraId="11CA2297" w14:textId="09A93BD5" w:rsidR="00116EC2" w:rsidRPr="00936ADF" w:rsidRDefault="00116EC2" w:rsidP="005D74B9">
            <w:pPr>
              <w:pStyle w:val="TCTableBody"/>
              <w:spacing w:before="0" w:after="0"/>
            </w:pPr>
            <w:r w:rsidRPr="00936ADF">
              <w:t>1</w:t>
            </w:r>
            <w:r w:rsidR="009B0CA3" w:rsidRPr="00936ADF">
              <w:t>6.7</w:t>
            </w:r>
          </w:p>
        </w:tc>
        <w:tc>
          <w:tcPr>
            <w:tcW w:w="738" w:type="dxa"/>
          </w:tcPr>
          <w:p w14:paraId="129DBAD9" w14:textId="24092A75" w:rsidR="00116EC2" w:rsidRPr="00936ADF" w:rsidRDefault="0032392A" w:rsidP="005D74B9">
            <w:pPr>
              <w:pStyle w:val="TCTableBody"/>
              <w:spacing w:before="0" w:after="0"/>
            </w:pPr>
            <w:r w:rsidRPr="00936ADF">
              <w:t>3</w:t>
            </w:r>
            <w:r w:rsidR="009B0CA3" w:rsidRPr="00936ADF">
              <w:t>.5</w:t>
            </w:r>
            <w:r w:rsidR="00116EC2" w:rsidRPr="00936ADF">
              <w:t xml:space="preserve"> : 1</w:t>
            </w:r>
          </w:p>
        </w:tc>
      </w:tr>
      <w:tr w:rsidR="00116EC2" w:rsidRPr="00936ADF" w14:paraId="7974081E" w14:textId="77777777" w:rsidTr="003228B8">
        <w:tc>
          <w:tcPr>
            <w:tcW w:w="478" w:type="dxa"/>
          </w:tcPr>
          <w:p w14:paraId="07B1425B" w14:textId="77777777" w:rsidR="00116EC2" w:rsidRPr="00936ADF" w:rsidRDefault="00116EC2" w:rsidP="005D74B9">
            <w:pPr>
              <w:pStyle w:val="TCTableBody"/>
              <w:spacing w:before="0" w:after="0"/>
            </w:pPr>
            <w:r w:rsidRPr="00936ADF">
              <w:t>6</w:t>
            </w:r>
          </w:p>
        </w:tc>
        <w:tc>
          <w:tcPr>
            <w:tcW w:w="1054" w:type="dxa"/>
          </w:tcPr>
          <w:p w14:paraId="364B5D20" w14:textId="3DD9BEF9" w:rsidR="00116EC2" w:rsidRPr="00936ADF" w:rsidRDefault="00116EC2" w:rsidP="005D74B9">
            <w:pPr>
              <w:pStyle w:val="TCTableBody"/>
              <w:spacing w:before="0" w:after="0"/>
            </w:pPr>
            <w:r w:rsidRPr="00936ADF">
              <w:t>benzene</w:t>
            </w:r>
          </w:p>
        </w:tc>
        <w:tc>
          <w:tcPr>
            <w:tcW w:w="1375" w:type="dxa"/>
          </w:tcPr>
          <w:p w14:paraId="044053B8" w14:textId="609BA692" w:rsidR="00116EC2" w:rsidRPr="00936ADF" w:rsidRDefault="00116EC2" w:rsidP="005D74B9">
            <w:pPr>
              <w:pStyle w:val="TCTableBody"/>
              <w:spacing w:before="0" w:after="0"/>
            </w:pPr>
            <w:r w:rsidRPr="00936ADF">
              <w:t>0.20</w:t>
            </w:r>
          </w:p>
        </w:tc>
        <w:tc>
          <w:tcPr>
            <w:tcW w:w="690" w:type="dxa"/>
          </w:tcPr>
          <w:p w14:paraId="32D86B13" w14:textId="0A3948E4" w:rsidR="00116EC2" w:rsidRPr="00936ADF" w:rsidRDefault="00116EC2" w:rsidP="005D74B9">
            <w:pPr>
              <w:pStyle w:val="TCTableBody"/>
              <w:spacing w:before="0" w:after="0"/>
            </w:pPr>
            <w:r w:rsidRPr="00936ADF">
              <w:t>60</w:t>
            </w:r>
            <w:r w:rsidR="009B0CA3" w:rsidRPr="00936ADF">
              <w:t>.0</w:t>
            </w:r>
          </w:p>
        </w:tc>
        <w:tc>
          <w:tcPr>
            <w:tcW w:w="450" w:type="dxa"/>
          </w:tcPr>
          <w:p w14:paraId="33907857" w14:textId="78B635B2" w:rsidR="00116EC2" w:rsidRPr="00936ADF" w:rsidRDefault="00116EC2" w:rsidP="005D74B9">
            <w:pPr>
              <w:pStyle w:val="TCTableBody"/>
              <w:spacing w:before="0" w:after="0"/>
            </w:pPr>
            <w:r w:rsidRPr="00936ADF">
              <w:t>17</w:t>
            </w:r>
            <w:r w:rsidR="009B0CA3" w:rsidRPr="00936ADF">
              <w:t>.4</w:t>
            </w:r>
          </w:p>
        </w:tc>
        <w:tc>
          <w:tcPr>
            <w:tcW w:w="738" w:type="dxa"/>
          </w:tcPr>
          <w:p w14:paraId="48658389" w14:textId="48D008B9" w:rsidR="00116EC2" w:rsidRPr="00936ADF" w:rsidRDefault="009B0CA3" w:rsidP="005D74B9">
            <w:pPr>
              <w:pStyle w:val="TCTableBody"/>
              <w:spacing w:before="0" w:after="0"/>
            </w:pPr>
            <w:r w:rsidRPr="00936ADF">
              <w:t>3.4</w:t>
            </w:r>
            <w:r w:rsidR="00116EC2" w:rsidRPr="00936ADF">
              <w:t xml:space="preserve"> : 1</w:t>
            </w:r>
          </w:p>
        </w:tc>
      </w:tr>
      <w:tr w:rsidR="00116EC2" w:rsidRPr="00936ADF" w14:paraId="64DFA38F" w14:textId="77777777" w:rsidTr="003228B8">
        <w:tc>
          <w:tcPr>
            <w:tcW w:w="478" w:type="dxa"/>
          </w:tcPr>
          <w:p w14:paraId="73684F92" w14:textId="77777777" w:rsidR="00116EC2" w:rsidRPr="00936ADF" w:rsidRDefault="00116EC2" w:rsidP="005D74B9">
            <w:pPr>
              <w:pStyle w:val="TCTableBody"/>
              <w:spacing w:before="0" w:after="0"/>
            </w:pPr>
            <w:r w:rsidRPr="00936ADF">
              <w:t>7</w:t>
            </w:r>
          </w:p>
        </w:tc>
        <w:tc>
          <w:tcPr>
            <w:tcW w:w="1054" w:type="dxa"/>
          </w:tcPr>
          <w:p w14:paraId="03C18ACE" w14:textId="0198C77C" w:rsidR="00116EC2" w:rsidRPr="00936ADF" w:rsidRDefault="00116EC2" w:rsidP="005D74B9">
            <w:pPr>
              <w:pStyle w:val="TCTableBody"/>
              <w:spacing w:before="0" w:after="0"/>
            </w:pPr>
            <w:r w:rsidRPr="00936ADF">
              <w:t>benzene</w:t>
            </w:r>
          </w:p>
        </w:tc>
        <w:tc>
          <w:tcPr>
            <w:tcW w:w="1375" w:type="dxa"/>
          </w:tcPr>
          <w:p w14:paraId="32F6B091" w14:textId="3CA9EBB8" w:rsidR="00116EC2" w:rsidRPr="00936ADF" w:rsidRDefault="00116EC2" w:rsidP="005D74B9">
            <w:pPr>
              <w:pStyle w:val="TCTableBody"/>
              <w:spacing w:before="0" w:after="0"/>
            </w:pPr>
            <w:r w:rsidRPr="00936ADF">
              <w:t>0.25</w:t>
            </w:r>
          </w:p>
        </w:tc>
        <w:tc>
          <w:tcPr>
            <w:tcW w:w="690" w:type="dxa"/>
          </w:tcPr>
          <w:p w14:paraId="3CE07933" w14:textId="5C3E2964" w:rsidR="00116EC2" w:rsidRPr="00936ADF" w:rsidRDefault="00116EC2" w:rsidP="005D74B9">
            <w:pPr>
              <w:pStyle w:val="TCTableBody"/>
              <w:spacing w:before="0" w:after="0"/>
            </w:pPr>
            <w:r w:rsidRPr="00936ADF">
              <w:t>60</w:t>
            </w:r>
            <w:r w:rsidR="009B0CA3" w:rsidRPr="00936ADF">
              <w:t>.0</w:t>
            </w:r>
          </w:p>
        </w:tc>
        <w:tc>
          <w:tcPr>
            <w:tcW w:w="450" w:type="dxa"/>
          </w:tcPr>
          <w:p w14:paraId="0A968128" w14:textId="0D9B61EB" w:rsidR="00116EC2" w:rsidRPr="00936ADF" w:rsidRDefault="00116EC2" w:rsidP="005D74B9">
            <w:pPr>
              <w:pStyle w:val="TCTableBody"/>
              <w:spacing w:before="0" w:after="0"/>
            </w:pPr>
            <w:r w:rsidRPr="00936ADF">
              <w:t>1</w:t>
            </w:r>
            <w:r w:rsidR="009B0CA3" w:rsidRPr="00936ADF">
              <w:t>6.7</w:t>
            </w:r>
          </w:p>
        </w:tc>
        <w:tc>
          <w:tcPr>
            <w:tcW w:w="738" w:type="dxa"/>
          </w:tcPr>
          <w:p w14:paraId="4AE59706" w14:textId="0A11D7A9" w:rsidR="00116EC2" w:rsidRPr="00936ADF" w:rsidRDefault="009B0CA3" w:rsidP="005D74B9">
            <w:pPr>
              <w:pStyle w:val="TCTableBody"/>
              <w:spacing w:before="0" w:after="0"/>
            </w:pPr>
            <w:r w:rsidRPr="00936ADF">
              <w:t>3.6</w:t>
            </w:r>
            <w:r w:rsidR="00116EC2" w:rsidRPr="00936ADF">
              <w:t xml:space="preserve"> : 1</w:t>
            </w:r>
          </w:p>
        </w:tc>
      </w:tr>
      <w:tr w:rsidR="00116EC2" w:rsidRPr="00936ADF" w14:paraId="55CD0283" w14:textId="77777777" w:rsidTr="003228B8">
        <w:tc>
          <w:tcPr>
            <w:tcW w:w="478" w:type="dxa"/>
            <w:tcBorders>
              <w:bottom w:val="single" w:sz="4" w:space="0" w:color="auto"/>
            </w:tcBorders>
          </w:tcPr>
          <w:p w14:paraId="729291BE" w14:textId="703C0EEF" w:rsidR="00116EC2" w:rsidRPr="00936ADF" w:rsidRDefault="00116EC2" w:rsidP="005D74B9">
            <w:pPr>
              <w:pStyle w:val="TCTableBody"/>
              <w:spacing w:before="0" w:after="0"/>
              <w:rPr>
                <w:i/>
                <w:iCs/>
                <w:vertAlign w:val="superscript"/>
              </w:rPr>
            </w:pPr>
            <w:r w:rsidRPr="00936ADF">
              <w:t>8</w:t>
            </w:r>
          </w:p>
        </w:tc>
        <w:tc>
          <w:tcPr>
            <w:tcW w:w="1054" w:type="dxa"/>
            <w:tcBorders>
              <w:bottom w:val="single" w:sz="4" w:space="0" w:color="auto"/>
            </w:tcBorders>
          </w:tcPr>
          <w:p w14:paraId="7BEE1C55" w14:textId="1DFC39A4" w:rsidR="00116EC2" w:rsidRPr="00936ADF" w:rsidRDefault="00116EC2" w:rsidP="005D74B9">
            <w:pPr>
              <w:pStyle w:val="TCTableBody"/>
              <w:spacing w:before="0" w:after="0"/>
            </w:pPr>
            <w:r w:rsidRPr="00936ADF">
              <w:t>benzene</w:t>
            </w:r>
          </w:p>
        </w:tc>
        <w:tc>
          <w:tcPr>
            <w:tcW w:w="1375" w:type="dxa"/>
            <w:tcBorders>
              <w:bottom w:val="single" w:sz="4" w:space="0" w:color="auto"/>
            </w:tcBorders>
          </w:tcPr>
          <w:p w14:paraId="78C1E1E3" w14:textId="6347F8EA" w:rsidR="00116EC2" w:rsidRPr="00936ADF" w:rsidRDefault="00116EC2" w:rsidP="005D74B9">
            <w:pPr>
              <w:pStyle w:val="TCTableBody"/>
              <w:spacing w:before="0" w:after="0"/>
            </w:pPr>
            <w:r w:rsidRPr="00936ADF">
              <w:t>0.40</w:t>
            </w:r>
          </w:p>
        </w:tc>
        <w:tc>
          <w:tcPr>
            <w:tcW w:w="690" w:type="dxa"/>
            <w:tcBorders>
              <w:bottom w:val="single" w:sz="4" w:space="0" w:color="auto"/>
            </w:tcBorders>
          </w:tcPr>
          <w:p w14:paraId="4103A8CB" w14:textId="6948D71F" w:rsidR="00116EC2" w:rsidRPr="00936ADF" w:rsidRDefault="00116EC2" w:rsidP="005D74B9">
            <w:pPr>
              <w:pStyle w:val="TCTableBody"/>
              <w:spacing w:before="0" w:after="0"/>
            </w:pPr>
            <w:r w:rsidRPr="00936ADF">
              <w:t>61</w:t>
            </w:r>
            <w:r w:rsidR="009B0CA3" w:rsidRPr="00936ADF">
              <w:t>.0</w:t>
            </w:r>
          </w:p>
        </w:tc>
        <w:tc>
          <w:tcPr>
            <w:tcW w:w="450" w:type="dxa"/>
            <w:tcBorders>
              <w:bottom w:val="single" w:sz="4" w:space="0" w:color="auto"/>
            </w:tcBorders>
          </w:tcPr>
          <w:p w14:paraId="446F39CE" w14:textId="6692E230" w:rsidR="00116EC2" w:rsidRPr="00936ADF" w:rsidRDefault="00116EC2" w:rsidP="005D74B9">
            <w:pPr>
              <w:pStyle w:val="TCTableBody"/>
              <w:spacing w:before="0" w:after="0"/>
            </w:pPr>
            <w:r w:rsidRPr="00936ADF">
              <w:t>17</w:t>
            </w:r>
            <w:r w:rsidR="009B0CA3" w:rsidRPr="00936ADF">
              <w:t>.2</w:t>
            </w:r>
          </w:p>
        </w:tc>
        <w:tc>
          <w:tcPr>
            <w:tcW w:w="738" w:type="dxa"/>
            <w:tcBorders>
              <w:bottom w:val="single" w:sz="4" w:space="0" w:color="auto"/>
            </w:tcBorders>
          </w:tcPr>
          <w:p w14:paraId="7A09674E" w14:textId="2167F7B0" w:rsidR="00116EC2" w:rsidRPr="00936ADF" w:rsidRDefault="009B0CA3" w:rsidP="005D74B9">
            <w:pPr>
              <w:pStyle w:val="TCTableBody"/>
              <w:spacing w:before="0" w:after="0"/>
            </w:pPr>
            <w:r w:rsidRPr="00936ADF">
              <w:t>3.5</w:t>
            </w:r>
            <w:r w:rsidR="00116EC2" w:rsidRPr="00936ADF">
              <w:t xml:space="preserve"> : 1</w:t>
            </w:r>
          </w:p>
        </w:tc>
      </w:tr>
    </w:tbl>
    <w:p w14:paraId="24DBE95D" w14:textId="431DA1A8" w:rsidR="00397649" w:rsidRPr="00936ADF" w:rsidRDefault="00397649" w:rsidP="00116EC2">
      <w:pPr>
        <w:pStyle w:val="FETableFootnote"/>
      </w:pPr>
      <w:r w:rsidRPr="00936ADF">
        <w:rPr>
          <w:i/>
          <w:iCs/>
          <w:vertAlign w:val="superscript"/>
        </w:rPr>
        <w:t>a</w:t>
      </w:r>
      <w:r w:rsidRPr="00936ADF">
        <w:t xml:space="preserve">GC yields calibrated against </w:t>
      </w:r>
      <w:r w:rsidR="00A140A8" w:rsidRPr="00936ADF">
        <w:t>undecane as the internal standard. Average of ≥2 trials</w:t>
      </w:r>
      <w:r w:rsidRPr="00936ADF">
        <w:t xml:space="preserve">. </w:t>
      </w:r>
    </w:p>
    <w:p w14:paraId="2D98EF65" w14:textId="46DC5355" w:rsidR="007A5D3E" w:rsidRPr="00936ADF" w:rsidRDefault="007A5D3E" w:rsidP="00866E72">
      <w:pPr>
        <w:pStyle w:val="TAMainText"/>
      </w:pPr>
      <w:r w:rsidRPr="00936ADF">
        <w:t xml:space="preserve">Analysis of the reaction mixture following Suzuki coupling of </w:t>
      </w:r>
      <w:r w:rsidRPr="00936ADF">
        <w:rPr>
          <w:b/>
          <w:bCs/>
        </w:rPr>
        <w:t>1</w:t>
      </w:r>
      <w:r w:rsidRPr="00936ADF">
        <w:t xml:space="preserve"> catalyzed by (η</w:t>
      </w:r>
      <w:r w:rsidRPr="00936ADF">
        <w:rPr>
          <w:vertAlign w:val="superscript"/>
        </w:rPr>
        <w:t>3</w:t>
      </w:r>
      <w:r w:rsidRPr="00936ADF">
        <w:t>-1-</w:t>
      </w:r>
      <w:r w:rsidRPr="00936ADF">
        <w:rPr>
          <w:i/>
          <w:iCs/>
          <w:vertAlign w:val="superscript"/>
        </w:rPr>
        <w:t>t</w:t>
      </w:r>
      <w:r w:rsidRPr="00936ADF">
        <w:t>Bu-indenyl)Pd(IPr)(Cl) revealed 1-</w:t>
      </w:r>
      <w:r w:rsidRPr="00936ADF">
        <w:rPr>
          <w:i/>
          <w:iCs/>
        </w:rPr>
        <w:t>tert</w:t>
      </w:r>
      <w:r w:rsidRPr="00936ADF">
        <w:t>-butyl-3-phenylindene as a byproduct</w:t>
      </w:r>
      <w:r w:rsidR="000C7913" w:rsidRPr="00936ADF">
        <w:t xml:space="preserve"> from activation of </w:t>
      </w:r>
      <w:r w:rsidR="00225EE3" w:rsidRPr="00936ADF">
        <w:t>Pd</w:t>
      </w:r>
      <w:r w:rsidR="00225EE3" w:rsidRPr="00936ADF">
        <w:rPr>
          <w:vertAlign w:val="superscript"/>
        </w:rPr>
        <w:t>II</w:t>
      </w:r>
      <w:r w:rsidR="000C7913" w:rsidRPr="00936ADF">
        <w:t xml:space="preserve"> to </w:t>
      </w:r>
      <w:r w:rsidR="00225EE3" w:rsidRPr="00936ADF">
        <w:t>Pd</w:t>
      </w:r>
      <w:r w:rsidR="00225EE3" w:rsidRPr="00936ADF">
        <w:rPr>
          <w:vertAlign w:val="superscript"/>
        </w:rPr>
        <w:t>0</w:t>
      </w:r>
      <w:r w:rsidR="00225EE3" w:rsidRPr="00936ADF">
        <w:t xml:space="preserve"> </w:t>
      </w:r>
      <w:r w:rsidR="00EA5C74" w:rsidRPr="00936ADF">
        <w:t xml:space="preserve">(see </w:t>
      </w:r>
      <w:r w:rsidR="008763D9" w:rsidRPr="00936ADF">
        <w:t>page S21</w:t>
      </w:r>
      <w:r w:rsidR="00EA5C74" w:rsidRPr="00936ADF">
        <w:t>)</w:t>
      </w:r>
      <w:r w:rsidRPr="00936ADF">
        <w:t>. Because</w:t>
      </w:r>
      <w:r w:rsidR="00BB4AF9" w:rsidRPr="00936ADF">
        <w:t xml:space="preserve"> 1-</w:t>
      </w:r>
      <w:r w:rsidRPr="00936ADF">
        <w:rPr>
          <w:i/>
          <w:iCs/>
        </w:rPr>
        <w:t>tert</w:t>
      </w:r>
      <w:r w:rsidRPr="00936ADF">
        <w:t xml:space="preserve">-butylindene </w:t>
      </w:r>
      <w:r w:rsidR="005E3724" w:rsidRPr="00936ADF">
        <w:t>can</w:t>
      </w:r>
      <w:r w:rsidRPr="00936ADF">
        <w:t xml:space="preserve"> influence selectivity</w:t>
      </w:r>
      <w:r w:rsidR="00EA5C74" w:rsidRPr="00936ADF">
        <w:t xml:space="preserve"> (Table 1, entry 3)</w:t>
      </w:r>
      <w:r w:rsidRPr="00936ADF">
        <w:t>, we considered that</w:t>
      </w:r>
      <w:r w:rsidR="000C7913" w:rsidRPr="00936ADF">
        <w:t xml:space="preserve"> the electron-deficient alkene</w:t>
      </w:r>
      <w:r w:rsidRPr="00936ADF">
        <w:t xml:space="preserve"> 1-</w:t>
      </w:r>
      <w:r w:rsidRPr="00936ADF">
        <w:rPr>
          <w:i/>
          <w:iCs/>
        </w:rPr>
        <w:t>tert</w:t>
      </w:r>
      <w:r w:rsidRPr="00936ADF">
        <w:t xml:space="preserve">-butyl-3-phenylindene </w:t>
      </w:r>
      <w:r w:rsidR="0013176E" w:rsidRPr="00936ADF">
        <w:t>might</w:t>
      </w:r>
      <w:r w:rsidRPr="00936ADF">
        <w:t xml:space="preserve"> </w:t>
      </w:r>
      <w:r w:rsidR="000C7913" w:rsidRPr="00936ADF">
        <w:t xml:space="preserve">serve as </w:t>
      </w:r>
      <w:r w:rsidR="00EA5C74" w:rsidRPr="00936ADF">
        <w:t>the</w:t>
      </w:r>
      <w:r w:rsidR="000C7913" w:rsidRPr="00936ADF">
        <w:t xml:space="preserve"> ligand to displace Pd in </w:t>
      </w:r>
      <w:r w:rsidR="00903B6E" w:rsidRPr="00936ADF">
        <w:t>Path III</w:t>
      </w:r>
      <w:r w:rsidR="000C7913" w:rsidRPr="00936ADF">
        <w:t xml:space="preserve">, releasing monoarylated </w:t>
      </w:r>
      <w:r w:rsidR="000C7913" w:rsidRPr="00936ADF">
        <w:rPr>
          <w:b/>
          <w:bCs/>
        </w:rPr>
        <w:t>1a-mono</w:t>
      </w:r>
      <w:r w:rsidR="000C7913" w:rsidRPr="00936ADF">
        <w:t>. However, the reaction catalyzed by [Pd(IPr)Cl</w:t>
      </w:r>
      <w:r w:rsidR="000C7913" w:rsidRPr="00936ADF">
        <w:rPr>
          <w:vertAlign w:val="subscript"/>
        </w:rPr>
        <w:t>2</w:t>
      </w:r>
      <w:r w:rsidR="000C7913" w:rsidRPr="00936ADF">
        <w:t>]</w:t>
      </w:r>
      <w:r w:rsidR="000C7913" w:rsidRPr="00936ADF">
        <w:rPr>
          <w:vertAlign w:val="subscript"/>
        </w:rPr>
        <w:t>2</w:t>
      </w:r>
      <w:r w:rsidR="000C7913" w:rsidRPr="00936ADF">
        <w:t xml:space="preserve"> gives the same selectivity as (η</w:t>
      </w:r>
      <w:r w:rsidR="000C7913" w:rsidRPr="00936ADF">
        <w:rPr>
          <w:vertAlign w:val="superscript"/>
        </w:rPr>
        <w:t>3</w:t>
      </w:r>
      <w:r w:rsidR="000C7913" w:rsidRPr="00936ADF">
        <w:t>-1-</w:t>
      </w:r>
      <w:r w:rsidR="000C7913" w:rsidRPr="00936ADF">
        <w:rPr>
          <w:i/>
          <w:iCs/>
          <w:vertAlign w:val="superscript"/>
        </w:rPr>
        <w:t>t</w:t>
      </w:r>
      <w:r w:rsidR="000C7913" w:rsidRPr="00936ADF">
        <w:t xml:space="preserve">Bu-indenyl)Pd(IPr)(Cl), suggesting that the indene derivative is not involved in </w:t>
      </w:r>
      <w:r w:rsidR="00EA5C74" w:rsidRPr="00936ADF">
        <w:t>the</w:t>
      </w:r>
      <w:r w:rsidR="000C7913" w:rsidRPr="00936ADF">
        <w:t xml:space="preserve"> selectivity-determining step (</w:t>
      </w:r>
      <w:r w:rsidR="00116EC2" w:rsidRPr="00936ADF">
        <w:t>Scheme 2</w:t>
      </w:r>
      <w:r w:rsidR="000C7913" w:rsidRPr="00936ADF">
        <w:t>).</w:t>
      </w:r>
    </w:p>
    <w:p w14:paraId="11E30D20" w14:textId="0FDECEE3" w:rsidR="00AE2796" w:rsidRPr="00936ADF" w:rsidRDefault="00AE2796" w:rsidP="00AE2796">
      <w:pPr>
        <w:pStyle w:val="VCSchemeTitle"/>
      </w:pPr>
      <w:r w:rsidRPr="00936ADF">
        <w:t xml:space="preserve">Scheme </w:t>
      </w:r>
      <w:r w:rsidRPr="00936ADF">
        <w:fldChar w:fldCharType="begin"/>
      </w:r>
      <w:r w:rsidRPr="00936ADF">
        <w:instrText xml:space="preserve"> SEQ Scheme \* ARABIC </w:instrText>
      </w:r>
      <w:r w:rsidRPr="00936ADF">
        <w:fldChar w:fldCharType="separate"/>
      </w:r>
      <w:r w:rsidR="00F10CA6" w:rsidRPr="00936ADF">
        <w:rPr>
          <w:noProof/>
        </w:rPr>
        <w:t>2</w:t>
      </w:r>
      <w:r w:rsidRPr="00936ADF">
        <w:rPr>
          <w:noProof/>
        </w:rPr>
        <w:fldChar w:fldCharType="end"/>
      </w:r>
      <w:r w:rsidRPr="00936ADF">
        <w:t xml:space="preserve">. Inclusion of </w:t>
      </w:r>
      <w:r w:rsidRPr="00936ADF">
        <w:rPr>
          <w:i/>
          <w:iCs/>
        </w:rPr>
        <w:t>tert</w:t>
      </w:r>
      <w:r w:rsidRPr="00936ADF">
        <w:t>-Butylindenyl Ligand in Precatalyst Does not Influence Selectivity</w:t>
      </w:r>
    </w:p>
    <w:p w14:paraId="70AD6719" w14:textId="4536CBB9" w:rsidR="00AE2796" w:rsidRPr="00936ADF" w:rsidRDefault="007F2A52" w:rsidP="00AA5F44">
      <w:pPr>
        <w:pStyle w:val="TAMainText"/>
        <w:ind w:firstLine="0"/>
      </w:pPr>
      <w:r w:rsidRPr="00936ADF">
        <w:rPr>
          <w:noProof/>
        </w:rPr>
        <w:drawing>
          <wp:inline distT="0" distB="0" distL="0" distR="0" wp14:anchorId="62324FF2" wp14:editId="3854902A">
            <wp:extent cx="3044825" cy="1028700"/>
            <wp:effectExtent l="0" t="0" r="3175" b="0"/>
            <wp:docPr id="2132617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2617321" name=""/>
                    <pic:cNvPicPr/>
                  </pic:nvPicPr>
                  <pic:blipFill>
                    <a:blip r:embed="rId14"/>
                    <a:stretch>
                      <a:fillRect/>
                    </a:stretch>
                  </pic:blipFill>
                  <pic:spPr>
                    <a:xfrm>
                      <a:off x="0" y="0"/>
                      <a:ext cx="3044825" cy="1028700"/>
                    </a:xfrm>
                    <a:prstGeom prst="rect">
                      <a:avLst/>
                    </a:prstGeom>
                  </pic:spPr>
                </pic:pic>
              </a:graphicData>
            </a:graphic>
          </wp:inline>
        </w:drawing>
      </w:r>
    </w:p>
    <w:p w14:paraId="3E17226C" w14:textId="6759CACA" w:rsidR="005E7629" w:rsidRPr="00936ADF" w:rsidRDefault="005E7629" w:rsidP="005E7629">
      <w:pPr>
        <w:pStyle w:val="TAMainText"/>
      </w:pPr>
      <w:r w:rsidRPr="00936ADF">
        <w:t>We next considered whether another molecule of dichloroarene displaces Pd</w:t>
      </w:r>
      <w:r w:rsidRPr="00936ADF">
        <w:rPr>
          <w:vertAlign w:val="superscript"/>
        </w:rPr>
        <w:t>0</w:t>
      </w:r>
      <w:r w:rsidRPr="00936ADF">
        <w:t xml:space="preserve"> in Path III. </w:t>
      </w:r>
      <w:r w:rsidR="00326BFB" w:rsidRPr="00936ADF">
        <w:t>More electron-deficient aryl chlorides are known to interact more strongly with Pd</w:t>
      </w:r>
      <w:r w:rsidR="00326BFB" w:rsidRPr="00936ADF">
        <w:rPr>
          <w:vertAlign w:val="superscript"/>
        </w:rPr>
        <w:t>0</w:t>
      </w:r>
      <w:r w:rsidR="00326BFB" w:rsidRPr="00936ADF">
        <w:t xml:space="preserve"> due to back-bonding, so we expected that substrate electronics might affect selectivity.</w:t>
      </w:r>
      <w:r w:rsidR="00931116" w:rsidRPr="00936ADF">
        <w:rPr>
          <w:vertAlign w:val="superscript"/>
        </w:rPr>
        <w:t>38</w:t>
      </w:r>
      <w:r w:rsidR="00326BFB" w:rsidRPr="00936ADF">
        <w:t xml:space="preserve"> </w:t>
      </w:r>
      <w:r w:rsidRPr="00936ADF">
        <w:t xml:space="preserve">A series of 5-substituted 1,3-dichlorobenzenes were evaluated in the Pd/IPr-catalyzed Suzuki coupling in THF. Remarkably, all substituents </w:t>
      </w:r>
      <w:r w:rsidR="00B632B7" w:rsidRPr="00936ADF">
        <w:t xml:space="preserve">at this position </w:t>
      </w:r>
      <w:r w:rsidRPr="00936ADF">
        <w:t>promote a large increase in diarylation, regardless of the electronic nature of the group (Figure 2</w:t>
      </w:r>
      <w:r w:rsidR="00B632B7" w:rsidRPr="00936ADF">
        <w:t xml:space="preserve">, first six data points </w:t>
      </w:r>
      <w:r w:rsidR="00B632B7" w:rsidRPr="00936ADF">
        <w:rPr>
          <w:b/>
          <w:bCs/>
        </w:rPr>
        <w:t>4a</w:t>
      </w:r>
      <w:r w:rsidR="00B632B7" w:rsidRPr="00936ADF">
        <w:t>–</w:t>
      </w:r>
      <w:r w:rsidR="00B632B7" w:rsidRPr="00936ADF">
        <w:rPr>
          <w:b/>
          <w:bCs/>
        </w:rPr>
        <w:t>8a</w:t>
      </w:r>
      <w:r w:rsidRPr="00936ADF">
        <w:t>). These results indicate that the dichloroarene sterics play an important role in determining selectivity, and are consistent with Path III and prior observations in the polymer literature.</w:t>
      </w:r>
      <w:r w:rsidR="00931116" w:rsidRPr="00936ADF">
        <w:rPr>
          <w:vertAlign w:val="superscript"/>
        </w:rPr>
        <w:t>18</w:t>
      </w:r>
      <w:r w:rsidRPr="00936ADF">
        <w:t xml:space="preserve"> </w:t>
      </w:r>
      <w:r w:rsidR="00B632B7" w:rsidRPr="00936ADF">
        <w:t xml:space="preserve">Interestingly, a substituent </w:t>
      </w:r>
      <w:r w:rsidR="00B632B7" w:rsidRPr="00936ADF">
        <w:rPr>
          <w:i/>
          <w:iCs/>
        </w:rPr>
        <w:t>ortho</w:t>
      </w:r>
      <w:r w:rsidR="00B632B7" w:rsidRPr="00936ADF">
        <w:t xml:space="preserve"> to the two chlorides (</w:t>
      </w:r>
      <w:r w:rsidR="00B632B7" w:rsidRPr="00936ADF">
        <w:rPr>
          <w:b/>
          <w:bCs/>
        </w:rPr>
        <w:t>6b</w:t>
      </w:r>
      <w:r w:rsidR="00B632B7" w:rsidRPr="00936ADF">
        <w:t xml:space="preserve">) has very little effect on diarylation. In this case, </w:t>
      </w:r>
      <w:r w:rsidR="006B14D2" w:rsidRPr="00936ADF">
        <w:t>one side of the arene (three contiguous carbons) is completely unsubstituted, leaving the possibility for low steric congestion if a molecule of arene approaches Pd from its unsubstituted edge.</w:t>
      </w:r>
      <w:r w:rsidR="00B632B7" w:rsidRPr="00936ADF">
        <w:t xml:space="preserve"> </w:t>
      </w:r>
      <w:r w:rsidRPr="00936ADF">
        <w:t xml:space="preserve">Notably, a </w:t>
      </w:r>
      <w:r w:rsidRPr="00936ADF">
        <w:t xml:space="preserve">substituent </w:t>
      </w:r>
      <w:r w:rsidR="006B14D2" w:rsidRPr="00936ADF">
        <w:t>at the 5-position (</w:t>
      </w:r>
      <w:r w:rsidR="006B14D2" w:rsidRPr="00936ADF">
        <w:rPr>
          <w:i/>
          <w:iCs/>
        </w:rPr>
        <w:t>meta</w:t>
      </w:r>
      <w:r w:rsidR="006B14D2" w:rsidRPr="00936ADF">
        <w:t xml:space="preserve"> to both chlorides)</w:t>
      </w:r>
      <w:r w:rsidR="006B14D2" w:rsidRPr="00936ADF">
        <w:rPr>
          <w:i/>
          <w:iCs/>
        </w:rPr>
        <w:t xml:space="preserve"> </w:t>
      </w:r>
      <w:r w:rsidRPr="00936ADF">
        <w:t>would introduce steric congestion during the associative displacement in Path III regardless of the nature of the incoming ligand since the substituent would also be present on the monoarylated intermediate</w:t>
      </w:r>
      <w:r w:rsidR="006B14D2" w:rsidRPr="00936ADF">
        <w:t>.</w:t>
      </w:r>
      <w:r w:rsidRPr="00936ADF">
        <w:t xml:space="preserve"> </w:t>
      </w:r>
      <w:r w:rsidR="006B14D2" w:rsidRPr="00936ADF">
        <w:t xml:space="preserve">As such, </w:t>
      </w:r>
      <w:r w:rsidRPr="00936ADF">
        <w:t>these results do not clarify whether a second molecule of dichloroarene serves as the displacing ligand.</w:t>
      </w:r>
    </w:p>
    <w:p w14:paraId="1AF3B511" w14:textId="38BE0872" w:rsidR="00EA5C74" w:rsidRPr="00936ADF" w:rsidRDefault="007F2A52" w:rsidP="00A8189C">
      <w:pPr>
        <w:pStyle w:val="TAMainText"/>
        <w:ind w:firstLine="0"/>
      </w:pPr>
      <w:r w:rsidRPr="00936ADF">
        <w:rPr>
          <w:b/>
          <w:bCs/>
          <w:noProof/>
        </w:rPr>
        <w:drawing>
          <wp:inline distT="0" distB="0" distL="0" distR="0" wp14:anchorId="6D56E171" wp14:editId="7AE79BF2">
            <wp:extent cx="3044825" cy="2962275"/>
            <wp:effectExtent l="0" t="0" r="3175" b="0"/>
            <wp:docPr id="11498910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9891047" name=""/>
                    <pic:cNvPicPr/>
                  </pic:nvPicPr>
                  <pic:blipFill>
                    <a:blip r:embed="rId15"/>
                    <a:stretch>
                      <a:fillRect/>
                    </a:stretch>
                  </pic:blipFill>
                  <pic:spPr>
                    <a:xfrm>
                      <a:off x="0" y="0"/>
                      <a:ext cx="3044825" cy="2962275"/>
                    </a:xfrm>
                    <a:prstGeom prst="rect">
                      <a:avLst/>
                    </a:prstGeom>
                  </pic:spPr>
                </pic:pic>
              </a:graphicData>
            </a:graphic>
          </wp:inline>
        </w:drawing>
      </w:r>
      <w:r w:rsidR="00ED3477" w:rsidRPr="00936ADF">
        <w:rPr>
          <w:b/>
          <w:bCs/>
        </w:rPr>
        <w:t xml:space="preserve">Figure </w:t>
      </w:r>
      <w:r w:rsidR="00ED3477" w:rsidRPr="00936ADF">
        <w:rPr>
          <w:b/>
          <w:bCs/>
        </w:rPr>
        <w:fldChar w:fldCharType="begin"/>
      </w:r>
      <w:r w:rsidR="00ED3477" w:rsidRPr="00936ADF">
        <w:rPr>
          <w:b/>
          <w:bCs/>
        </w:rPr>
        <w:instrText xml:space="preserve"> SEQ Figure \* ARABIC </w:instrText>
      </w:r>
      <w:r w:rsidR="00ED3477" w:rsidRPr="00936ADF">
        <w:rPr>
          <w:b/>
          <w:bCs/>
        </w:rPr>
        <w:fldChar w:fldCharType="separate"/>
      </w:r>
      <w:r w:rsidR="00F10CA6" w:rsidRPr="00936ADF">
        <w:rPr>
          <w:b/>
          <w:bCs/>
          <w:noProof/>
        </w:rPr>
        <w:t>2</w:t>
      </w:r>
      <w:r w:rsidR="00ED3477" w:rsidRPr="00936ADF">
        <w:rPr>
          <w:b/>
          <w:bCs/>
        </w:rPr>
        <w:fldChar w:fldCharType="end"/>
      </w:r>
      <w:r w:rsidR="00ED3477" w:rsidRPr="00936ADF">
        <w:rPr>
          <w:b/>
          <w:bCs/>
        </w:rPr>
        <w:t>.</w:t>
      </w:r>
      <w:r w:rsidR="00ED3477" w:rsidRPr="00936ADF">
        <w:t xml:space="preserve"> Effect of substrate substituents on ratio of mono- to diarylated products. Sterics appears to be </w:t>
      </w:r>
      <w:r w:rsidR="00121889" w:rsidRPr="00936ADF">
        <w:t>a</w:t>
      </w:r>
      <w:r w:rsidR="00ED3477" w:rsidRPr="00936ADF">
        <w:t xml:space="preserve"> major factor.</w:t>
      </w:r>
      <w:r w:rsidR="00675EA8" w:rsidRPr="00936ADF">
        <w:t xml:space="preserve"> GC yields calibrated against </w:t>
      </w:r>
      <w:r w:rsidR="00A140A8" w:rsidRPr="00936ADF">
        <w:t>undecane as the internal standard.</w:t>
      </w:r>
      <w:r w:rsidR="006B14D2" w:rsidRPr="00936ADF">
        <w:t xml:space="preserve"> Yields for </w:t>
      </w:r>
      <w:r w:rsidR="006B14D2" w:rsidRPr="00936ADF">
        <w:rPr>
          <w:b/>
          <w:bCs/>
        </w:rPr>
        <w:t>6b</w:t>
      </w:r>
      <w:r w:rsidR="006B14D2" w:rsidRPr="00936ADF">
        <w:t xml:space="preserve"> assume identical GC response factors to the corresponding isomers </w:t>
      </w:r>
      <w:r w:rsidR="006B14D2" w:rsidRPr="00936ADF">
        <w:rPr>
          <w:b/>
          <w:bCs/>
        </w:rPr>
        <w:t>6a</w:t>
      </w:r>
      <w:r w:rsidR="006B14D2" w:rsidRPr="00936ADF">
        <w:t>.</w:t>
      </w:r>
      <w:r w:rsidR="00A140A8" w:rsidRPr="00936ADF">
        <w:t xml:space="preserve"> Average of ≥2 trials</w:t>
      </w:r>
      <w:r w:rsidR="00675EA8" w:rsidRPr="00936ADF">
        <w:t>.</w:t>
      </w:r>
    </w:p>
    <w:p w14:paraId="5E36BA32" w14:textId="0EAE9CDA" w:rsidR="00B513DA" w:rsidRPr="00936ADF" w:rsidRDefault="005E7629" w:rsidP="00056B45">
      <w:pPr>
        <w:pStyle w:val="TAMainText"/>
      </w:pPr>
      <w:r w:rsidRPr="00936ADF">
        <w:t>However, further experiments varying the equivalents of substrate support the role of dichloroarene as the displacing ligand. In particular,</w:t>
      </w:r>
      <w:r w:rsidR="00C4482F" w:rsidRPr="00936ADF">
        <w:t xml:space="preserve"> </w:t>
      </w:r>
      <w:r w:rsidRPr="00936ADF">
        <w:t>significantly more monoarylation is detected</w:t>
      </w:r>
      <w:r w:rsidR="00534FC9" w:rsidRPr="00936ADF">
        <w:t xml:space="preserve"> </w:t>
      </w:r>
      <w:r w:rsidRPr="00936ADF">
        <w:t>when using an excess of dichloroarene (Figure 3).</w:t>
      </w:r>
      <w:r w:rsidR="00056B45" w:rsidRPr="00936ADF">
        <w:t xml:space="preserve"> </w:t>
      </w:r>
      <w:r w:rsidR="00B513DA" w:rsidRPr="00936ADF">
        <w:t>This effect does not appear to be due</w:t>
      </w:r>
      <w:r w:rsidR="00AE0583" w:rsidRPr="00936ADF">
        <w:t xml:space="preserve"> to</w:t>
      </w:r>
      <w:r w:rsidR="00B513DA" w:rsidRPr="00936ADF">
        <w:t xml:space="preserve"> a </w:t>
      </w:r>
      <w:r w:rsidR="009F0AC3" w:rsidRPr="00936ADF">
        <w:t>de</w:t>
      </w:r>
      <w:r w:rsidR="00B513DA" w:rsidRPr="00936ADF">
        <w:t xml:space="preserve">creased likelihood of </w:t>
      </w:r>
      <w:r w:rsidR="00AE0583" w:rsidRPr="00936ADF">
        <w:t>intermolecular reaction of</w:t>
      </w:r>
      <w:r w:rsidR="00B513DA" w:rsidRPr="00936ADF">
        <w:t xml:space="preserve"> </w:t>
      </w:r>
      <w:r w:rsidR="00B513DA" w:rsidRPr="00936ADF">
        <w:rPr>
          <w:b/>
          <w:bCs/>
        </w:rPr>
        <w:t>1</w:t>
      </w:r>
      <w:r w:rsidR="009F0AC3" w:rsidRPr="00936ADF">
        <w:rPr>
          <w:b/>
          <w:bCs/>
        </w:rPr>
        <w:t>a-mono</w:t>
      </w:r>
      <w:r w:rsidR="00AE0583" w:rsidRPr="00936ADF">
        <w:t xml:space="preserve">, as the effect remains even when normalizing the data to account for the competition between </w:t>
      </w:r>
      <w:r w:rsidR="00AE0583" w:rsidRPr="00936ADF">
        <w:rPr>
          <w:b/>
          <w:bCs/>
        </w:rPr>
        <w:t>1</w:t>
      </w:r>
      <w:r w:rsidR="00AE0583" w:rsidRPr="00936ADF">
        <w:t xml:space="preserve"> and </w:t>
      </w:r>
      <w:r w:rsidR="00AE0583" w:rsidRPr="00936ADF">
        <w:rPr>
          <w:b/>
          <w:bCs/>
        </w:rPr>
        <w:t>1a-mono</w:t>
      </w:r>
      <w:r w:rsidR="00AE0583" w:rsidRPr="00936ADF">
        <w:t xml:space="preserve"> as substrates for Pd </w:t>
      </w:r>
      <w:r w:rsidR="009F0AC3" w:rsidRPr="00936ADF">
        <w:t>(see SI).</w:t>
      </w:r>
    </w:p>
    <w:p w14:paraId="0FDCE84E" w14:textId="27A95818" w:rsidR="000C52DD" w:rsidRPr="00936ADF" w:rsidRDefault="00A97014" w:rsidP="00B82ABB">
      <w:pPr>
        <w:pStyle w:val="TAMainText"/>
        <w:ind w:firstLine="0"/>
        <w:rPr>
          <w:b/>
          <w:bCs/>
        </w:rPr>
      </w:pPr>
      <w:r w:rsidRPr="00936ADF">
        <w:rPr>
          <w:b/>
          <w:bCs/>
        </w:rPr>
        <w:br w:type="column"/>
      </w:r>
      <w:r w:rsidR="007F2A52" w:rsidRPr="00936ADF">
        <w:rPr>
          <w:b/>
          <w:bCs/>
          <w:noProof/>
        </w:rPr>
        <w:lastRenderedPageBreak/>
        <w:drawing>
          <wp:inline distT="0" distB="0" distL="0" distR="0" wp14:anchorId="26A55C9F" wp14:editId="6BC35BCF">
            <wp:extent cx="3044825" cy="2697480"/>
            <wp:effectExtent l="0" t="0" r="3175" b="0"/>
            <wp:docPr id="17481689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8168941" name=""/>
                    <pic:cNvPicPr/>
                  </pic:nvPicPr>
                  <pic:blipFill>
                    <a:blip r:embed="rId16"/>
                    <a:stretch>
                      <a:fillRect/>
                    </a:stretch>
                  </pic:blipFill>
                  <pic:spPr>
                    <a:xfrm>
                      <a:off x="0" y="0"/>
                      <a:ext cx="3044825" cy="2697480"/>
                    </a:xfrm>
                    <a:prstGeom prst="rect">
                      <a:avLst/>
                    </a:prstGeom>
                  </pic:spPr>
                </pic:pic>
              </a:graphicData>
            </a:graphic>
          </wp:inline>
        </w:drawing>
      </w:r>
    </w:p>
    <w:p w14:paraId="672147D6" w14:textId="78A09C29" w:rsidR="00ED3477" w:rsidRPr="00936ADF" w:rsidRDefault="00ED3477" w:rsidP="00B82ABB">
      <w:pPr>
        <w:pStyle w:val="TAMainText"/>
        <w:ind w:firstLine="0"/>
      </w:pPr>
      <w:r w:rsidRPr="00936ADF">
        <w:rPr>
          <w:b/>
          <w:bCs/>
        </w:rPr>
        <w:t xml:space="preserve">Figure </w:t>
      </w:r>
      <w:r w:rsidRPr="00936ADF">
        <w:rPr>
          <w:b/>
          <w:bCs/>
        </w:rPr>
        <w:fldChar w:fldCharType="begin"/>
      </w:r>
      <w:r w:rsidRPr="00936ADF">
        <w:rPr>
          <w:b/>
          <w:bCs/>
        </w:rPr>
        <w:instrText xml:space="preserve"> SEQ Figure \* ARABIC </w:instrText>
      </w:r>
      <w:r w:rsidRPr="00936ADF">
        <w:rPr>
          <w:b/>
          <w:bCs/>
        </w:rPr>
        <w:fldChar w:fldCharType="separate"/>
      </w:r>
      <w:r w:rsidR="00F10CA6" w:rsidRPr="00936ADF">
        <w:rPr>
          <w:b/>
          <w:bCs/>
          <w:noProof/>
        </w:rPr>
        <w:t>3</w:t>
      </w:r>
      <w:r w:rsidRPr="00936ADF">
        <w:rPr>
          <w:b/>
          <w:bCs/>
        </w:rPr>
        <w:fldChar w:fldCharType="end"/>
      </w:r>
      <w:r w:rsidRPr="00936ADF">
        <w:rPr>
          <w:b/>
          <w:bCs/>
        </w:rPr>
        <w:t>.</w:t>
      </w:r>
      <w:r w:rsidRPr="00936ADF">
        <w:t xml:space="preserve"> </w:t>
      </w:r>
      <w:r w:rsidR="008F0FBA" w:rsidRPr="00936ADF">
        <w:t>Increasing</w:t>
      </w:r>
      <w:r w:rsidRPr="00936ADF">
        <w:t xml:space="preserve"> </w:t>
      </w:r>
      <w:r w:rsidR="00604D7D" w:rsidRPr="00936ADF">
        <w:t xml:space="preserve">the </w:t>
      </w:r>
      <w:r w:rsidRPr="00936ADF">
        <w:t xml:space="preserve">concentration of substrate </w:t>
      </w:r>
      <w:r w:rsidRPr="00936ADF">
        <w:rPr>
          <w:b/>
          <w:bCs/>
        </w:rPr>
        <w:t>1</w:t>
      </w:r>
      <w:r w:rsidRPr="00936ADF">
        <w:t xml:space="preserve"> leads to increased monoarylation (y-axis)</w:t>
      </w:r>
      <w:r w:rsidR="00B82ABB" w:rsidRPr="00936ADF">
        <w:t xml:space="preserve">. </w:t>
      </w:r>
      <w:r w:rsidR="00675EA8" w:rsidRPr="00936ADF">
        <w:t xml:space="preserve">GC yields calibrated against </w:t>
      </w:r>
      <w:r w:rsidR="00A140A8" w:rsidRPr="00936ADF">
        <w:t xml:space="preserve">undecane as the internal standard. </w:t>
      </w:r>
      <w:r w:rsidR="0013176E" w:rsidRPr="00936ADF">
        <w:t>Data points</w:t>
      </w:r>
      <w:r w:rsidR="003374F8" w:rsidRPr="00936ADF">
        <w:t xml:space="preserve"> for 1 equiv of </w:t>
      </w:r>
      <w:r w:rsidR="003374F8" w:rsidRPr="00936ADF">
        <w:rPr>
          <w:b/>
          <w:bCs/>
        </w:rPr>
        <w:t>1</w:t>
      </w:r>
      <w:r w:rsidR="0013176E" w:rsidRPr="00936ADF">
        <w:t xml:space="preserve"> represent </w:t>
      </w:r>
      <w:r w:rsidR="00EF589E" w:rsidRPr="00936ADF">
        <w:t>the</w:t>
      </w:r>
      <w:r w:rsidR="0013176E" w:rsidRPr="00936ADF">
        <w:t xml:space="preserve"> a</w:t>
      </w:r>
      <w:r w:rsidR="00A140A8" w:rsidRPr="00936ADF">
        <w:t>verage of 2 trials</w:t>
      </w:r>
      <w:r w:rsidR="00675EA8" w:rsidRPr="00936ADF">
        <w:t>.</w:t>
      </w:r>
      <w:r w:rsidR="00AE0583" w:rsidRPr="00936ADF">
        <w:t xml:space="preserve"> Trendlines do not represent a mathematical fit and are only to guide the eye.</w:t>
      </w:r>
    </w:p>
    <w:p w14:paraId="6F8547D2" w14:textId="3F92E851" w:rsidR="00ED3477" w:rsidRPr="00936ADF" w:rsidRDefault="006B14D2" w:rsidP="006B14D2">
      <w:pPr>
        <w:pStyle w:val="TAMainText"/>
      </w:pPr>
      <w:r w:rsidRPr="00936ADF">
        <w:t>Finally, we considered whether arylboronic acid (or a related byproduct) could serve as a ligand to displace Pd from the nascent mono-cross-coupled product in Path III. However, in stark contrast to the effect of [</w:t>
      </w:r>
      <w:r w:rsidRPr="00936ADF">
        <w:rPr>
          <w:b/>
          <w:bCs/>
        </w:rPr>
        <w:t>1</w:t>
      </w:r>
      <w:r w:rsidRPr="00936ADF">
        <w:t>], increasing the concentration of PhB(OH)</w:t>
      </w:r>
      <w:r w:rsidRPr="00936ADF">
        <w:rPr>
          <w:vertAlign w:val="subscript"/>
        </w:rPr>
        <w:t>2</w:t>
      </w:r>
      <w:r w:rsidRPr="00936ADF">
        <w:t xml:space="preserve"> has a negligible effect on product ratio (Figure 4). The cross-coupling reaction is considerably faster at higher [PhB(OH)</w:t>
      </w:r>
      <w:r w:rsidRPr="00936ADF">
        <w:rPr>
          <w:vertAlign w:val="subscript"/>
        </w:rPr>
        <w:t>2</w:t>
      </w:r>
      <w:r w:rsidRPr="00936ADF">
        <w:t xml:space="preserve">], and the selectivity is known to change slightly over time as dichloroarene </w:t>
      </w:r>
      <w:r w:rsidRPr="00936ADF">
        <w:rPr>
          <w:b/>
          <w:bCs/>
        </w:rPr>
        <w:t>1</w:t>
      </w:r>
      <w:r w:rsidRPr="00936ADF">
        <w:t xml:space="preserve"> is depleted. Thus, to normalize for the changing selectivity as the reactions progress, the data in Figure 4 are plotted against % conversion rather than time. These data do not support involvement of the arylboronic acid in the selectivity-determining step. </w:t>
      </w:r>
    </w:p>
    <w:p w14:paraId="7F22296A" w14:textId="322F2273" w:rsidR="001F29CA" w:rsidRPr="00936ADF" w:rsidRDefault="007F2A52" w:rsidP="006B14D2">
      <w:pPr>
        <w:pStyle w:val="TAMainText"/>
        <w:ind w:firstLine="0"/>
      </w:pPr>
      <w:r w:rsidRPr="00936ADF">
        <w:rPr>
          <w:noProof/>
        </w:rPr>
        <w:drawing>
          <wp:inline distT="0" distB="0" distL="0" distR="0" wp14:anchorId="55495850" wp14:editId="528B5CEE">
            <wp:extent cx="3044825" cy="2596515"/>
            <wp:effectExtent l="0" t="0" r="3175" b="0"/>
            <wp:docPr id="19004502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0450230" name=""/>
                    <pic:cNvPicPr/>
                  </pic:nvPicPr>
                  <pic:blipFill>
                    <a:blip r:embed="rId17"/>
                    <a:stretch>
                      <a:fillRect/>
                    </a:stretch>
                  </pic:blipFill>
                  <pic:spPr>
                    <a:xfrm>
                      <a:off x="0" y="0"/>
                      <a:ext cx="3044825" cy="2596515"/>
                    </a:xfrm>
                    <a:prstGeom prst="rect">
                      <a:avLst/>
                    </a:prstGeom>
                  </pic:spPr>
                </pic:pic>
              </a:graphicData>
            </a:graphic>
          </wp:inline>
        </w:drawing>
      </w:r>
    </w:p>
    <w:p w14:paraId="3EA6C34C" w14:textId="7C250730" w:rsidR="001F29CA" w:rsidRPr="00936ADF" w:rsidRDefault="001F29CA" w:rsidP="001F29CA">
      <w:pPr>
        <w:pStyle w:val="VAFigureCaption"/>
        <w:rPr>
          <w:b/>
          <w:bCs/>
        </w:rPr>
      </w:pPr>
      <w:r w:rsidRPr="00936ADF">
        <w:rPr>
          <w:b/>
          <w:bCs/>
        </w:rPr>
        <w:t xml:space="preserve">Figure </w:t>
      </w:r>
      <w:r w:rsidRPr="00936ADF">
        <w:rPr>
          <w:b/>
          <w:bCs/>
        </w:rPr>
        <w:fldChar w:fldCharType="begin"/>
      </w:r>
      <w:r w:rsidRPr="00936ADF">
        <w:rPr>
          <w:b/>
          <w:bCs/>
        </w:rPr>
        <w:instrText xml:space="preserve"> SEQ Figure \* ARABIC </w:instrText>
      </w:r>
      <w:r w:rsidRPr="00936ADF">
        <w:rPr>
          <w:b/>
          <w:bCs/>
        </w:rPr>
        <w:fldChar w:fldCharType="separate"/>
      </w:r>
      <w:r w:rsidR="00F10CA6" w:rsidRPr="00936ADF">
        <w:rPr>
          <w:b/>
          <w:bCs/>
          <w:noProof/>
        </w:rPr>
        <w:t>4</w:t>
      </w:r>
      <w:r w:rsidRPr="00936ADF">
        <w:rPr>
          <w:b/>
          <w:bCs/>
        </w:rPr>
        <w:fldChar w:fldCharType="end"/>
      </w:r>
      <w:r w:rsidRPr="00936ADF">
        <w:rPr>
          <w:b/>
          <w:bCs/>
        </w:rPr>
        <w:t>.</w:t>
      </w:r>
      <w:r w:rsidRPr="00936ADF">
        <w:t xml:space="preserve"> </w:t>
      </w:r>
      <w:r w:rsidR="008F0FBA" w:rsidRPr="00936ADF">
        <w:t>Increasing</w:t>
      </w:r>
      <w:r w:rsidRPr="00936ADF">
        <w:t xml:space="preserve"> </w:t>
      </w:r>
      <w:r w:rsidR="00604D7D" w:rsidRPr="00936ADF">
        <w:t xml:space="preserve">the </w:t>
      </w:r>
      <w:r w:rsidRPr="00936ADF">
        <w:t xml:space="preserve">concentration of phenylboronic acid has no significant impact on the </w:t>
      </w:r>
      <w:r w:rsidR="00121889" w:rsidRPr="00936ADF">
        <w:t>proportion</w:t>
      </w:r>
      <w:r w:rsidRPr="00936ADF">
        <w:t xml:space="preserve"> of monoarylation (y-axis). </w:t>
      </w:r>
      <w:r w:rsidR="00675EA8" w:rsidRPr="00936ADF">
        <w:t xml:space="preserve">GC yields calibrated against </w:t>
      </w:r>
      <w:r w:rsidR="00A140A8" w:rsidRPr="00936ADF">
        <w:t xml:space="preserve">undecane as the internal </w:t>
      </w:r>
      <w:r w:rsidR="00A140A8" w:rsidRPr="00936ADF">
        <w:t xml:space="preserve">standard. </w:t>
      </w:r>
      <w:r w:rsidR="00EF589E" w:rsidRPr="00936ADF">
        <w:t>Data points for 1, 2, and 3 equiv represent the average of 2</w:t>
      </w:r>
      <w:r w:rsidR="00A140A8" w:rsidRPr="00936ADF">
        <w:t xml:space="preserve"> trials</w:t>
      </w:r>
      <w:r w:rsidR="00675EA8" w:rsidRPr="00936ADF">
        <w:t>.</w:t>
      </w:r>
      <w:r w:rsidR="00AE0583" w:rsidRPr="00936ADF">
        <w:t xml:space="preserve"> </w:t>
      </w:r>
    </w:p>
    <w:p w14:paraId="07238236" w14:textId="4D19C171" w:rsidR="00F32783" w:rsidRPr="00936ADF" w:rsidRDefault="00615400" w:rsidP="000663D1">
      <w:pPr>
        <w:pStyle w:val="TAMainText"/>
      </w:pPr>
      <w:r w:rsidRPr="00936ADF">
        <w:rPr>
          <w:b/>
          <w:bCs/>
        </w:rPr>
        <w:t xml:space="preserve">DFT Calculations (Support </w:t>
      </w:r>
      <w:r w:rsidR="00903B6E" w:rsidRPr="00936ADF">
        <w:rPr>
          <w:b/>
          <w:bCs/>
        </w:rPr>
        <w:t>Path III</w:t>
      </w:r>
      <w:r w:rsidRPr="00936ADF">
        <w:rPr>
          <w:b/>
          <w:bCs/>
        </w:rPr>
        <w:t>).</w:t>
      </w:r>
      <w:r w:rsidRPr="00936ADF">
        <w:t xml:space="preserve"> </w:t>
      </w:r>
      <w:r w:rsidR="00F32783" w:rsidRPr="00936ADF">
        <w:t xml:space="preserve">The experiments above support </w:t>
      </w:r>
      <w:r w:rsidR="00903B6E" w:rsidRPr="00936ADF">
        <w:t>Path III</w:t>
      </w:r>
      <w:r w:rsidR="00F32783" w:rsidRPr="00936ADF">
        <w:t xml:space="preserve"> and provide no evidence for release of free 12</w:t>
      </w:r>
      <w:r w:rsidR="00F32783" w:rsidRPr="00936ADF">
        <w:rPr>
          <w:i/>
          <w:iCs/>
        </w:rPr>
        <w:t>e</w:t>
      </w:r>
      <w:r w:rsidR="00F32783" w:rsidRPr="00936ADF">
        <w:rPr>
          <w:vertAlign w:val="superscript"/>
        </w:rPr>
        <w:t>–</w:t>
      </w:r>
      <w:r w:rsidR="00F32783" w:rsidRPr="00936ADF">
        <w:t xml:space="preserve"> PdL from the product–PdL </w:t>
      </w:r>
      <w:r w:rsidR="00F32783" w:rsidRPr="00936ADF">
        <w:rPr>
          <w:rFonts w:ascii="Symbol" w:hAnsi="Symbol"/>
        </w:rPr>
        <w:t>p</w:t>
      </w:r>
      <w:r w:rsidR="00F32783" w:rsidRPr="00936ADF">
        <w:t xml:space="preserve">-complex. </w:t>
      </w:r>
      <w:r w:rsidR="00AE2796" w:rsidRPr="00936ADF">
        <w:t>T</w:t>
      </w:r>
      <w:r w:rsidR="00F32783" w:rsidRPr="00936ADF">
        <w:t>o better assess the thermodynamic feasibility of 12</w:t>
      </w:r>
      <w:r w:rsidR="00F32783" w:rsidRPr="00936ADF">
        <w:rPr>
          <w:i/>
          <w:iCs/>
        </w:rPr>
        <w:t>e</w:t>
      </w:r>
      <w:r w:rsidR="00F32783" w:rsidRPr="00936ADF">
        <w:rPr>
          <w:vertAlign w:val="superscript"/>
        </w:rPr>
        <w:t>–</w:t>
      </w:r>
      <w:r w:rsidR="00F32783" w:rsidRPr="00936ADF">
        <w:t xml:space="preserve"> Pd </w:t>
      </w:r>
      <w:r w:rsidR="00AE2796" w:rsidRPr="00936ADF">
        <w:t>in our system</w:t>
      </w:r>
      <w:r w:rsidR="005E3724" w:rsidRPr="00936ADF">
        <w:t xml:space="preserve"> </w:t>
      </w:r>
      <w:r w:rsidR="00F32783" w:rsidRPr="00936ADF">
        <w:t xml:space="preserve">and to understand the influence of ligand and </w:t>
      </w:r>
      <w:r w:rsidR="009A04C7" w:rsidRPr="00936ADF">
        <w:t>dichloroarene</w:t>
      </w:r>
      <w:r w:rsidR="00F32783" w:rsidRPr="00936ADF">
        <w:t xml:space="preserve"> sterics on </w:t>
      </w:r>
      <w:r w:rsidR="00903B6E" w:rsidRPr="00936ADF">
        <w:t>Path III</w:t>
      </w:r>
      <w:r w:rsidR="00AE2796" w:rsidRPr="00936ADF">
        <w:t>, we next undertook DFT calculations</w:t>
      </w:r>
      <w:r w:rsidR="00F32783" w:rsidRPr="00936ADF">
        <w:t>.</w:t>
      </w:r>
      <w:r w:rsidR="000663D1" w:rsidRPr="00936ADF">
        <w:t xml:space="preserve"> </w:t>
      </w:r>
      <w:r w:rsidR="00F32783" w:rsidRPr="00936ADF">
        <w:t>Geometry optimizations were conducted with the MN15L functional in implicit THF solvent (solvent model = CPCM) using the LANL2DZ basis set for Pd and 6-31G(d) for the other atoms. Single point energy calculations on the optimized geometries were conducted at the SMD(THF)-MN15/6-311++G(2d,p)/SDD(Pd) level of theory. Th</w:t>
      </w:r>
      <w:r w:rsidR="00920F15" w:rsidRPr="00936ADF">
        <w:t>ese</w:t>
      </w:r>
      <w:r w:rsidR="00F32783" w:rsidRPr="00936ADF">
        <w:t xml:space="preserve"> method</w:t>
      </w:r>
      <w:r w:rsidR="00920F15" w:rsidRPr="00936ADF">
        <w:t>s</w:t>
      </w:r>
      <w:r w:rsidR="00F32783" w:rsidRPr="00936ADF">
        <w:t xml:space="preserve"> w</w:t>
      </w:r>
      <w:r w:rsidR="00920F15" w:rsidRPr="00936ADF">
        <w:t xml:space="preserve">ere </w:t>
      </w:r>
      <w:r w:rsidR="00F32783" w:rsidRPr="00936ADF">
        <w:t xml:space="preserve">chosen for several reasons: (1) </w:t>
      </w:r>
      <w:r w:rsidR="00920F15" w:rsidRPr="00936ADF">
        <w:t>they</w:t>
      </w:r>
      <w:r w:rsidR="00F32783" w:rsidRPr="00936ADF">
        <w:t xml:space="preserve"> g</w:t>
      </w:r>
      <w:r w:rsidR="00920F15" w:rsidRPr="00936ADF">
        <w:t>ave</w:t>
      </w:r>
      <w:r w:rsidR="00F32783" w:rsidRPr="00936ADF">
        <w:t xml:space="preserve"> results consistent with experiment in related studies,</w:t>
      </w:r>
      <w:r w:rsidR="00931116" w:rsidRPr="00936ADF">
        <w:rPr>
          <w:vertAlign w:val="superscript"/>
        </w:rPr>
        <w:t>8,39</w:t>
      </w:r>
      <w:r w:rsidR="00F32783" w:rsidRPr="00936ADF">
        <w:t xml:space="preserve"> (2) the </w:t>
      </w:r>
      <w:r w:rsidR="005D393C" w:rsidRPr="00936ADF">
        <w:t xml:space="preserve">hybrid </w:t>
      </w:r>
      <w:r w:rsidR="00F32783" w:rsidRPr="00936ADF">
        <w:t>MN15</w:t>
      </w:r>
      <w:r w:rsidR="00931116" w:rsidRPr="00936ADF">
        <w:rPr>
          <w:szCs w:val="19"/>
          <w:vertAlign w:val="superscript"/>
        </w:rPr>
        <w:t>40</w:t>
      </w:r>
      <w:r w:rsidR="00F32783" w:rsidRPr="00936ADF">
        <w:t xml:space="preserve"> and</w:t>
      </w:r>
      <w:r w:rsidR="005D393C" w:rsidRPr="00936ADF">
        <w:t xml:space="preserve"> pure</w:t>
      </w:r>
      <w:r w:rsidR="00F32783" w:rsidRPr="00936ADF">
        <w:t xml:space="preserve"> MN15L</w:t>
      </w:r>
      <w:r w:rsidR="00931116" w:rsidRPr="00936ADF">
        <w:rPr>
          <w:vertAlign w:val="superscript"/>
        </w:rPr>
        <w:t>41</w:t>
      </w:r>
      <w:r w:rsidR="00F32783" w:rsidRPr="00936ADF">
        <w:t xml:space="preserve"> functionals have been benchmarked as among the most accurate for some transition metal complexes,</w:t>
      </w:r>
      <w:r w:rsidR="00931116" w:rsidRPr="00936ADF">
        <w:rPr>
          <w:vertAlign w:val="superscript"/>
        </w:rPr>
        <w:t>42</w:t>
      </w:r>
      <w:r w:rsidR="00F32783" w:rsidRPr="00936ADF">
        <w:t xml:space="preserve"> and (3) </w:t>
      </w:r>
      <w:r w:rsidR="00920F15" w:rsidRPr="00936ADF">
        <w:t xml:space="preserve">in our experience </w:t>
      </w:r>
      <w:r w:rsidR="00F32783" w:rsidRPr="00936ADF">
        <w:t xml:space="preserve">MN15L tends to be “well-behaved” </w:t>
      </w:r>
      <w:r w:rsidR="005D393C" w:rsidRPr="00936ADF">
        <w:t xml:space="preserve">toward geometry optimizations </w:t>
      </w:r>
      <w:r w:rsidR="00920F15" w:rsidRPr="00936ADF">
        <w:t>of</w:t>
      </w:r>
      <w:r w:rsidR="005E3724" w:rsidRPr="00936ADF">
        <w:t xml:space="preserve"> related Pd-containing structures </w:t>
      </w:r>
      <w:r w:rsidR="00F32783" w:rsidRPr="00936ADF">
        <w:t>(i.e., giving a relatively high success rate for convergence). Thermodynamic quantities were calculated at room temperature,</w:t>
      </w:r>
      <w:r w:rsidR="00931116" w:rsidRPr="00936ADF">
        <w:rPr>
          <w:vertAlign w:val="superscript"/>
        </w:rPr>
        <w:t>43</w:t>
      </w:r>
      <w:r w:rsidR="00F32783" w:rsidRPr="00936ADF">
        <w:t xml:space="preserve"> applying corrections for concentrations </w:t>
      </w:r>
      <w:r w:rsidR="00870BA2" w:rsidRPr="00936ADF">
        <w:t>consistent with</w:t>
      </w:r>
      <w:r w:rsidR="00F32783" w:rsidRPr="00936ADF">
        <w:t xml:space="preserve"> </w:t>
      </w:r>
      <w:r w:rsidR="005E3724" w:rsidRPr="00936ADF">
        <w:t xml:space="preserve">a time point </w:t>
      </w:r>
      <w:r w:rsidR="00F32783" w:rsidRPr="00936ADF">
        <w:t xml:space="preserve">early in the reaction </w:t>
      </w:r>
      <w:r w:rsidR="00870BA2" w:rsidRPr="00936ADF">
        <w:t xml:space="preserve">progress </w:t>
      </w:r>
      <w:r w:rsidR="00F32783" w:rsidRPr="00936ADF">
        <w:t>(assuming 5% conversion of dichloroarene into monoarylated product).</w:t>
      </w:r>
    </w:p>
    <w:p w14:paraId="7D0D9182" w14:textId="42970A62" w:rsidR="00F32783" w:rsidRPr="00936ADF" w:rsidRDefault="00F32783" w:rsidP="00866E72">
      <w:pPr>
        <w:pStyle w:val="TAMainText"/>
      </w:pPr>
      <w:r w:rsidRPr="00936ADF">
        <w:t xml:space="preserve">At the level of theory used, separation of </w:t>
      </w:r>
      <w:r w:rsidRPr="00936ADF">
        <w:rPr>
          <w:rFonts w:ascii="Symbol" w:hAnsi="Symbol"/>
        </w:rPr>
        <w:t>p</w:t>
      </w:r>
      <w:r w:rsidRPr="00936ADF">
        <w:t xml:space="preserve">-complex </w:t>
      </w:r>
      <w:r w:rsidRPr="00936ADF">
        <w:rPr>
          <w:b/>
          <w:bCs/>
        </w:rPr>
        <w:t xml:space="preserve">9B </w:t>
      </w:r>
      <w:r w:rsidRPr="00936ADF">
        <w:t xml:space="preserve">into Pd–IPr and </w:t>
      </w:r>
      <w:r w:rsidRPr="00936ADF">
        <w:rPr>
          <w:b/>
          <w:bCs/>
        </w:rPr>
        <w:t>1a-mono</w:t>
      </w:r>
      <w:r w:rsidRPr="00936ADF">
        <w:t xml:space="preserve"> is perhaps just barely thermodynamically accessible at room temperature (∆G = 20.0</w:t>
      </w:r>
      <w:r w:rsidR="00AA5F44" w:rsidRPr="00936ADF">
        <w:t xml:space="preserve"> kcal/mol</w:t>
      </w:r>
      <w:r w:rsidRPr="00936ADF">
        <w:t xml:space="preserve">, </w:t>
      </w:r>
      <w:r w:rsidR="006A5401" w:rsidRPr="00936ADF">
        <w:t xml:space="preserve">Figure 5, </w:t>
      </w:r>
      <w:r w:rsidR="00903B6E" w:rsidRPr="00936ADF">
        <w:t>Path II</w:t>
      </w:r>
      <w:r w:rsidRPr="00936ADF">
        <w:t>). However, it was not possible to locate the corresponding transition structure</w:t>
      </w:r>
      <w:r w:rsidR="00944E74" w:rsidRPr="00936ADF">
        <w:t>.</w:t>
      </w:r>
      <w:r w:rsidRPr="00936ADF">
        <w:t xml:space="preserve"> Importantly, the calculated free energy barriers for either a second oxidative addition (</w:t>
      </w:r>
      <w:r w:rsidRPr="00936ADF">
        <w:rPr>
          <w:b/>
          <w:bCs/>
        </w:rPr>
        <w:t>TS10B</w:t>
      </w:r>
      <w:r w:rsidRPr="00936ADF">
        <w:t xml:space="preserve">, 17.6 kcal/mol, </w:t>
      </w:r>
      <w:r w:rsidR="00903B6E" w:rsidRPr="00936ADF">
        <w:t>Path I</w:t>
      </w:r>
      <w:r w:rsidRPr="00936ADF">
        <w:t xml:space="preserve">) or a </w:t>
      </w:r>
      <w:r w:rsidR="009A04C7" w:rsidRPr="00936ADF">
        <w:t>bimolecular</w:t>
      </w:r>
      <w:r w:rsidRPr="00936ADF">
        <w:t xml:space="preserve"> displacement mechanism for release of </w:t>
      </w:r>
      <w:r w:rsidRPr="00936ADF">
        <w:rPr>
          <w:b/>
          <w:bCs/>
        </w:rPr>
        <w:t>1a-mono</w:t>
      </w:r>
      <w:r w:rsidRPr="00936ADF">
        <w:t xml:space="preserve"> via </w:t>
      </w:r>
      <w:r w:rsidRPr="00936ADF">
        <w:rPr>
          <w:b/>
          <w:bCs/>
        </w:rPr>
        <w:t xml:space="preserve">TS11B </w:t>
      </w:r>
      <w:r w:rsidRPr="00936ADF">
        <w:t>(17.</w:t>
      </w:r>
      <w:r w:rsidR="00214870" w:rsidRPr="00936ADF">
        <w:t>5</w:t>
      </w:r>
      <w:r w:rsidRPr="00936ADF">
        <w:t xml:space="preserve"> kcal/mol, </w:t>
      </w:r>
      <w:r w:rsidR="00903B6E" w:rsidRPr="00936ADF">
        <w:t>Path III</w:t>
      </w:r>
      <w:r w:rsidRPr="00936ADF">
        <w:t>) are substantially lower than the energy of dissociating 12</w:t>
      </w:r>
      <w:r w:rsidRPr="00936ADF">
        <w:rPr>
          <w:i/>
          <w:iCs/>
        </w:rPr>
        <w:t>e</w:t>
      </w:r>
      <w:r w:rsidRPr="00936ADF">
        <w:rPr>
          <w:vertAlign w:val="superscript"/>
        </w:rPr>
        <w:t>–</w:t>
      </w:r>
      <w:r w:rsidRPr="00936ADF">
        <w:t xml:space="preserve"> Pd–IPr. Thus, the calculations are consistent with experiment and indicate that </w:t>
      </w:r>
      <w:r w:rsidRPr="00936ADF">
        <w:rPr>
          <w:b/>
          <w:bCs/>
        </w:rPr>
        <w:t>1a-mono</w:t>
      </w:r>
      <w:r w:rsidRPr="00936ADF">
        <w:t xml:space="preserve"> is released through </w:t>
      </w:r>
      <w:r w:rsidR="00903B6E" w:rsidRPr="00936ADF">
        <w:t>Path III</w:t>
      </w:r>
      <w:r w:rsidRPr="00936ADF">
        <w:t xml:space="preserve">, not </w:t>
      </w:r>
      <w:r w:rsidR="00903B6E" w:rsidRPr="00936ADF">
        <w:t>Path II</w:t>
      </w:r>
      <w:r w:rsidRPr="00936ADF">
        <w:t xml:space="preserve">. The calculated difference in free energies of activation for </w:t>
      </w:r>
      <w:r w:rsidR="00903B6E" w:rsidRPr="00936ADF">
        <w:t>Path I</w:t>
      </w:r>
      <w:r w:rsidRPr="00936ADF">
        <w:t xml:space="preserve"> vs. </w:t>
      </w:r>
      <w:r w:rsidR="00903B6E" w:rsidRPr="00936ADF">
        <w:t>Path III</w:t>
      </w:r>
      <w:r w:rsidRPr="00936ADF">
        <w:t xml:space="preserve"> is 0.</w:t>
      </w:r>
      <w:r w:rsidR="00214870" w:rsidRPr="00936ADF">
        <w:t>1</w:t>
      </w:r>
      <w:r w:rsidRPr="00936ADF">
        <w:t xml:space="preserve"> kcal/mol (</w:t>
      </w:r>
      <w:r w:rsidRPr="00936ADF">
        <w:rPr>
          <w:b/>
          <w:bCs/>
        </w:rPr>
        <w:t>TS10B</w:t>
      </w:r>
      <w:r w:rsidRPr="00936ADF">
        <w:t xml:space="preserve"> vs. </w:t>
      </w:r>
      <w:r w:rsidRPr="00936ADF">
        <w:rPr>
          <w:b/>
          <w:bCs/>
        </w:rPr>
        <w:t>TS11B</w:t>
      </w:r>
      <w:r w:rsidRPr="00936ADF">
        <w:t xml:space="preserve">), </w:t>
      </w:r>
      <w:r w:rsidR="00214870" w:rsidRPr="00936ADF">
        <w:t>corresponding to</w:t>
      </w:r>
      <w:r w:rsidRPr="00936ADF">
        <w:t xml:space="preserve"> </w:t>
      </w:r>
      <w:r w:rsidR="00214870" w:rsidRPr="00936ADF">
        <w:t>~1:1</w:t>
      </w:r>
      <w:r w:rsidRPr="00936ADF">
        <w:t xml:space="preserve"> selectivity</w:t>
      </w:r>
      <w:r w:rsidR="00214870" w:rsidRPr="00936ADF">
        <w:t xml:space="preserve">. </w:t>
      </w:r>
      <w:r w:rsidRPr="00936ADF">
        <w:t xml:space="preserve">This ratio is similar to the experimentally observed selectivity of 1:3 </w:t>
      </w:r>
      <w:r w:rsidR="00214870" w:rsidRPr="00936ADF">
        <w:t xml:space="preserve">(mono:di) </w:t>
      </w:r>
      <w:r w:rsidRPr="00936ADF">
        <w:t>at ~5% conversion (experimental ∆∆G</w:t>
      </w:r>
      <w:r w:rsidRPr="00936ADF">
        <w:rPr>
          <w:vertAlign w:val="superscript"/>
        </w:rPr>
        <w:t>‡</w:t>
      </w:r>
      <w:r w:rsidRPr="00936ADF">
        <w:t xml:space="preserve"> = 0.6 kcal/mol). </w:t>
      </w:r>
    </w:p>
    <w:p w14:paraId="0C94267D" w14:textId="5EE60E5A" w:rsidR="00F32783" w:rsidRPr="00936ADF" w:rsidRDefault="00F32783" w:rsidP="00866E72">
      <w:pPr>
        <w:pStyle w:val="TAMainText"/>
      </w:pPr>
      <w:r w:rsidRPr="00936ADF">
        <w:t xml:space="preserve">The bimolecular transition structure for </w:t>
      </w:r>
      <w:r w:rsidR="00903B6E" w:rsidRPr="00936ADF">
        <w:t>Path II</w:t>
      </w:r>
      <w:r w:rsidRPr="00936ADF">
        <w:t xml:space="preserve"> appears more crowded when using IPent instead of IPr (compare </w:t>
      </w:r>
      <w:r w:rsidRPr="00936ADF">
        <w:rPr>
          <w:b/>
          <w:bCs/>
        </w:rPr>
        <w:t>TS11A</w:t>
      </w:r>
      <w:r w:rsidRPr="00936ADF">
        <w:t xml:space="preserve"> to </w:t>
      </w:r>
      <w:r w:rsidRPr="00936ADF">
        <w:rPr>
          <w:b/>
          <w:bCs/>
        </w:rPr>
        <w:t>TS11B</w:t>
      </w:r>
      <w:r w:rsidR="00870BA2" w:rsidRPr="00936ADF">
        <w:t>, Figure 5B</w:t>
      </w:r>
      <w:r w:rsidRPr="00936ADF">
        <w:t xml:space="preserve">). In particular, the incoming molecule of dichloroarene </w:t>
      </w:r>
      <w:r w:rsidRPr="00936ADF">
        <w:rPr>
          <w:b/>
          <w:bCs/>
        </w:rPr>
        <w:t>1</w:t>
      </w:r>
      <w:r w:rsidRPr="00936ADF">
        <w:t xml:space="preserve"> cannot approach Pd–IPent as closely due to steric congestion from the ligand’s isopentyl groups. Accordingly, the barrier to </w:t>
      </w:r>
      <w:r w:rsidR="009A04C7" w:rsidRPr="00936ADF">
        <w:t>bimolecular</w:t>
      </w:r>
      <w:r w:rsidRPr="00936ADF">
        <w:t xml:space="preserve"> displacement of Pd-IPent is much larger than the barrier to displace Pd-IPr, and about 3 kcal/mol larger than the barrier to oxidative addition </w:t>
      </w:r>
      <w:r w:rsidR="006A5401" w:rsidRPr="00936ADF">
        <w:t>of</w:t>
      </w:r>
      <w:r w:rsidRPr="00936ADF">
        <w:t xml:space="preserve"> the remaining chloride</w:t>
      </w:r>
      <w:r w:rsidR="006A5401" w:rsidRPr="00936ADF">
        <w:t xml:space="preserve"> at Pd-IPent</w:t>
      </w:r>
      <w:r w:rsidR="00870BA2" w:rsidRPr="00936ADF">
        <w:t xml:space="preserve"> (Figure 5A, 23.0 vs. 19.9 kcal/mol for </w:t>
      </w:r>
      <w:r w:rsidR="00870BA2" w:rsidRPr="00936ADF">
        <w:rPr>
          <w:b/>
          <w:bCs/>
        </w:rPr>
        <w:t>TS11A</w:t>
      </w:r>
      <w:r w:rsidR="00870BA2" w:rsidRPr="00936ADF">
        <w:t xml:space="preserve"> vs. </w:t>
      </w:r>
      <w:r w:rsidR="00870BA2" w:rsidRPr="00936ADF">
        <w:rPr>
          <w:b/>
          <w:bCs/>
        </w:rPr>
        <w:t>TS10A</w:t>
      </w:r>
      <w:r w:rsidR="00870BA2" w:rsidRPr="00936ADF">
        <w:t>)</w:t>
      </w:r>
      <w:r w:rsidRPr="00936ADF">
        <w:t xml:space="preserve">. Thus, the predicted selectivity for the cross-coupling of </w:t>
      </w:r>
      <w:r w:rsidRPr="00936ADF">
        <w:rPr>
          <w:b/>
          <w:bCs/>
        </w:rPr>
        <w:t>1</w:t>
      </w:r>
      <w:r w:rsidRPr="00936ADF">
        <w:t xml:space="preserve"> catalyzed by Pd/IPent is ~ 1 : 200</w:t>
      </w:r>
      <w:r w:rsidR="00870BA2" w:rsidRPr="00936ADF">
        <w:t xml:space="preserve"> (mono:di)</w:t>
      </w:r>
      <w:r w:rsidRPr="00936ADF">
        <w:t xml:space="preserve">, which is consistent with the experimentally observed exclusive selectivity for </w:t>
      </w:r>
      <w:r w:rsidRPr="00936ADF">
        <w:rPr>
          <w:b/>
          <w:bCs/>
        </w:rPr>
        <w:t>1a-di</w:t>
      </w:r>
      <w:r w:rsidRPr="00936ADF">
        <w:t xml:space="preserve"> under these conditions.</w:t>
      </w:r>
      <w:r w:rsidR="00E95874" w:rsidRPr="00936ADF">
        <w:t xml:space="preserve"> </w:t>
      </w:r>
      <w:r w:rsidR="00944E74" w:rsidRPr="00936ADF">
        <w:t>Conversely, calculations using Pd/IMes predict a very facile Path III (∆G</w:t>
      </w:r>
      <w:r w:rsidR="00944E74" w:rsidRPr="00936ADF">
        <w:rPr>
          <w:vertAlign w:val="superscript"/>
        </w:rPr>
        <w:t>‡</w:t>
      </w:r>
      <w:r w:rsidR="00944E74" w:rsidRPr="00936ADF">
        <w:t xml:space="preserve"> = 9.7 kcal/mol compared to 16.1 kcal/mol for Path I; see </w:t>
      </w:r>
      <w:r w:rsidR="007348E2" w:rsidRPr="00936ADF">
        <w:t>page S49</w:t>
      </w:r>
      <w:r w:rsidR="00944E74" w:rsidRPr="00936ADF">
        <w:t xml:space="preserve">), consistent with </w:t>
      </w:r>
      <w:r w:rsidR="00416FBF" w:rsidRPr="00936ADF">
        <w:t>the strong preference for monoarylation seen with IMes</w:t>
      </w:r>
      <w:r w:rsidR="00944E74" w:rsidRPr="00936ADF">
        <w:t>.</w:t>
      </w:r>
    </w:p>
    <w:p w14:paraId="3717C6EB" w14:textId="191B98C7" w:rsidR="00B02CC6" w:rsidRPr="00936ADF" w:rsidRDefault="00B02CC6" w:rsidP="00866E72">
      <w:pPr>
        <w:pStyle w:val="TAMainText"/>
      </w:pPr>
      <w:r w:rsidRPr="00936ADF">
        <w:lastRenderedPageBreak/>
        <w:t xml:space="preserve">Finally, calculations using Pd-IPr in combination with unsubstituted </w:t>
      </w:r>
      <w:r w:rsidR="00870BA2" w:rsidRPr="00936ADF">
        <w:t>1,3-</w:t>
      </w:r>
      <w:r w:rsidRPr="00936ADF">
        <w:t>dichlorobenzene (</w:t>
      </w:r>
      <w:r w:rsidRPr="00936ADF">
        <w:rPr>
          <w:b/>
          <w:bCs/>
        </w:rPr>
        <w:t>4</w:t>
      </w:r>
      <w:r w:rsidRPr="00936ADF">
        <w:t>) indicate that Path II</w:t>
      </w:r>
      <w:r w:rsidR="00075384" w:rsidRPr="00936ADF">
        <w:t>I</w:t>
      </w:r>
      <w:r w:rsidRPr="00936ADF">
        <w:t xml:space="preserve"> is much </w:t>
      </w:r>
      <w:r w:rsidR="00EE113D" w:rsidRPr="00936ADF">
        <w:t>lower-energy</w:t>
      </w:r>
      <w:r w:rsidRPr="00936ADF">
        <w:t xml:space="preserve"> in the absence of a 5-substituent. In this case, Path I</w:t>
      </w:r>
      <w:r w:rsidR="00075384" w:rsidRPr="00936ADF">
        <w:t>I</w:t>
      </w:r>
      <w:r w:rsidRPr="00936ADF">
        <w:t xml:space="preserve">I (leading to </w:t>
      </w:r>
      <w:r w:rsidRPr="00936ADF">
        <w:rPr>
          <w:b/>
          <w:bCs/>
        </w:rPr>
        <w:t>4a-mono</w:t>
      </w:r>
      <w:r w:rsidRPr="00936ADF">
        <w:t xml:space="preserve">) is predicted to be easier than Path I (leading to </w:t>
      </w:r>
      <w:r w:rsidRPr="00936ADF">
        <w:rPr>
          <w:b/>
          <w:bCs/>
        </w:rPr>
        <w:t>4a-di</w:t>
      </w:r>
      <w:r w:rsidRPr="00936ADF">
        <w:t>) by 3.6 kcal/mol</w:t>
      </w:r>
      <w:r w:rsidR="00870BA2" w:rsidRPr="00936ADF">
        <w:t xml:space="preserve"> (compare </w:t>
      </w:r>
      <w:r w:rsidR="00870BA2" w:rsidRPr="00936ADF">
        <w:rPr>
          <w:b/>
          <w:bCs/>
        </w:rPr>
        <w:t xml:space="preserve">TS11C </w:t>
      </w:r>
      <w:r w:rsidR="00870BA2" w:rsidRPr="00936ADF">
        <w:t xml:space="preserve">to </w:t>
      </w:r>
      <w:r w:rsidR="00870BA2" w:rsidRPr="00936ADF">
        <w:rPr>
          <w:b/>
          <w:bCs/>
        </w:rPr>
        <w:t>TS10C</w:t>
      </w:r>
      <w:r w:rsidR="00870BA2" w:rsidRPr="00936ADF">
        <w:t>)</w:t>
      </w:r>
      <w:r w:rsidRPr="00936ADF">
        <w:t xml:space="preserve">, which is qualitatively consistent with the preference for monoarylated product in the Pd/IPr-catalyzed cross-coupling of </w:t>
      </w:r>
      <w:r w:rsidRPr="00936ADF">
        <w:rPr>
          <w:b/>
          <w:bCs/>
        </w:rPr>
        <w:t>4</w:t>
      </w:r>
      <w:r w:rsidRPr="00936ADF">
        <w:t xml:space="preserve">, especially at early time points (see </w:t>
      </w:r>
      <w:r w:rsidR="00DD30C5" w:rsidRPr="00936ADF">
        <w:t xml:space="preserve">Table S13 for a 1 h time point showing 7:1 selectivity for </w:t>
      </w:r>
      <w:r w:rsidR="00DD30C5" w:rsidRPr="00936ADF">
        <w:rPr>
          <w:b/>
          <w:bCs/>
        </w:rPr>
        <w:t>4a-mono</w:t>
      </w:r>
      <w:r w:rsidRPr="00936ADF">
        <w:t xml:space="preserve">). In </w:t>
      </w:r>
      <w:r w:rsidRPr="00936ADF">
        <w:rPr>
          <w:b/>
          <w:bCs/>
        </w:rPr>
        <w:t>TS11C</w:t>
      </w:r>
      <w:r w:rsidRPr="00936ADF">
        <w:t xml:space="preserve">, the absence of a 5-substituent on either </w:t>
      </w:r>
      <w:r w:rsidRPr="00936ADF">
        <w:rPr>
          <w:b/>
          <w:bCs/>
        </w:rPr>
        <w:t>4a-mono</w:t>
      </w:r>
      <w:r w:rsidRPr="00936ADF">
        <w:t xml:space="preserve"> or </w:t>
      </w:r>
      <w:r w:rsidRPr="00936ADF">
        <w:rPr>
          <w:b/>
          <w:bCs/>
        </w:rPr>
        <w:t>4</w:t>
      </w:r>
      <w:r w:rsidRPr="00936ADF">
        <w:t xml:space="preserve"> allows a closer interaction between Pd and the incoming dichloroarene (Figure 5B).</w:t>
      </w:r>
    </w:p>
    <w:p w14:paraId="6CDFE74C" w14:textId="08698887" w:rsidR="00121889" w:rsidRPr="00936ADF" w:rsidRDefault="007F2A52" w:rsidP="00EE113D">
      <w:pPr>
        <w:pStyle w:val="TAMainText"/>
        <w:ind w:firstLine="0"/>
      </w:pPr>
      <w:r w:rsidRPr="00936ADF">
        <w:rPr>
          <w:noProof/>
        </w:rPr>
        <w:drawing>
          <wp:inline distT="0" distB="0" distL="0" distR="0" wp14:anchorId="53A75FA9" wp14:editId="7388174B">
            <wp:extent cx="3044825" cy="3968115"/>
            <wp:effectExtent l="0" t="0" r="3175" b="0"/>
            <wp:docPr id="1095216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21623" name=""/>
                    <pic:cNvPicPr/>
                  </pic:nvPicPr>
                  <pic:blipFill>
                    <a:blip r:embed="rId18"/>
                    <a:stretch>
                      <a:fillRect/>
                    </a:stretch>
                  </pic:blipFill>
                  <pic:spPr>
                    <a:xfrm>
                      <a:off x="0" y="0"/>
                      <a:ext cx="3044825" cy="3968115"/>
                    </a:xfrm>
                    <a:prstGeom prst="rect">
                      <a:avLst/>
                    </a:prstGeom>
                  </pic:spPr>
                </pic:pic>
              </a:graphicData>
            </a:graphic>
          </wp:inline>
        </w:drawing>
      </w:r>
    </w:p>
    <w:p w14:paraId="28767B37" w14:textId="5A308372" w:rsidR="00E95874" w:rsidRPr="00936ADF" w:rsidRDefault="00903B6E" w:rsidP="00903B6E">
      <w:pPr>
        <w:pStyle w:val="VAFigureCaption"/>
      </w:pPr>
      <w:r w:rsidRPr="00936ADF">
        <w:rPr>
          <w:b/>
          <w:bCs/>
        </w:rPr>
        <w:t xml:space="preserve">Figure </w:t>
      </w:r>
      <w:r w:rsidRPr="00936ADF">
        <w:rPr>
          <w:b/>
          <w:bCs/>
        </w:rPr>
        <w:fldChar w:fldCharType="begin"/>
      </w:r>
      <w:r w:rsidRPr="00936ADF">
        <w:rPr>
          <w:b/>
          <w:bCs/>
        </w:rPr>
        <w:instrText xml:space="preserve"> SEQ Figure \* ARABIC </w:instrText>
      </w:r>
      <w:r w:rsidRPr="00936ADF">
        <w:rPr>
          <w:b/>
          <w:bCs/>
        </w:rPr>
        <w:fldChar w:fldCharType="separate"/>
      </w:r>
      <w:r w:rsidR="00F10CA6" w:rsidRPr="00936ADF">
        <w:rPr>
          <w:b/>
          <w:bCs/>
          <w:noProof/>
        </w:rPr>
        <w:t>5</w:t>
      </w:r>
      <w:r w:rsidRPr="00936ADF">
        <w:rPr>
          <w:b/>
          <w:bCs/>
          <w:noProof/>
        </w:rPr>
        <w:fldChar w:fldCharType="end"/>
      </w:r>
      <w:r w:rsidRPr="00936ADF">
        <w:rPr>
          <w:b/>
          <w:bCs/>
        </w:rPr>
        <w:t>.</w:t>
      </w:r>
      <w:r w:rsidRPr="00936ADF">
        <w:t xml:space="preserve"> (A) </w:t>
      </w:r>
      <w:r w:rsidR="00675EA8" w:rsidRPr="00936ADF">
        <w:t>Calculated r</w:t>
      </w:r>
      <w:r w:rsidRPr="00936ADF">
        <w:t>eaction free energy diagram comparing effect of ligand (IPent vs. IPr) and substrate (</w:t>
      </w:r>
      <w:r w:rsidRPr="00936ADF">
        <w:rPr>
          <w:b/>
          <w:bCs/>
        </w:rPr>
        <w:t>1</w:t>
      </w:r>
      <w:r w:rsidRPr="00936ADF">
        <w:t xml:space="preserve"> vs </w:t>
      </w:r>
      <w:r w:rsidRPr="00936ADF">
        <w:rPr>
          <w:b/>
          <w:bCs/>
        </w:rPr>
        <w:t>4</w:t>
      </w:r>
      <w:r w:rsidRPr="00936ADF">
        <w:t xml:space="preserve">). (B) </w:t>
      </w:r>
      <w:r w:rsidR="009A04C7" w:rsidRPr="00936ADF">
        <w:t>Ligand exchange</w:t>
      </w:r>
      <w:r w:rsidRPr="00936ADF">
        <w:t xml:space="preserve"> transition structures for Path III. Bond distances in Ångstroms. </w:t>
      </w:r>
      <w:r w:rsidR="00075384" w:rsidRPr="00936ADF">
        <w:t xml:space="preserve">The red arrows indicate regions of possible crowding between NHC ligand and incoming </w:t>
      </w:r>
      <w:r w:rsidR="009A04C7" w:rsidRPr="00936ADF">
        <w:t>dichloroarene</w:t>
      </w:r>
      <w:r w:rsidR="00075384" w:rsidRPr="00936ADF">
        <w:t>.</w:t>
      </w:r>
    </w:p>
    <w:p w14:paraId="4A11F806" w14:textId="1B81A685" w:rsidR="00E7029F" w:rsidRPr="00936ADF" w:rsidRDefault="00E7029F" w:rsidP="00866E72">
      <w:pPr>
        <w:pStyle w:val="TAMainText"/>
      </w:pPr>
      <w:r w:rsidRPr="00936ADF">
        <w:t xml:space="preserve">It is </w:t>
      </w:r>
      <w:r w:rsidR="005D393C" w:rsidRPr="00936ADF">
        <w:t xml:space="preserve">worth noting </w:t>
      </w:r>
      <w:r w:rsidRPr="00936ADF">
        <w:t xml:space="preserve">that the calculated thermodynamics of </w:t>
      </w:r>
      <w:r w:rsidR="005D393C" w:rsidRPr="00936ADF">
        <w:t>Path II</w:t>
      </w:r>
      <w:r w:rsidRPr="00936ADF">
        <w:t xml:space="preserve"> are </w:t>
      </w:r>
      <w:r w:rsidR="006A5401" w:rsidRPr="00936ADF">
        <w:t>extremely</w:t>
      </w:r>
      <w:r w:rsidRPr="00936ADF">
        <w:t xml:space="preserve"> sensitive to DFT method. For example, single point energy calculations performed with </w:t>
      </w:r>
      <w:r w:rsidR="005D393C" w:rsidRPr="00936ADF">
        <w:t>a different dispersion-corrected hybrid functional,</w:t>
      </w:r>
      <w:r w:rsidRPr="00936ADF">
        <w:t xml:space="preserve"> B3LYP-D3</w:t>
      </w:r>
      <w:r w:rsidR="005D393C" w:rsidRPr="00936ADF">
        <w:t xml:space="preserve">, </w:t>
      </w:r>
      <w:r w:rsidRPr="00936ADF">
        <w:t>suggest that 12</w:t>
      </w:r>
      <w:r w:rsidRPr="00936ADF">
        <w:rPr>
          <w:i/>
          <w:iCs/>
        </w:rPr>
        <w:t>e</w:t>
      </w:r>
      <w:r w:rsidRPr="00936ADF">
        <w:rPr>
          <w:vertAlign w:val="superscript"/>
        </w:rPr>
        <w:t>–</w:t>
      </w:r>
      <w:r w:rsidRPr="00936ADF">
        <w:t xml:space="preserve"> Pd</w:t>
      </w:r>
      <w:r w:rsidR="00EE6A3B" w:rsidRPr="00936ADF">
        <w:t>-</w:t>
      </w:r>
      <w:r w:rsidRPr="00936ADF">
        <w:t xml:space="preserve">IPr is </w:t>
      </w:r>
      <w:r w:rsidR="00075384" w:rsidRPr="00936ADF">
        <w:t>relatively</w:t>
      </w:r>
      <w:r w:rsidRPr="00936ADF">
        <w:t xml:space="preserve"> stable, only about </w:t>
      </w:r>
      <w:r w:rsidR="00F43F52" w:rsidRPr="00936ADF">
        <w:t>10.5</w:t>
      </w:r>
      <w:r w:rsidRPr="00936ADF">
        <w:t xml:space="preserve"> kcal/mol higher </w:t>
      </w:r>
      <w:r w:rsidR="005D393C" w:rsidRPr="00936ADF">
        <w:t>than</w:t>
      </w:r>
      <w:r w:rsidRPr="00936ADF">
        <w:t xml:space="preserve"> </w:t>
      </w:r>
      <w:r w:rsidRPr="00936ADF">
        <w:rPr>
          <w:rFonts w:ascii="Symbol" w:hAnsi="Symbol"/>
        </w:rPr>
        <w:t>p</w:t>
      </w:r>
      <w:r w:rsidRPr="00936ADF">
        <w:t>-complex</w:t>
      </w:r>
      <w:r w:rsidR="005D393C" w:rsidRPr="00936ADF">
        <w:t xml:space="preserve"> </w:t>
      </w:r>
      <w:r w:rsidR="005D393C" w:rsidRPr="00936ADF">
        <w:rPr>
          <w:b/>
          <w:bCs/>
        </w:rPr>
        <w:t>9B</w:t>
      </w:r>
      <w:r w:rsidRPr="00936ADF">
        <w:t>.</w:t>
      </w:r>
      <w:r w:rsidR="00675EA8" w:rsidRPr="00936ADF">
        <w:t xml:space="preserve"> </w:t>
      </w:r>
      <w:r w:rsidR="005D393C" w:rsidRPr="00936ADF">
        <w:t>On the other hand, single point energy calculations with the pure functional MN15L indicate that 12</w:t>
      </w:r>
      <w:r w:rsidR="005D393C" w:rsidRPr="00936ADF">
        <w:rPr>
          <w:i/>
          <w:iCs/>
        </w:rPr>
        <w:t>e</w:t>
      </w:r>
      <w:r w:rsidR="005D393C" w:rsidRPr="00936ADF">
        <w:rPr>
          <w:vertAlign w:val="superscript"/>
        </w:rPr>
        <w:t>–</w:t>
      </w:r>
      <w:r w:rsidR="005D393C" w:rsidRPr="00936ADF">
        <w:t xml:space="preserve"> PdIPr is much higher-energy (</w:t>
      </w:r>
      <w:r w:rsidR="00EE6A3B" w:rsidRPr="00936ADF">
        <w:t>26</w:t>
      </w:r>
      <w:r w:rsidR="00F43F52" w:rsidRPr="00936ADF">
        <w:t>.1</w:t>
      </w:r>
      <w:r w:rsidR="005D393C" w:rsidRPr="00936ADF">
        <w:t xml:space="preserve"> kcal/mol relative to </w:t>
      </w:r>
      <w:r w:rsidR="005D393C" w:rsidRPr="00936ADF">
        <w:rPr>
          <w:b/>
          <w:bCs/>
        </w:rPr>
        <w:t>9B</w:t>
      </w:r>
      <w:r w:rsidR="005D393C" w:rsidRPr="00936ADF">
        <w:t xml:space="preserve">). </w:t>
      </w:r>
      <w:r w:rsidR="00EE6A3B" w:rsidRPr="00936ADF">
        <w:t>Thus, the calculated energy of 12</w:t>
      </w:r>
      <w:r w:rsidR="00EE6A3B" w:rsidRPr="00936ADF">
        <w:rPr>
          <w:i/>
          <w:iCs/>
        </w:rPr>
        <w:t>e</w:t>
      </w:r>
      <w:r w:rsidR="00EE6A3B" w:rsidRPr="00936ADF">
        <w:rPr>
          <w:vertAlign w:val="superscript"/>
        </w:rPr>
        <w:t>–</w:t>
      </w:r>
      <w:r w:rsidR="00EE6A3B" w:rsidRPr="00936ADF">
        <w:t xml:space="preserve"> Pd-IPr relative to </w:t>
      </w:r>
      <w:r w:rsidR="00EE6A3B" w:rsidRPr="00936ADF">
        <w:rPr>
          <w:b/>
          <w:bCs/>
        </w:rPr>
        <w:t>9B</w:t>
      </w:r>
      <w:r w:rsidR="00EE6A3B" w:rsidRPr="00936ADF">
        <w:t xml:space="preserve"> </w:t>
      </w:r>
      <w:r w:rsidR="00F43F52" w:rsidRPr="00936ADF">
        <w:t>ranges</w:t>
      </w:r>
      <w:r w:rsidR="00EE6A3B" w:rsidRPr="00936ADF">
        <w:t xml:space="preserve"> from </w:t>
      </w:r>
      <w:r w:rsidR="00F43F52" w:rsidRPr="00936ADF">
        <w:t>10.5</w:t>
      </w:r>
      <w:r w:rsidR="00EE6A3B" w:rsidRPr="00936ADF">
        <w:t>-</w:t>
      </w:r>
      <w:r w:rsidR="00F43F52" w:rsidRPr="00936ADF">
        <w:t>26.1</w:t>
      </w:r>
      <w:r w:rsidR="00EE6A3B" w:rsidRPr="00936ADF">
        <w:t xml:space="preserve"> kcal/mol depending on functional. </w:t>
      </w:r>
      <w:r w:rsidRPr="00936ADF">
        <w:t xml:space="preserve">The </w:t>
      </w:r>
      <w:r w:rsidR="00075384" w:rsidRPr="00936ADF">
        <w:t xml:space="preserve">large </w:t>
      </w:r>
      <w:r w:rsidRPr="00936ADF">
        <w:t xml:space="preserve">differences </w:t>
      </w:r>
      <w:r w:rsidR="005D393C" w:rsidRPr="00936ADF">
        <w:t xml:space="preserve">in the predicted </w:t>
      </w:r>
      <w:r w:rsidR="00F43F52" w:rsidRPr="00936ADF">
        <w:t xml:space="preserve">thermodynamic </w:t>
      </w:r>
      <w:r w:rsidR="005D393C" w:rsidRPr="00936ADF">
        <w:t>feasibility of Path I</w:t>
      </w:r>
      <w:r w:rsidR="00214870" w:rsidRPr="00936ADF">
        <w:t>I</w:t>
      </w:r>
      <w:r w:rsidRPr="00936ADF">
        <w:t xml:space="preserve"> illustrate the need for caution when comparing </w:t>
      </w:r>
      <w:r w:rsidR="00EE113D" w:rsidRPr="00936ADF">
        <w:t>computed</w:t>
      </w:r>
      <w:r w:rsidRPr="00936ADF">
        <w:t xml:space="preserve"> energies of metal species with different coordination numbers.</w:t>
      </w:r>
      <w:r w:rsidR="00931116" w:rsidRPr="00936ADF">
        <w:rPr>
          <w:vertAlign w:val="superscript"/>
        </w:rPr>
        <w:t>44</w:t>
      </w:r>
      <w:r w:rsidR="00675EA8" w:rsidRPr="00936ADF">
        <w:t xml:space="preserve"> Notably, it is un</w:t>
      </w:r>
      <w:r w:rsidR="00B90FC6" w:rsidRPr="00936ADF">
        <w:t>known</w:t>
      </w:r>
      <w:r w:rsidR="00675EA8" w:rsidRPr="00936ADF">
        <w:t xml:space="preserve"> whether B3LYP-D3 predicts that Path II </w:t>
      </w:r>
      <w:r w:rsidR="00675EA8" w:rsidRPr="00936ADF">
        <w:t>involving 12</w:t>
      </w:r>
      <w:r w:rsidR="00675EA8" w:rsidRPr="00936ADF">
        <w:rPr>
          <w:i/>
          <w:iCs/>
        </w:rPr>
        <w:t>e</w:t>
      </w:r>
      <w:r w:rsidR="00675EA8" w:rsidRPr="00936ADF">
        <w:rPr>
          <w:vertAlign w:val="superscript"/>
        </w:rPr>
        <w:t>–</w:t>
      </w:r>
      <w:r w:rsidR="00675EA8" w:rsidRPr="00936ADF">
        <w:t xml:space="preserve"> Pd-IPr is actually feasible, since a transition state for that path was not located.</w:t>
      </w:r>
      <w:r w:rsidRPr="00936ADF">
        <w:t xml:space="preserve"> </w:t>
      </w:r>
      <w:r w:rsidR="00075384" w:rsidRPr="00936ADF">
        <w:t>Experiments do not support the feasibility of Path II.</w:t>
      </w:r>
      <w:r w:rsidR="00931116" w:rsidRPr="00936ADF">
        <w:rPr>
          <w:vertAlign w:val="superscript"/>
        </w:rPr>
        <w:t>18</w:t>
      </w:r>
      <w:r w:rsidR="00075384" w:rsidRPr="00936ADF">
        <w:t xml:space="preserve"> </w:t>
      </w:r>
      <w:r w:rsidR="00675EA8" w:rsidRPr="00936ADF">
        <w:t>Overall for our system</w:t>
      </w:r>
      <w:r w:rsidRPr="00936ADF">
        <w:t xml:space="preserve">, </w:t>
      </w:r>
      <w:r w:rsidR="00675EA8" w:rsidRPr="00936ADF">
        <w:t xml:space="preserve">the MN15 functional </w:t>
      </w:r>
      <w:r w:rsidR="00B90FC6" w:rsidRPr="00936ADF">
        <w:t xml:space="preserve">for single point energy calculations </w:t>
      </w:r>
      <w:r w:rsidR="00675EA8" w:rsidRPr="00936ADF">
        <w:t>leads to predicted product ratios that are closest to experiment compared to B3LYP-D3 or MN15L</w:t>
      </w:r>
      <w:r w:rsidR="005D393C" w:rsidRPr="00936ADF">
        <w:t xml:space="preserve"> (see </w:t>
      </w:r>
      <w:r w:rsidR="008763D9" w:rsidRPr="00936ADF">
        <w:t>pp S48-S49</w:t>
      </w:r>
      <w:r w:rsidR="005D393C" w:rsidRPr="00936ADF">
        <w:t xml:space="preserve"> for calculated energies using B3LYP-D3 and MN15L).</w:t>
      </w:r>
    </w:p>
    <w:p w14:paraId="40B83BEB" w14:textId="2269FA23" w:rsidR="00637ACA" w:rsidRPr="00936ADF" w:rsidRDefault="008F736C" w:rsidP="00866E72">
      <w:pPr>
        <w:pStyle w:val="TAMainText"/>
      </w:pPr>
      <w:r w:rsidRPr="00936ADF">
        <w:rPr>
          <w:b/>
          <w:bCs/>
        </w:rPr>
        <w:t xml:space="preserve">Implications and </w:t>
      </w:r>
      <w:r w:rsidR="001D273B" w:rsidRPr="00936ADF">
        <w:rPr>
          <w:b/>
          <w:bCs/>
        </w:rPr>
        <w:t>Applications.</w:t>
      </w:r>
      <w:r w:rsidR="001D273B" w:rsidRPr="00936ADF">
        <w:t xml:space="preserve"> </w:t>
      </w:r>
      <w:r w:rsidR="00DC18F6" w:rsidRPr="00936ADF">
        <w:t xml:space="preserve">The experimental and computational studies above suggest that the selectivity for mono- vs. diarylation with bulky ligands stems from a competition between a second oxidative addition </w:t>
      </w:r>
      <w:r w:rsidR="00EE6A3B" w:rsidRPr="00936ADF">
        <w:t xml:space="preserve">event </w:t>
      </w:r>
      <w:r w:rsidR="00DC18F6" w:rsidRPr="00936ADF">
        <w:t xml:space="preserve">(Path I) and bimolecular displacement of Pd from the mono-cross-coupled product (Path III). A possible implication of this work is that substrates with heavier halides may be more prone to </w:t>
      </w:r>
      <w:r w:rsidR="00EE6A3B" w:rsidRPr="00936ADF">
        <w:t>overfunctionalization</w:t>
      </w:r>
      <w:r w:rsidR="00DC18F6" w:rsidRPr="00936ADF">
        <w:t xml:space="preserve"> because oxidative addition is </w:t>
      </w:r>
      <w:r w:rsidR="006A5401" w:rsidRPr="00936ADF">
        <w:t xml:space="preserve">generally </w:t>
      </w:r>
      <w:r w:rsidR="00DC18F6" w:rsidRPr="00936ADF">
        <w:t>faster</w:t>
      </w:r>
      <w:r w:rsidR="00EE6A3B" w:rsidRPr="00936ADF">
        <w:t xml:space="preserve"> with heavier halides</w:t>
      </w:r>
      <w:r w:rsidR="00DC18F6" w:rsidRPr="00936ADF">
        <w:t xml:space="preserve">. </w:t>
      </w:r>
      <w:r w:rsidR="00DC18F6" w:rsidRPr="004131F9">
        <w:t xml:space="preserve">To test this, we </w:t>
      </w:r>
      <w:r w:rsidR="005E76F7" w:rsidRPr="004131F9">
        <w:t>compared</w:t>
      </w:r>
      <w:r w:rsidR="00DC18F6" w:rsidRPr="004131F9">
        <w:t xml:space="preserve"> the </w:t>
      </w:r>
      <w:r w:rsidR="005E76F7" w:rsidRPr="004131F9">
        <w:t xml:space="preserve">Suzuki coupling </w:t>
      </w:r>
      <w:r w:rsidR="00DC18F6" w:rsidRPr="004131F9">
        <w:t xml:space="preserve">reaction of </w:t>
      </w:r>
      <w:r w:rsidR="005E76F7" w:rsidRPr="004131F9">
        <w:t xml:space="preserve">dibromoarene </w:t>
      </w:r>
      <w:r w:rsidR="005E76F7" w:rsidRPr="004131F9">
        <w:rPr>
          <w:b/>
          <w:bCs/>
        </w:rPr>
        <w:t>12</w:t>
      </w:r>
      <w:r w:rsidR="005E76F7" w:rsidRPr="004131F9">
        <w:t xml:space="preserve"> to that of dichloroarene </w:t>
      </w:r>
      <w:r w:rsidR="005E76F7" w:rsidRPr="004131F9">
        <w:rPr>
          <w:b/>
          <w:bCs/>
        </w:rPr>
        <w:t>1</w:t>
      </w:r>
      <w:r w:rsidR="005E76F7" w:rsidRPr="004131F9">
        <w:t xml:space="preserve"> catalyzed by Pd/IPr</w:t>
      </w:r>
      <w:r w:rsidR="00CD5D00" w:rsidRPr="004131F9">
        <w:t xml:space="preserve"> (Scheme 3)</w:t>
      </w:r>
      <w:r w:rsidR="005E76F7" w:rsidRPr="004131F9">
        <w:t>.</w:t>
      </w:r>
      <w:r w:rsidR="005E76F7" w:rsidRPr="00936ADF">
        <w:t xml:space="preserve"> As previously shown, monoarylation</w:t>
      </w:r>
      <w:r w:rsidR="00EE6A3B" w:rsidRPr="00936ADF">
        <w:t xml:space="preserve"> of </w:t>
      </w:r>
      <w:r w:rsidR="00075384" w:rsidRPr="00936ADF">
        <w:rPr>
          <w:b/>
          <w:bCs/>
        </w:rPr>
        <w:t>1</w:t>
      </w:r>
      <w:r w:rsidR="005E76F7" w:rsidRPr="00936ADF">
        <w:t xml:space="preserve"> is favored in benzene. However, diarylation </w:t>
      </w:r>
      <w:r w:rsidR="00EE6A3B" w:rsidRPr="00936ADF">
        <w:t>dominates</w:t>
      </w:r>
      <w:r w:rsidR="005E76F7" w:rsidRPr="00936ADF">
        <w:t xml:space="preserve"> when starting from di</w:t>
      </w:r>
      <w:r w:rsidR="005E76F7" w:rsidRPr="00936ADF">
        <w:rPr>
          <w:i/>
          <w:iCs/>
        </w:rPr>
        <w:t>bromo</w:t>
      </w:r>
      <w:r w:rsidR="005E76F7" w:rsidRPr="00936ADF">
        <w:t xml:space="preserve">arene </w:t>
      </w:r>
      <w:r w:rsidR="005E76F7" w:rsidRPr="00936ADF">
        <w:rPr>
          <w:b/>
          <w:bCs/>
        </w:rPr>
        <w:t>12</w:t>
      </w:r>
      <w:r w:rsidR="005E76F7" w:rsidRPr="00936ADF">
        <w:t>.</w:t>
      </w:r>
      <w:r w:rsidR="004D6386" w:rsidRPr="00936ADF">
        <w:t xml:space="preserve"> This result is consistent with a faster oxidative addition at C—Br, enabling diarylation to outcompete Path III for release of monoarylated product. Interestingly, less diarylation of </w:t>
      </w:r>
      <w:r w:rsidR="004D6386" w:rsidRPr="00936ADF">
        <w:rPr>
          <w:b/>
          <w:bCs/>
        </w:rPr>
        <w:t>12</w:t>
      </w:r>
      <w:r w:rsidR="004D6386" w:rsidRPr="00936ADF">
        <w:t xml:space="preserve"> was observed in THF, which is the opposite of the solvent trend seen for </w:t>
      </w:r>
      <w:r w:rsidR="004D6386" w:rsidRPr="00936ADF">
        <w:rPr>
          <w:b/>
          <w:bCs/>
        </w:rPr>
        <w:t>1</w:t>
      </w:r>
      <w:r w:rsidR="004D6386" w:rsidRPr="00936ADF">
        <w:t xml:space="preserve"> (see </w:t>
      </w:r>
      <w:r w:rsidR="008763D9" w:rsidRPr="00936ADF">
        <w:t>Table S23</w:t>
      </w:r>
      <w:r w:rsidR="004D6386" w:rsidRPr="00936ADF">
        <w:t>). Understanding the role of solvents and ligands on cross-coupling selectivity with dibromoarenes is the subject of further investigation.</w:t>
      </w:r>
    </w:p>
    <w:p w14:paraId="416896A4" w14:textId="1863DADB" w:rsidR="006A5401" w:rsidRPr="00936ADF" w:rsidRDefault="006A5401" w:rsidP="006A5401">
      <w:pPr>
        <w:pStyle w:val="VCSchemeTitle"/>
      </w:pPr>
      <w:r w:rsidRPr="00936ADF">
        <w:t xml:space="preserve">Scheme </w:t>
      </w:r>
      <w:r w:rsidRPr="00936ADF">
        <w:fldChar w:fldCharType="begin"/>
      </w:r>
      <w:r w:rsidRPr="00936ADF">
        <w:instrText xml:space="preserve"> SEQ Scheme \* ARABIC </w:instrText>
      </w:r>
      <w:r w:rsidRPr="00936ADF">
        <w:fldChar w:fldCharType="separate"/>
      </w:r>
      <w:r w:rsidR="00F10CA6" w:rsidRPr="00936ADF">
        <w:rPr>
          <w:noProof/>
        </w:rPr>
        <w:t>3</w:t>
      </w:r>
      <w:r w:rsidRPr="00936ADF">
        <w:rPr>
          <w:noProof/>
        </w:rPr>
        <w:fldChar w:fldCharType="end"/>
      </w:r>
      <w:r w:rsidRPr="00936ADF">
        <w:t>. More Overfunctionalization is Seen with a Dibromoarene Compared to a Dichloroarene</w:t>
      </w:r>
    </w:p>
    <w:p w14:paraId="12361FA4" w14:textId="74200E72" w:rsidR="006A5401" w:rsidRPr="00936ADF" w:rsidRDefault="007F2A52" w:rsidP="00EE113D">
      <w:pPr>
        <w:pStyle w:val="TAMainText"/>
        <w:ind w:firstLine="0"/>
      </w:pPr>
      <w:r w:rsidRPr="00936ADF">
        <w:rPr>
          <w:noProof/>
        </w:rPr>
        <w:drawing>
          <wp:inline distT="0" distB="0" distL="0" distR="0" wp14:anchorId="0CD72D1E" wp14:editId="4928A046">
            <wp:extent cx="3044825" cy="1266825"/>
            <wp:effectExtent l="0" t="0" r="3175" b="3175"/>
            <wp:docPr id="26248978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489789" name=""/>
                    <pic:cNvPicPr/>
                  </pic:nvPicPr>
                  <pic:blipFill>
                    <a:blip r:embed="rId19"/>
                    <a:stretch>
                      <a:fillRect/>
                    </a:stretch>
                  </pic:blipFill>
                  <pic:spPr>
                    <a:xfrm>
                      <a:off x="0" y="0"/>
                      <a:ext cx="3044825" cy="1266825"/>
                    </a:xfrm>
                    <a:prstGeom prst="rect">
                      <a:avLst/>
                    </a:prstGeom>
                  </pic:spPr>
                </pic:pic>
              </a:graphicData>
            </a:graphic>
          </wp:inline>
        </w:drawing>
      </w:r>
    </w:p>
    <w:p w14:paraId="0D3EFE20" w14:textId="3529A175" w:rsidR="00931116" w:rsidRPr="00936ADF" w:rsidRDefault="005E76F7" w:rsidP="00931116">
      <w:pPr>
        <w:pStyle w:val="TAMainText"/>
      </w:pPr>
      <w:r w:rsidRPr="00936ADF">
        <w:t xml:space="preserve">Another implication of the reported work is that small coordinating additives can </w:t>
      </w:r>
      <w:r w:rsidR="00675EA8" w:rsidRPr="00936ADF">
        <w:t>facilitate</w:t>
      </w:r>
      <w:r w:rsidRPr="00936ADF">
        <w:t xml:space="preserve"> access to monoarylated products in cases where overfunctionalization </w:t>
      </w:r>
      <w:r w:rsidR="00EE6A3B" w:rsidRPr="00936ADF">
        <w:t>is otherwise problematic</w:t>
      </w:r>
      <w:r w:rsidRPr="00936ADF">
        <w:t xml:space="preserve">. As an example, in 2022 we reported that </w:t>
      </w:r>
      <w:r w:rsidR="00EE6A3B" w:rsidRPr="00936ADF">
        <w:t xml:space="preserve">the </w:t>
      </w:r>
      <w:r w:rsidRPr="00936ADF">
        <w:t xml:space="preserve">bulky </w:t>
      </w:r>
      <w:r w:rsidR="00EE6A3B" w:rsidRPr="00936ADF">
        <w:t>ligand</w:t>
      </w:r>
      <w:r w:rsidRPr="00936ADF">
        <w:t xml:space="preserve"> IPr uniquely enable</w:t>
      </w:r>
      <w:r w:rsidR="00EE6A3B" w:rsidRPr="00936ADF">
        <w:t>s</w:t>
      </w:r>
      <w:r w:rsidRPr="00936ADF">
        <w:t xml:space="preserve"> unconventional C4-selectivity in cross-couplings of 2,4-dichloropyridine.</w:t>
      </w:r>
      <w:r w:rsidR="00931116" w:rsidRPr="00936ADF">
        <w:rPr>
          <w:vertAlign w:val="superscript"/>
        </w:rPr>
        <w:t>7,8</w:t>
      </w:r>
      <w:r w:rsidRPr="00936ADF">
        <w:t xml:space="preserve"> </w:t>
      </w:r>
      <w:r w:rsidR="00EC629D" w:rsidRPr="00936ADF">
        <w:t>With smaller ligands (e.g., traditional phosphines like PPh</w:t>
      </w:r>
      <w:r w:rsidR="00EC629D" w:rsidRPr="00936ADF">
        <w:rPr>
          <w:vertAlign w:val="subscript"/>
        </w:rPr>
        <w:t xml:space="preserve">3 </w:t>
      </w:r>
      <w:r w:rsidR="00EC629D" w:rsidRPr="00936ADF">
        <w:t xml:space="preserve">or moderately smaller NHCs like IMes), cross-coupling at C2 </w:t>
      </w:r>
      <w:r w:rsidR="00EE6A3B" w:rsidRPr="00936ADF">
        <w:t xml:space="preserve">tends to </w:t>
      </w:r>
      <w:r w:rsidR="00EC629D" w:rsidRPr="00936ADF">
        <w:t>dominate</w:t>
      </w:r>
      <w:r w:rsidR="006A5401" w:rsidRPr="00936ADF">
        <w:t xml:space="preserve"> instead</w:t>
      </w:r>
      <w:r w:rsidR="00EC629D" w:rsidRPr="00936ADF">
        <w:t xml:space="preserve">. We found that </w:t>
      </w:r>
      <w:r w:rsidR="00EE113D" w:rsidRPr="00936ADF">
        <w:t xml:space="preserve">some </w:t>
      </w:r>
      <w:r w:rsidR="00EC629D" w:rsidRPr="00936ADF">
        <w:t>6-substituted</w:t>
      </w:r>
      <w:r w:rsidR="006A5401" w:rsidRPr="00936ADF">
        <w:t>-</w:t>
      </w:r>
      <w:r w:rsidR="00EC629D" w:rsidRPr="00936ADF">
        <w:t xml:space="preserve">2,4-dichloropyridines represent a limitation to the substrate scope of the </w:t>
      </w:r>
      <w:r w:rsidR="00EE6A3B" w:rsidRPr="00936ADF">
        <w:t xml:space="preserve">optimized </w:t>
      </w:r>
      <w:r w:rsidR="00EC629D" w:rsidRPr="00936ADF">
        <w:t xml:space="preserve">C4-selective coupling because </w:t>
      </w:r>
      <w:r w:rsidR="00EE6A3B" w:rsidRPr="00936ADF">
        <w:t xml:space="preserve">of </w:t>
      </w:r>
      <w:r w:rsidR="00EC629D" w:rsidRPr="00936ADF">
        <w:t xml:space="preserve">overfunctionalization. For example, the major product of the Pd/IPr-catalyzed Suzuki coupling of </w:t>
      </w:r>
      <w:r w:rsidR="00EC629D" w:rsidRPr="00936ADF">
        <w:rPr>
          <w:b/>
          <w:bCs/>
        </w:rPr>
        <w:t>13</w:t>
      </w:r>
      <w:r w:rsidR="00EC629D" w:rsidRPr="00936ADF">
        <w:t xml:space="preserve"> with </w:t>
      </w:r>
      <w:r w:rsidR="00F007B6" w:rsidRPr="00936ADF">
        <w:rPr>
          <w:i/>
          <w:iCs/>
        </w:rPr>
        <w:t>p</w:t>
      </w:r>
      <w:r w:rsidR="00F007B6" w:rsidRPr="00936ADF">
        <w:t>-methoxyphenyl</w:t>
      </w:r>
      <w:r w:rsidR="00EC629D" w:rsidRPr="00936ADF">
        <w:t>B(OH)</w:t>
      </w:r>
      <w:r w:rsidR="00EC629D" w:rsidRPr="00936ADF">
        <w:rPr>
          <w:vertAlign w:val="subscript"/>
        </w:rPr>
        <w:t>2</w:t>
      </w:r>
      <w:r w:rsidR="00EC629D" w:rsidRPr="00936ADF">
        <w:t xml:space="preserve"> is </w:t>
      </w:r>
      <w:r w:rsidR="00EC629D" w:rsidRPr="00936ADF">
        <w:rPr>
          <w:b/>
          <w:bCs/>
        </w:rPr>
        <w:t>13a-di</w:t>
      </w:r>
      <w:r w:rsidR="007F58BA" w:rsidRPr="00936ADF">
        <w:t xml:space="preserve"> (Table 3, entry 1).</w:t>
      </w:r>
      <w:r w:rsidR="00EC629D" w:rsidRPr="00936ADF">
        <w:t xml:space="preserve"> In light of the results in the current report, we hypothesized that monoarylation could be rescued in situations like these by adding small quantities of DMSO to the reaction mixture. Gratifyingly,</w:t>
      </w:r>
      <w:r w:rsidR="007F58BA" w:rsidRPr="00936ADF">
        <w:t xml:space="preserve"> diarylation was </w:t>
      </w:r>
      <w:r w:rsidR="00EE6A3B" w:rsidRPr="00936ADF">
        <w:t>mostly</w:t>
      </w:r>
      <w:r w:rsidR="007F58BA" w:rsidRPr="00936ADF">
        <w:t xml:space="preserve"> suppressed with</w:t>
      </w:r>
      <w:r w:rsidR="00EC629D" w:rsidRPr="00936ADF">
        <w:t xml:space="preserve"> </w:t>
      </w:r>
      <w:r w:rsidR="00786790" w:rsidRPr="00936ADF">
        <w:t>0.1-5 equiv</w:t>
      </w:r>
      <w:r w:rsidR="007F58BA" w:rsidRPr="00936ADF">
        <w:t xml:space="preserve"> DMSO (entr</w:t>
      </w:r>
      <w:r w:rsidR="00786790" w:rsidRPr="00936ADF">
        <w:t>ies</w:t>
      </w:r>
      <w:r w:rsidR="007F58BA" w:rsidRPr="00936ADF">
        <w:t xml:space="preserve"> 2</w:t>
      </w:r>
      <w:r w:rsidR="00786790" w:rsidRPr="00936ADF">
        <w:t>-3</w:t>
      </w:r>
      <w:r w:rsidR="007F58BA" w:rsidRPr="00936ADF">
        <w:t>)</w:t>
      </w:r>
      <w:r w:rsidR="00786790" w:rsidRPr="00936ADF">
        <w:t xml:space="preserve">, enabling the </w:t>
      </w:r>
      <w:r w:rsidR="007F58BA" w:rsidRPr="00936ADF">
        <w:t xml:space="preserve">desired monoarylated product </w:t>
      </w:r>
      <w:r w:rsidR="007F58BA" w:rsidRPr="00936ADF">
        <w:rPr>
          <w:b/>
          <w:bCs/>
        </w:rPr>
        <w:t>13a-C4</w:t>
      </w:r>
      <w:r w:rsidR="007F58BA" w:rsidRPr="00936ADF">
        <w:t xml:space="preserve"> </w:t>
      </w:r>
      <w:r w:rsidR="00786790" w:rsidRPr="00936ADF">
        <w:t>to</w:t>
      </w:r>
      <w:r w:rsidR="007F58BA" w:rsidRPr="00936ADF">
        <w:t xml:space="preserve"> be isolated </w:t>
      </w:r>
      <w:r w:rsidR="00EE6A3B" w:rsidRPr="00936ADF">
        <w:t xml:space="preserve">for the first time </w:t>
      </w:r>
      <w:r w:rsidR="007F58BA" w:rsidRPr="00936ADF">
        <w:t xml:space="preserve">in </w:t>
      </w:r>
      <w:r w:rsidR="00A140A8" w:rsidRPr="00936ADF">
        <w:t>73</w:t>
      </w:r>
      <w:r w:rsidR="007F58BA" w:rsidRPr="00936ADF">
        <w:t>% yield.</w:t>
      </w:r>
    </w:p>
    <w:p w14:paraId="43F79567" w14:textId="7761AF9E" w:rsidR="004D6386" w:rsidRPr="00936ADF" w:rsidRDefault="000A1436" w:rsidP="00931116">
      <w:pPr>
        <w:pStyle w:val="VDTableTitle"/>
      </w:pPr>
      <w:r w:rsidRPr="00936ADF">
        <w:lastRenderedPageBreak/>
        <w:t xml:space="preserve">Table </w:t>
      </w:r>
      <w:r w:rsidR="004D6386" w:rsidRPr="00936ADF">
        <w:fldChar w:fldCharType="begin"/>
      </w:r>
      <w:r w:rsidR="004D6386" w:rsidRPr="00936ADF">
        <w:instrText xml:space="preserve"> SEQ Table \* ARABIC </w:instrText>
      </w:r>
      <w:r w:rsidR="004D6386" w:rsidRPr="00936ADF">
        <w:fldChar w:fldCharType="separate"/>
      </w:r>
      <w:r w:rsidR="00F10CA6" w:rsidRPr="00936ADF">
        <w:rPr>
          <w:noProof/>
        </w:rPr>
        <w:t>3</w:t>
      </w:r>
      <w:r w:rsidR="004D6386" w:rsidRPr="00936ADF">
        <w:rPr>
          <w:noProof/>
        </w:rPr>
        <w:fldChar w:fldCharType="end"/>
      </w:r>
      <w:r w:rsidRPr="00936ADF">
        <w:t>. DMSO Additive Enables Pd/IPr-catalyzed Monoarylation at the Unconventional C4 Site of a 6-Substituted 2,4-Dichloropyridine</w:t>
      </w:r>
      <w:r w:rsidRPr="00936ADF">
        <w:rPr>
          <w:bCs/>
          <w:i/>
          <w:iCs/>
          <w:vertAlign w:val="superscript"/>
        </w:rPr>
        <w:t>a</w:t>
      </w:r>
    </w:p>
    <w:p w14:paraId="663E1162" w14:textId="1124C484" w:rsidR="00637ACA" w:rsidRPr="00936ADF" w:rsidRDefault="007F2A52" w:rsidP="00931116">
      <w:pPr>
        <w:pStyle w:val="TAMainText"/>
        <w:ind w:firstLine="0"/>
      </w:pPr>
      <w:r w:rsidRPr="00936ADF">
        <w:rPr>
          <w:noProof/>
        </w:rPr>
        <w:drawing>
          <wp:inline distT="0" distB="0" distL="0" distR="0" wp14:anchorId="4A93C0BD" wp14:editId="5E5E1FD0">
            <wp:extent cx="3044825" cy="1146175"/>
            <wp:effectExtent l="0" t="0" r="3175" b="0"/>
            <wp:docPr id="20373052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305249" name=""/>
                    <pic:cNvPicPr/>
                  </pic:nvPicPr>
                  <pic:blipFill>
                    <a:blip r:embed="rId20"/>
                    <a:stretch>
                      <a:fillRect/>
                    </a:stretch>
                  </pic:blipFill>
                  <pic:spPr>
                    <a:xfrm>
                      <a:off x="0" y="0"/>
                      <a:ext cx="3044825" cy="1146175"/>
                    </a:xfrm>
                    <a:prstGeom prst="rect">
                      <a:avLst/>
                    </a:prstGeom>
                  </pic:spPr>
                </pic:pic>
              </a:graphicData>
            </a:graphic>
          </wp:inline>
        </w:drawing>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0"/>
        <w:gridCol w:w="1039"/>
        <w:gridCol w:w="809"/>
        <w:gridCol w:w="809"/>
        <w:gridCol w:w="791"/>
        <w:gridCol w:w="817"/>
      </w:tblGrid>
      <w:tr w:rsidR="000A1436" w:rsidRPr="00936ADF" w14:paraId="25A85ED5" w14:textId="77777777" w:rsidTr="00F5752A">
        <w:tc>
          <w:tcPr>
            <w:tcW w:w="0" w:type="auto"/>
            <w:tcBorders>
              <w:top w:val="single" w:sz="4" w:space="0" w:color="auto"/>
              <w:bottom w:val="single" w:sz="4" w:space="0" w:color="auto"/>
            </w:tcBorders>
            <w:shd w:val="clear" w:color="auto" w:fill="F2F2F2" w:themeFill="background1" w:themeFillShade="F2"/>
          </w:tcPr>
          <w:p w14:paraId="0F03C87E" w14:textId="77777777" w:rsidR="004D6386" w:rsidRPr="00936ADF" w:rsidRDefault="004D6386" w:rsidP="001426A0">
            <w:pPr>
              <w:pStyle w:val="TCTableBody"/>
              <w:spacing w:before="0" w:after="0"/>
            </w:pPr>
            <w:r w:rsidRPr="00936ADF">
              <w:t>entry</w:t>
            </w:r>
          </w:p>
        </w:tc>
        <w:tc>
          <w:tcPr>
            <w:tcW w:w="0" w:type="auto"/>
            <w:tcBorders>
              <w:top w:val="single" w:sz="4" w:space="0" w:color="auto"/>
              <w:bottom w:val="single" w:sz="4" w:space="0" w:color="auto"/>
            </w:tcBorders>
            <w:shd w:val="clear" w:color="auto" w:fill="F2F2F2" w:themeFill="background1" w:themeFillShade="F2"/>
          </w:tcPr>
          <w:p w14:paraId="1F2F3BE7" w14:textId="239ECED5" w:rsidR="004D6386" w:rsidRPr="00936ADF" w:rsidRDefault="004D6386" w:rsidP="004D6386">
            <w:pPr>
              <w:pStyle w:val="TCTableBody"/>
              <w:spacing w:before="0" w:after="0"/>
            </w:pPr>
            <w:r w:rsidRPr="00936ADF">
              <w:t>additive (equiv)</w:t>
            </w:r>
          </w:p>
        </w:tc>
        <w:tc>
          <w:tcPr>
            <w:tcW w:w="0" w:type="auto"/>
            <w:tcBorders>
              <w:top w:val="single" w:sz="4" w:space="0" w:color="auto"/>
              <w:bottom w:val="single" w:sz="4" w:space="0" w:color="auto"/>
            </w:tcBorders>
            <w:shd w:val="clear" w:color="auto" w:fill="F2F2F2" w:themeFill="background1" w:themeFillShade="F2"/>
          </w:tcPr>
          <w:p w14:paraId="7219D43F" w14:textId="53AD3375" w:rsidR="004D6386" w:rsidRPr="00936ADF" w:rsidRDefault="004D6386" w:rsidP="001426A0">
            <w:pPr>
              <w:pStyle w:val="TCTableBody"/>
              <w:spacing w:before="0" w:after="0"/>
              <w:rPr>
                <w:b/>
                <w:bCs/>
              </w:rPr>
            </w:pPr>
            <w:r w:rsidRPr="00936ADF">
              <w:rPr>
                <w:b/>
                <w:bCs/>
              </w:rPr>
              <w:t>13a-C2 (%)</w:t>
            </w:r>
          </w:p>
        </w:tc>
        <w:tc>
          <w:tcPr>
            <w:tcW w:w="0" w:type="auto"/>
            <w:tcBorders>
              <w:top w:val="single" w:sz="4" w:space="0" w:color="auto"/>
              <w:bottom w:val="single" w:sz="4" w:space="0" w:color="auto"/>
            </w:tcBorders>
            <w:shd w:val="clear" w:color="auto" w:fill="F2F2F2" w:themeFill="background1" w:themeFillShade="F2"/>
          </w:tcPr>
          <w:p w14:paraId="63F07217" w14:textId="1CF180AA" w:rsidR="004D6386" w:rsidRPr="00936ADF" w:rsidRDefault="004D6386" w:rsidP="001426A0">
            <w:pPr>
              <w:pStyle w:val="TCTableBody"/>
              <w:spacing w:before="0" w:after="0"/>
              <w:rPr>
                <w:b/>
                <w:bCs/>
              </w:rPr>
            </w:pPr>
            <w:r w:rsidRPr="00936ADF">
              <w:rPr>
                <w:b/>
                <w:bCs/>
              </w:rPr>
              <w:t>13a-C4 (%)</w:t>
            </w:r>
          </w:p>
        </w:tc>
        <w:tc>
          <w:tcPr>
            <w:tcW w:w="0" w:type="auto"/>
            <w:tcBorders>
              <w:top w:val="single" w:sz="4" w:space="0" w:color="auto"/>
              <w:bottom w:val="single" w:sz="4" w:space="0" w:color="auto"/>
            </w:tcBorders>
            <w:shd w:val="clear" w:color="auto" w:fill="F2F2F2" w:themeFill="background1" w:themeFillShade="F2"/>
          </w:tcPr>
          <w:p w14:paraId="1A55CA47" w14:textId="4A258104" w:rsidR="004D6386" w:rsidRPr="00936ADF" w:rsidRDefault="004D6386" w:rsidP="001426A0">
            <w:pPr>
              <w:pStyle w:val="TCTableBody"/>
              <w:spacing w:before="0" w:after="0"/>
              <w:rPr>
                <w:b/>
                <w:bCs/>
              </w:rPr>
            </w:pPr>
            <w:r w:rsidRPr="00936ADF">
              <w:rPr>
                <w:b/>
                <w:bCs/>
              </w:rPr>
              <w:t>13a-di (%)</w:t>
            </w:r>
          </w:p>
        </w:tc>
        <w:tc>
          <w:tcPr>
            <w:tcW w:w="0" w:type="auto"/>
            <w:tcBorders>
              <w:top w:val="single" w:sz="4" w:space="0" w:color="auto"/>
              <w:bottom w:val="single" w:sz="4" w:space="0" w:color="auto"/>
            </w:tcBorders>
            <w:shd w:val="clear" w:color="auto" w:fill="F2F2F2" w:themeFill="background1" w:themeFillShade="F2"/>
          </w:tcPr>
          <w:p w14:paraId="683DCB2D" w14:textId="77777777" w:rsidR="004D6386" w:rsidRPr="00936ADF" w:rsidRDefault="004D6386" w:rsidP="001426A0">
            <w:pPr>
              <w:pStyle w:val="TCTableBody"/>
              <w:spacing w:before="0" w:after="0"/>
              <w:rPr>
                <w:b/>
                <w:bCs/>
              </w:rPr>
            </w:pPr>
            <w:r w:rsidRPr="00936ADF">
              <w:rPr>
                <w:b/>
                <w:bCs/>
              </w:rPr>
              <w:t>mono</w:t>
            </w:r>
            <w:r w:rsidRPr="00936ADF">
              <w:t xml:space="preserve">: </w:t>
            </w:r>
            <w:r w:rsidRPr="00936ADF">
              <w:rPr>
                <w:b/>
                <w:bCs/>
              </w:rPr>
              <w:t>di</w:t>
            </w:r>
          </w:p>
        </w:tc>
      </w:tr>
      <w:tr w:rsidR="009D7284" w:rsidRPr="00936ADF" w14:paraId="13E60A81" w14:textId="77777777" w:rsidTr="00F5752A">
        <w:tc>
          <w:tcPr>
            <w:tcW w:w="0" w:type="auto"/>
            <w:tcBorders>
              <w:top w:val="single" w:sz="4" w:space="0" w:color="auto"/>
            </w:tcBorders>
          </w:tcPr>
          <w:p w14:paraId="474AD0EB" w14:textId="77777777" w:rsidR="004D6386" w:rsidRPr="00936ADF" w:rsidRDefault="004D6386" w:rsidP="001426A0">
            <w:pPr>
              <w:pStyle w:val="TCTableBody"/>
              <w:spacing w:before="0" w:after="0"/>
            </w:pPr>
            <w:r w:rsidRPr="00936ADF">
              <w:t>1</w:t>
            </w:r>
          </w:p>
        </w:tc>
        <w:tc>
          <w:tcPr>
            <w:tcW w:w="0" w:type="auto"/>
            <w:tcBorders>
              <w:top w:val="single" w:sz="4" w:space="0" w:color="auto"/>
            </w:tcBorders>
          </w:tcPr>
          <w:p w14:paraId="1C3DA269" w14:textId="7A20055D" w:rsidR="004D6386" w:rsidRPr="00936ADF" w:rsidRDefault="004D6386" w:rsidP="001426A0">
            <w:pPr>
              <w:pStyle w:val="TCTableBody"/>
              <w:spacing w:before="0" w:after="0"/>
            </w:pPr>
            <w:r w:rsidRPr="00936ADF">
              <w:t>--</w:t>
            </w:r>
          </w:p>
        </w:tc>
        <w:tc>
          <w:tcPr>
            <w:tcW w:w="0" w:type="auto"/>
            <w:tcBorders>
              <w:top w:val="single" w:sz="4" w:space="0" w:color="auto"/>
            </w:tcBorders>
          </w:tcPr>
          <w:p w14:paraId="038C6439" w14:textId="2E088ED4" w:rsidR="004D6386" w:rsidRPr="00936ADF" w:rsidRDefault="00540250" w:rsidP="001426A0">
            <w:pPr>
              <w:pStyle w:val="TCTableBody"/>
              <w:spacing w:before="0" w:after="0"/>
            </w:pPr>
            <w:r w:rsidRPr="00936ADF">
              <w:t>0.8</w:t>
            </w:r>
          </w:p>
        </w:tc>
        <w:tc>
          <w:tcPr>
            <w:tcW w:w="0" w:type="auto"/>
            <w:tcBorders>
              <w:top w:val="single" w:sz="4" w:space="0" w:color="auto"/>
            </w:tcBorders>
          </w:tcPr>
          <w:p w14:paraId="3BED9C86" w14:textId="40EE45EC" w:rsidR="004D6386" w:rsidRPr="00936ADF" w:rsidRDefault="00540250" w:rsidP="001426A0">
            <w:pPr>
              <w:pStyle w:val="TCTableBody"/>
              <w:spacing w:before="0" w:after="0"/>
            </w:pPr>
            <w:r w:rsidRPr="00936ADF">
              <w:t>3.8</w:t>
            </w:r>
          </w:p>
        </w:tc>
        <w:tc>
          <w:tcPr>
            <w:tcW w:w="0" w:type="auto"/>
            <w:tcBorders>
              <w:top w:val="single" w:sz="4" w:space="0" w:color="auto"/>
            </w:tcBorders>
          </w:tcPr>
          <w:p w14:paraId="259A94E7" w14:textId="04966CE7" w:rsidR="004D6386" w:rsidRPr="00936ADF" w:rsidRDefault="00BB4AF9" w:rsidP="001426A0">
            <w:pPr>
              <w:pStyle w:val="TCTableBody"/>
              <w:spacing w:before="0" w:after="0"/>
              <w:rPr>
                <w:i/>
                <w:iCs/>
                <w:vertAlign w:val="superscript"/>
              </w:rPr>
            </w:pPr>
            <w:r w:rsidRPr="00936ADF">
              <w:t>39</w:t>
            </w:r>
            <w:r w:rsidR="00540250" w:rsidRPr="00936ADF">
              <w:t>.4</w:t>
            </w:r>
          </w:p>
        </w:tc>
        <w:tc>
          <w:tcPr>
            <w:tcW w:w="0" w:type="auto"/>
            <w:tcBorders>
              <w:top w:val="single" w:sz="4" w:space="0" w:color="auto"/>
            </w:tcBorders>
          </w:tcPr>
          <w:p w14:paraId="364F1BB0" w14:textId="4133C1A4" w:rsidR="004D6386" w:rsidRPr="00936ADF" w:rsidRDefault="004D6386" w:rsidP="001426A0">
            <w:pPr>
              <w:pStyle w:val="TCTableBody"/>
              <w:spacing w:before="0" w:after="0"/>
            </w:pPr>
            <w:r w:rsidRPr="00936ADF">
              <w:t xml:space="preserve">1 : </w:t>
            </w:r>
            <w:r w:rsidR="009B0CA3" w:rsidRPr="00936ADF">
              <w:t>8.6</w:t>
            </w:r>
          </w:p>
        </w:tc>
      </w:tr>
      <w:tr w:rsidR="009D7284" w:rsidRPr="00936ADF" w14:paraId="796CD7F5" w14:textId="77777777" w:rsidTr="00F5752A">
        <w:tc>
          <w:tcPr>
            <w:tcW w:w="0" w:type="auto"/>
          </w:tcPr>
          <w:p w14:paraId="7B2DA8FD" w14:textId="77777777" w:rsidR="004D6386" w:rsidRPr="00936ADF" w:rsidRDefault="004D6386" w:rsidP="001426A0">
            <w:pPr>
              <w:pStyle w:val="TCTableBody"/>
              <w:spacing w:before="0" w:after="0"/>
            </w:pPr>
            <w:r w:rsidRPr="00936ADF">
              <w:t>2</w:t>
            </w:r>
          </w:p>
        </w:tc>
        <w:tc>
          <w:tcPr>
            <w:tcW w:w="0" w:type="auto"/>
          </w:tcPr>
          <w:p w14:paraId="21B8DF9B" w14:textId="4D0EC263" w:rsidR="004D6386" w:rsidRPr="00936ADF" w:rsidRDefault="004D6386" w:rsidP="001426A0">
            <w:pPr>
              <w:pStyle w:val="TCTableBody"/>
              <w:spacing w:before="0" w:after="0"/>
            </w:pPr>
            <w:r w:rsidRPr="00936ADF">
              <w:t>DMSO (0.1)</w:t>
            </w:r>
          </w:p>
        </w:tc>
        <w:tc>
          <w:tcPr>
            <w:tcW w:w="0" w:type="auto"/>
          </w:tcPr>
          <w:p w14:paraId="4C671426" w14:textId="6529DE8B" w:rsidR="004D6386" w:rsidRPr="00936ADF" w:rsidRDefault="00540250" w:rsidP="001426A0">
            <w:pPr>
              <w:pStyle w:val="TCTableBody"/>
              <w:spacing w:before="0" w:after="0"/>
            </w:pPr>
            <w:r w:rsidRPr="00936ADF">
              <w:t>1.6</w:t>
            </w:r>
          </w:p>
        </w:tc>
        <w:tc>
          <w:tcPr>
            <w:tcW w:w="0" w:type="auto"/>
          </w:tcPr>
          <w:p w14:paraId="297CE3A7" w14:textId="6CCB6E9B" w:rsidR="004D6386" w:rsidRPr="00936ADF" w:rsidRDefault="00BB4AF9" w:rsidP="001426A0">
            <w:pPr>
              <w:pStyle w:val="TCTableBody"/>
              <w:spacing w:before="0" w:after="0"/>
            </w:pPr>
            <w:r w:rsidRPr="00936ADF">
              <w:t>6</w:t>
            </w:r>
            <w:r w:rsidR="00540250" w:rsidRPr="00936ADF">
              <w:t>8.7</w:t>
            </w:r>
          </w:p>
        </w:tc>
        <w:tc>
          <w:tcPr>
            <w:tcW w:w="0" w:type="auto"/>
          </w:tcPr>
          <w:p w14:paraId="37363C16" w14:textId="02EE0CFC" w:rsidR="004D6386" w:rsidRPr="00936ADF" w:rsidRDefault="004D6386" w:rsidP="001426A0">
            <w:pPr>
              <w:pStyle w:val="TCTableBody"/>
              <w:spacing w:before="0" w:after="0"/>
            </w:pPr>
            <w:r w:rsidRPr="00936ADF">
              <w:t>1</w:t>
            </w:r>
            <w:r w:rsidR="00540250" w:rsidRPr="00936ADF">
              <w:t>1.6</w:t>
            </w:r>
          </w:p>
        </w:tc>
        <w:tc>
          <w:tcPr>
            <w:tcW w:w="0" w:type="auto"/>
          </w:tcPr>
          <w:p w14:paraId="36ABD73C" w14:textId="6E058564" w:rsidR="004D6386" w:rsidRPr="00936ADF" w:rsidRDefault="00BB4AF9" w:rsidP="001426A0">
            <w:pPr>
              <w:pStyle w:val="TCTableBody"/>
              <w:spacing w:before="0" w:after="0"/>
            </w:pPr>
            <w:r w:rsidRPr="00936ADF">
              <w:t>6</w:t>
            </w:r>
            <w:r w:rsidR="009B0CA3" w:rsidRPr="00936ADF">
              <w:t>.1</w:t>
            </w:r>
            <w:r w:rsidR="004D6386" w:rsidRPr="00936ADF">
              <w:t xml:space="preserve"> : 1</w:t>
            </w:r>
          </w:p>
        </w:tc>
      </w:tr>
      <w:tr w:rsidR="009D7284" w:rsidRPr="00936ADF" w14:paraId="7973E926" w14:textId="77777777" w:rsidTr="00F5752A">
        <w:tc>
          <w:tcPr>
            <w:tcW w:w="0" w:type="auto"/>
            <w:tcBorders>
              <w:bottom w:val="single" w:sz="4" w:space="0" w:color="auto"/>
            </w:tcBorders>
          </w:tcPr>
          <w:p w14:paraId="5FA5D6ED" w14:textId="77777777" w:rsidR="004D6386" w:rsidRPr="00936ADF" w:rsidRDefault="004D6386" w:rsidP="001426A0">
            <w:pPr>
              <w:pStyle w:val="TCTableBody"/>
              <w:spacing w:before="0" w:after="0"/>
            </w:pPr>
            <w:r w:rsidRPr="00936ADF">
              <w:t>3</w:t>
            </w:r>
          </w:p>
        </w:tc>
        <w:tc>
          <w:tcPr>
            <w:tcW w:w="0" w:type="auto"/>
            <w:tcBorders>
              <w:bottom w:val="single" w:sz="4" w:space="0" w:color="auto"/>
            </w:tcBorders>
          </w:tcPr>
          <w:p w14:paraId="783324C6" w14:textId="1E07B42E" w:rsidR="004D6386" w:rsidRPr="00936ADF" w:rsidRDefault="004D6386" w:rsidP="001426A0">
            <w:pPr>
              <w:pStyle w:val="TCTableBody"/>
              <w:spacing w:before="0" w:after="0"/>
            </w:pPr>
            <w:r w:rsidRPr="00936ADF">
              <w:t>DMSO (5)</w:t>
            </w:r>
          </w:p>
        </w:tc>
        <w:tc>
          <w:tcPr>
            <w:tcW w:w="0" w:type="auto"/>
            <w:tcBorders>
              <w:bottom w:val="single" w:sz="4" w:space="0" w:color="auto"/>
            </w:tcBorders>
          </w:tcPr>
          <w:p w14:paraId="5D16C899" w14:textId="7B65AC9E" w:rsidR="004D6386" w:rsidRPr="00936ADF" w:rsidRDefault="00BB4AF9" w:rsidP="001426A0">
            <w:pPr>
              <w:pStyle w:val="TCTableBody"/>
              <w:spacing w:before="0" w:after="0"/>
            </w:pPr>
            <w:r w:rsidRPr="00936ADF">
              <w:t>7</w:t>
            </w:r>
            <w:r w:rsidR="00540250" w:rsidRPr="00936ADF">
              <w:t>.1</w:t>
            </w:r>
          </w:p>
        </w:tc>
        <w:tc>
          <w:tcPr>
            <w:tcW w:w="0" w:type="auto"/>
            <w:tcBorders>
              <w:bottom w:val="single" w:sz="4" w:space="0" w:color="auto"/>
            </w:tcBorders>
          </w:tcPr>
          <w:p w14:paraId="4E1A7B69" w14:textId="4D038D50" w:rsidR="004D6386" w:rsidRPr="00936ADF" w:rsidRDefault="00540250" w:rsidP="001426A0">
            <w:pPr>
              <w:pStyle w:val="TCTableBody"/>
              <w:spacing w:before="0" w:after="0"/>
            </w:pPr>
            <w:r w:rsidRPr="00936ADF">
              <w:t>79.8</w:t>
            </w:r>
            <w:r w:rsidR="004D6386" w:rsidRPr="00936ADF">
              <w:t xml:space="preserve"> (</w:t>
            </w:r>
            <w:r w:rsidR="00F007B6" w:rsidRPr="00936ADF">
              <w:t>73</w:t>
            </w:r>
            <w:r w:rsidR="004D6386" w:rsidRPr="00936ADF">
              <w:t>)</w:t>
            </w:r>
          </w:p>
        </w:tc>
        <w:tc>
          <w:tcPr>
            <w:tcW w:w="0" w:type="auto"/>
            <w:tcBorders>
              <w:bottom w:val="single" w:sz="4" w:space="0" w:color="auto"/>
            </w:tcBorders>
          </w:tcPr>
          <w:p w14:paraId="68FD3F36" w14:textId="42626F51" w:rsidR="004D6386" w:rsidRPr="00936ADF" w:rsidRDefault="00540250" w:rsidP="001426A0">
            <w:pPr>
              <w:pStyle w:val="TCTableBody"/>
              <w:spacing w:before="0" w:after="0"/>
            </w:pPr>
            <w:r w:rsidRPr="00936ADF">
              <w:t>3.7</w:t>
            </w:r>
          </w:p>
        </w:tc>
        <w:tc>
          <w:tcPr>
            <w:tcW w:w="0" w:type="auto"/>
            <w:tcBorders>
              <w:bottom w:val="single" w:sz="4" w:space="0" w:color="auto"/>
            </w:tcBorders>
          </w:tcPr>
          <w:p w14:paraId="566EF32D" w14:textId="43A4C182" w:rsidR="004D6386" w:rsidRPr="00936ADF" w:rsidRDefault="004D6386" w:rsidP="001426A0">
            <w:pPr>
              <w:pStyle w:val="TCTableBody"/>
              <w:spacing w:before="0" w:after="0"/>
            </w:pPr>
            <w:r w:rsidRPr="00936ADF">
              <w:t>2</w:t>
            </w:r>
            <w:r w:rsidR="00540250" w:rsidRPr="00936ADF">
              <w:t>3</w:t>
            </w:r>
            <w:r w:rsidRPr="00936ADF">
              <w:t xml:space="preserve"> : 1</w:t>
            </w:r>
          </w:p>
        </w:tc>
      </w:tr>
    </w:tbl>
    <w:p w14:paraId="32F362DA" w14:textId="3A92F932" w:rsidR="004D6386" w:rsidRPr="00936ADF" w:rsidRDefault="004D6386" w:rsidP="004D6386">
      <w:pPr>
        <w:pStyle w:val="FETableFootnote"/>
      </w:pPr>
      <w:r w:rsidRPr="00936ADF">
        <w:rPr>
          <w:i/>
          <w:iCs/>
          <w:vertAlign w:val="superscript"/>
        </w:rPr>
        <w:t>a</w:t>
      </w:r>
      <w:r w:rsidRPr="00936ADF">
        <w:t xml:space="preserve">GC yields calibrated against </w:t>
      </w:r>
      <w:r w:rsidR="00A140A8" w:rsidRPr="00936ADF">
        <w:t xml:space="preserve">undecane </w:t>
      </w:r>
      <w:r w:rsidRPr="00936ADF">
        <w:t>as the internal standard</w:t>
      </w:r>
      <w:r w:rsidR="000A1436" w:rsidRPr="00936ADF">
        <w:t xml:space="preserve">, assuming the same response factor for </w:t>
      </w:r>
      <w:r w:rsidR="000A1436" w:rsidRPr="00936ADF">
        <w:rPr>
          <w:b/>
          <w:bCs/>
        </w:rPr>
        <w:t xml:space="preserve">13a-C2 </w:t>
      </w:r>
      <w:r w:rsidR="000A1436" w:rsidRPr="00936ADF">
        <w:t xml:space="preserve">and </w:t>
      </w:r>
      <w:r w:rsidR="000A1436" w:rsidRPr="00936ADF">
        <w:rPr>
          <w:b/>
          <w:bCs/>
        </w:rPr>
        <w:t>13a-C4</w:t>
      </w:r>
      <w:r w:rsidR="000A1436" w:rsidRPr="00936ADF">
        <w:t xml:space="preserve">.  </w:t>
      </w:r>
      <w:r w:rsidR="00A140A8" w:rsidRPr="00936ADF">
        <w:t xml:space="preserve">Average of three trials. </w:t>
      </w:r>
      <w:r w:rsidRPr="00936ADF">
        <w:t xml:space="preserve">Isolated yield in parentheses. </w:t>
      </w:r>
      <w:r w:rsidR="00F007B6" w:rsidRPr="00936ADF">
        <w:t xml:space="preserve">PMP = </w:t>
      </w:r>
      <w:r w:rsidR="00F007B6" w:rsidRPr="00936ADF">
        <w:rPr>
          <w:i/>
          <w:iCs/>
        </w:rPr>
        <w:t>para</w:t>
      </w:r>
      <w:r w:rsidR="00F007B6" w:rsidRPr="00936ADF">
        <w:t>-methoxyphenyl.</w:t>
      </w:r>
    </w:p>
    <w:p w14:paraId="21997009" w14:textId="00A4ED74" w:rsidR="006F5280" w:rsidRPr="00936ADF" w:rsidRDefault="006F5280" w:rsidP="00866E72">
      <w:pPr>
        <w:pStyle w:val="TAMainText"/>
      </w:pPr>
      <w:r w:rsidRPr="00936ADF">
        <w:t>Finally, a third implication of this work is that coordinating additives should be avoided i</w:t>
      </w:r>
      <w:r w:rsidR="009A23F2" w:rsidRPr="00936ADF">
        <w:t>n</w:t>
      </w:r>
      <w:r w:rsidRPr="00936ADF">
        <w:t xml:space="preserve"> </w:t>
      </w:r>
      <w:r w:rsidR="00075384" w:rsidRPr="00936ADF">
        <w:t>catalyst-transfer</w:t>
      </w:r>
      <w:r w:rsidR="00CE620D" w:rsidRPr="00936ADF">
        <w:t xml:space="preserve"> polymerization</w:t>
      </w:r>
      <w:r w:rsidR="009A23F2" w:rsidRPr="00936ADF">
        <w:t>s</w:t>
      </w:r>
      <w:r w:rsidR="00CE620D" w:rsidRPr="00936ADF">
        <w:t>.</w:t>
      </w:r>
      <w:r w:rsidR="00931116" w:rsidRPr="00936ADF">
        <w:rPr>
          <w:vertAlign w:val="superscript"/>
        </w:rPr>
        <w:t>45</w:t>
      </w:r>
      <w:r w:rsidR="00675EA8" w:rsidRPr="00936ADF">
        <w:t xml:space="preserve"> The chain-growth mechanism relies on Pd remaining coordinated to the </w:t>
      </w:r>
      <w:r w:rsidR="00675EA8" w:rsidRPr="00936ADF">
        <w:rPr>
          <w:rFonts w:ascii="Symbol" w:hAnsi="Symbol"/>
        </w:rPr>
        <w:t>p</w:t>
      </w:r>
      <w:r w:rsidR="00675EA8" w:rsidRPr="00936ADF">
        <w:t>-system of the growing polymer chain after each cross-coupling iteration.</w:t>
      </w:r>
      <w:r w:rsidR="00CE620D" w:rsidRPr="00936ADF">
        <w:t xml:space="preserve"> </w:t>
      </w:r>
      <w:r w:rsidR="003F5872" w:rsidRPr="00936ADF">
        <w:t>Pd-</w:t>
      </w:r>
      <w:r w:rsidR="00CE620D" w:rsidRPr="00936ADF">
        <w:t>PEPPSI</w:t>
      </w:r>
      <w:r w:rsidR="003F5872" w:rsidRPr="00936ADF">
        <w:t>-NHC complexes have been studied for catalyst-transfer polymerization to synthesize conjugated polymers.</w:t>
      </w:r>
      <w:r w:rsidR="00931116" w:rsidRPr="00936ADF">
        <w:rPr>
          <w:vertAlign w:val="superscript"/>
        </w:rPr>
        <w:t>20</w:t>
      </w:r>
      <w:r w:rsidR="003F5872" w:rsidRPr="00936ADF">
        <w:t xml:space="preserve"> </w:t>
      </w:r>
      <w:r w:rsidR="005F1F4D" w:rsidRPr="00936ADF">
        <w:t>Our</w:t>
      </w:r>
      <w:r w:rsidR="003F5872" w:rsidRPr="00936ADF">
        <w:t xml:space="preserve"> data indicate that small quantities of pyridines can </w:t>
      </w:r>
      <w:r w:rsidR="00B90FC6" w:rsidRPr="00936ADF">
        <w:t>displace</w:t>
      </w:r>
      <w:r w:rsidR="003F5872" w:rsidRPr="00936ADF">
        <w:t xml:space="preserve"> Pd from </w:t>
      </w:r>
      <w:r w:rsidR="00B90FC6" w:rsidRPr="00936ADF">
        <w:t xml:space="preserve">the </w:t>
      </w:r>
      <w:r w:rsidR="00B90FC6" w:rsidRPr="00936ADF">
        <w:rPr>
          <w:rFonts w:ascii="Symbol" w:hAnsi="Symbol"/>
        </w:rPr>
        <w:t>p</w:t>
      </w:r>
      <w:r w:rsidR="00B90FC6" w:rsidRPr="00936ADF">
        <w:t xml:space="preserve">-system of </w:t>
      </w:r>
      <w:r w:rsidR="003F5872" w:rsidRPr="00936ADF">
        <w:t xml:space="preserve">a cross-coupled product (Table 1, entries 4-5). To </w:t>
      </w:r>
      <w:r w:rsidR="006A5401" w:rsidRPr="00936ADF">
        <w:t>determine</w:t>
      </w:r>
      <w:r w:rsidR="003F5872" w:rsidRPr="00936ADF">
        <w:t xml:space="preserve"> whether 3-chloropyridine</w:t>
      </w:r>
      <w:r w:rsidR="00EE113D" w:rsidRPr="00936ADF">
        <w:t>, the “throwaway”</w:t>
      </w:r>
      <w:r w:rsidR="003F5872" w:rsidRPr="00936ADF">
        <w:t xml:space="preserve"> ligand of </w:t>
      </w:r>
      <w:r w:rsidR="00B90FC6" w:rsidRPr="00936ADF">
        <w:t xml:space="preserve">these </w:t>
      </w:r>
      <w:r w:rsidR="003F5872" w:rsidRPr="00936ADF">
        <w:t>PEPPSI</w:t>
      </w:r>
      <w:r w:rsidR="00EE113D" w:rsidRPr="00936ADF">
        <w:t xml:space="preserve"> catalysts,</w:t>
      </w:r>
      <w:r w:rsidR="003F5872" w:rsidRPr="00936ADF">
        <w:t xml:space="preserve"> </w:t>
      </w:r>
      <w:r w:rsidR="006A5401" w:rsidRPr="00936ADF">
        <w:t xml:space="preserve">could </w:t>
      </w:r>
      <w:r w:rsidR="003F5872" w:rsidRPr="00936ADF">
        <w:t xml:space="preserve">influence selectivity, we </w:t>
      </w:r>
      <w:r w:rsidR="00D12531" w:rsidRPr="00936ADF">
        <w:t xml:space="preserve">evaluated </w:t>
      </w:r>
      <w:r w:rsidR="00EE113D" w:rsidRPr="00936ADF">
        <w:t>Pd-PEPPSI-IPr</w:t>
      </w:r>
      <w:r w:rsidR="00D12531" w:rsidRPr="00936ADF">
        <w:t xml:space="preserve"> for the Suzuki cross-coupling of </w:t>
      </w:r>
      <w:r w:rsidR="00D12531" w:rsidRPr="00936ADF">
        <w:rPr>
          <w:b/>
          <w:bCs/>
        </w:rPr>
        <w:t>1</w:t>
      </w:r>
      <w:r w:rsidR="00D12531" w:rsidRPr="00936ADF">
        <w:t xml:space="preserve"> (Scheme 4). Indeed, </w:t>
      </w:r>
      <w:r w:rsidR="00EE113D" w:rsidRPr="00936ADF">
        <w:t>the PEPPSI catalyst</w:t>
      </w:r>
      <w:r w:rsidR="00D12531" w:rsidRPr="00936ADF">
        <w:t xml:space="preserve"> results in somewhat lower selectivity for diarylation compared to the Hazari-type Pd-IPr precatalyst or [Pd(IPr)Cl</w:t>
      </w:r>
      <w:r w:rsidR="00D12531" w:rsidRPr="00936ADF">
        <w:rPr>
          <w:vertAlign w:val="subscript"/>
        </w:rPr>
        <w:t>2</w:t>
      </w:r>
      <w:r w:rsidR="00D12531" w:rsidRPr="00936ADF">
        <w:t>]</w:t>
      </w:r>
      <w:r w:rsidR="00D12531" w:rsidRPr="00936ADF">
        <w:rPr>
          <w:vertAlign w:val="subscript"/>
        </w:rPr>
        <w:t>2</w:t>
      </w:r>
      <w:r w:rsidR="00D12531" w:rsidRPr="00936ADF">
        <w:t xml:space="preserve">. </w:t>
      </w:r>
      <w:r w:rsidR="0033121A" w:rsidRPr="00936ADF">
        <w:t>This suggest</w:t>
      </w:r>
      <w:r w:rsidR="00675EA8" w:rsidRPr="00936ADF">
        <w:t>s</w:t>
      </w:r>
      <w:r w:rsidR="0033121A" w:rsidRPr="00936ADF">
        <w:t xml:space="preserve"> that</w:t>
      </w:r>
      <w:r w:rsidR="00D12531" w:rsidRPr="00936ADF">
        <w:t xml:space="preserve"> chain-growth behavior in cross-coupling polymerization </w:t>
      </w:r>
      <w:r w:rsidR="00675EA8" w:rsidRPr="00936ADF">
        <w:t>might</w:t>
      </w:r>
      <w:r w:rsidR="0033121A" w:rsidRPr="00936ADF">
        <w:t xml:space="preserve"> be modestly improved </w:t>
      </w:r>
      <w:r w:rsidR="00D12531" w:rsidRPr="00936ADF">
        <w:t xml:space="preserve">by choosing a Pd-NHC precatalyst supported by a ligand </w:t>
      </w:r>
      <w:r w:rsidR="006A5401" w:rsidRPr="00936ADF">
        <w:t xml:space="preserve">that is less coordinating </w:t>
      </w:r>
      <w:r w:rsidR="00D12531" w:rsidRPr="00936ADF">
        <w:t>than 3-chloropyridine</w:t>
      </w:r>
      <w:r w:rsidR="005F1F4D" w:rsidRPr="00936ADF">
        <w:t xml:space="preserve">, as </w:t>
      </w:r>
      <w:r w:rsidR="009257D3" w:rsidRPr="00936ADF">
        <w:t>predicted</w:t>
      </w:r>
      <w:r w:rsidR="005F1F4D" w:rsidRPr="00936ADF">
        <w:t xml:space="preserve"> by McNeil</w:t>
      </w:r>
      <w:r w:rsidR="00D12531" w:rsidRPr="00936ADF">
        <w:t>.</w:t>
      </w:r>
      <w:r w:rsidR="00931116" w:rsidRPr="00936ADF">
        <w:rPr>
          <w:vertAlign w:val="superscript"/>
        </w:rPr>
        <w:t>19,46</w:t>
      </w:r>
      <w:r w:rsidR="005F1F4D" w:rsidRPr="00936ADF">
        <w:rPr>
          <w:vertAlign w:val="superscript"/>
        </w:rPr>
        <w:t xml:space="preserve"> </w:t>
      </w:r>
    </w:p>
    <w:p w14:paraId="4F30F291" w14:textId="4839D9F1" w:rsidR="00D12531" w:rsidRPr="00936ADF" w:rsidRDefault="00D12531" w:rsidP="00D12531">
      <w:pPr>
        <w:pStyle w:val="VCSchemeTitle"/>
      </w:pPr>
      <w:r w:rsidRPr="00936ADF">
        <w:t>Scheme 4.</w:t>
      </w:r>
      <w:r w:rsidR="00A140A8" w:rsidRPr="00936ADF">
        <w:t xml:space="preserve"> </w:t>
      </w:r>
      <w:r w:rsidR="00675EA8" w:rsidRPr="00936ADF">
        <w:t>3-Chloropyridine Ligand from Pd-PEPPSI-IPr Influences Selectivity for Monoarylation versus Diarylation</w:t>
      </w:r>
    </w:p>
    <w:p w14:paraId="423A3C88" w14:textId="4C74EA52" w:rsidR="00D12531" w:rsidRPr="00936ADF" w:rsidRDefault="007F2A52" w:rsidP="00214870">
      <w:pPr>
        <w:pStyle w:val="TAMainText"/>
        <w:ind w:firstLine="0"/>
      </w:pPr>
      <w:r w:rsidRPr="00936ADF">
        <w:rPr>
          <w:noProof/>
        </w:rPr>
        <w:drawing>
          <wp:inline distT="0" distB="0" distL="0" distR="0" wp14:anchorId="3C4E1CC9" wp14:editId="5BC18899">
            <wp:extent cx="3044825" cy="975995"/>
            <wp:effectExtent l="0" t="0" r="3175" b="1905"/>
            <wp:docPr id="18408224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0822471" name=""/>
                    <pic:cNvPicPr/>
                  </pic:nvPicPr>
                  <pic:blipFill>
                    <a:blip r:embed="rId21"/>
                    <a:stretch>
                      <a:fillRect/>
                    </a:stretch>
                  </pic:blipFill>
                  <pic:spPr>
                    <a:xfrm>
                      <a:off x="0" y="0"/>
                      <a:ext cx="3044825" cy="975995"/>
                    </a:xfrm>
                    <a:prstGeom prst="rect">
                      <a:avLst/>
                    </a:prstGeom>
                  </pic:spPr>
                </pic:pic>
              </a:graphicData>
            </a:graphic>
          </wp:inline>
        </w:drawing>
      </w:r>
    </w:p>
    <w:p w14:paraId="1C1F0075" w14:textId="158B71CD" w:rsidR="007058BF" w:rsidRPr="00936ADF" w:rsidRDefault="00C2083F" w:rsidP="007058BF">
      <w:pPr>
        <w:pStyle w:val="TESectionHeading"/>
      </w:pPr>
      <w:r w:rsidRPr="00936ADF">
        <w:t>Conclusions</w:t>
      </w:r>
    </w:p>
    <w:p w14:paraId="35FFC850" w14:textId="2A354448" w:rsidR="00C2083F" w:rsidRPr="00936ADF" w:rsidRDefault="00A03B35" w:rsidP="00866E72">
      <w:pPr>
        <w:pStyle w:val="TAMainText"/>
      </w:pPr>
      <w:r w:rsidRPr="00936ADF">
        <w:t>This work explore</w:t>
      </w:r>
      <w:r w:rsidR="00EE6A3B" w:rsidRPr="00936ADF">
        <w:t>s</w:t>
      </w:r>
      <w:r w:rsidRPr="00936ADF">
        <w:t xml:space="preserve"> the mechanistic origin of </w:t>
      </w:r>
      <w:r w:rsidR="00EE6A3B" w:rsidRPr="00936ADF">
        <w:t xml:space="preserve">mono- and diarylation </w:t>
      </w:r>
      <w:r w:rsidRPr="00936ADF">
        <w:t>in Pd-catalyzed Suzuki cross-couplings of dihalogenated arenes</w:t>
      </w:r>
      <w:r w:rsidR="006D0B3C" w:rsidRPr="00936ADF">
        <w:t xml:space="preserve"> in the presence of bulky ligands</w:t>
      </w:r>
      <w:r w:rsidRPr="00936ADF">
        <w:t>. The</w:t>
      </w:r>
      <w:r w:rsidR="00786790" w:rsidRPr="00936ADF">
        <w:t xml:space="preserve"> results indicate that</w:t>
      </w:r>
      <w:r w:rsidR="006D0B3C" w:rsidRPr="00936ADF">
        <w:t xml:space="preserve"> monoarylated product</w:t>
      </w:r>
      <w:r w:rsidR="00EE6A3B" w:rsidRPr="00936ADF">
        <w:t>s</w:t>
      </w:r>
      <w:r w:rsidR="006D0B3C" w:rsidRPr="00936ADF">
        <w:t xml:space="preserve"> </w:t>
      </w:r>
      <w:r w:rsidR="00EE6A3B" w:rsidRPr="00936ADF">
        <w:t>are</w:t>
      </w:r>
      <w:r w:rsidR="006D0B3C" w:rsidRPr="00936ADF">
        <w:t xml:space="preserve"> released from Pd by a concerted ligand exchange step.</w:t>
      </w:r>
      <w:r w:rsidR="00C2083F" w:rsidRPr="00936ADF">
        <w:t xml:space="preserve"> </w:t>
      </w:r>
      <w:r w:rsidR="006D0B3C" w:rsidRPr="00936ADF">
        <w:t>I</w:t>
      </w:r>
      <w:r w:rsidR="00C2083F" w:rsidRPr="00936ADF">
        <w:t xml:space="preserve">n the absence of </w:t>
      </w:r>
      <w:r w:rsidR="00C2083F" w:rsidRPr="00936ADF">
        <w:t xml:space="preserve">other coordinating additives or solvents, a second molecule of </w:t>
      </w:r>
      <w:r w:rsidR="009A04C7" w:rsidRPr="00936ADF">
        <w:t>dichloroarene</w:t>
      </w:r>
      <w:r w:rsidR="00C2083F" w:rsidRPr="00936ADF">
        <w:t xml:space="preserve"> serves as </w:t>
      </w:r>
      <w:r w:rsidR="00BE4F86" w:rsidRPr="00936ADF">
        <w:t>the</w:t>
      </w:r>
      <w:r w:rsidR="00C2083F" w:rsidRPr="00936ADF">
        <w:t xml:space="preserve"> incoming ligand to displace Pd from the mono-cross-coupled product. Because this mechanism involves a bimolecular transition state, its rate is heavily influenced by sterics. </w:t>
      </w:r>
      <w:r w:rsidRPr="00936ADF">
        <w:t xml:space="preserve">Thus, displacement of Pd from the mono-cross-coupled product becomes disfavored with extremely bulky ligands or with additional substituents on the substrate, leading to an increase in diarylation due to competing oxidative addition at the remaining halide. We find no evidence for </w:t>
      </w:r>
      <w:r w:rsidR="002A62D5" w:rsidRPr="00936ADF">
        <w:t xml:space="preserve">release of mono-cross-coupled product by </w:t>
      </w:r>
      <w:r w:rsidR="00BE4F86" w:rsidRPr="00936ADF">
        <w:t xml:space="preserve">direct </w:t>
      </w:r>
      <w:r w:rsidRPr="00936ADF">
        <w:t xml:space="preserve">dissociation of </w:t>
      </w:r>
      <w:r w:rsidR="00B40250" w:rsidRPr="00936ADF">
        <w:t>Pd</w:t>
      </w:r>
      <w:r w:rsidRPr="00936ADF">
        <w:t xml:space="preserve"> as 12</w:t>
      </w:r>
      <w:r w:rsidRPr="00936ADF">
        <w:rPr>
          <w:i/>
          <w:iCs/>
        </w:rPr>
        <w:t>e</w:t>
      </w:r>
      <w:r w:rsidRPr="00936ADF">
        <w:rPr>
          <w:vertAlign w:val="superscript"/>
        </w:rPr>
        <w:t>–</w:t>
      </w:r>
      <w:r w:rsidRPr="00936ADF">
        <w:t xml:space="preserve"> PdL. </w:t>
      </w:r>
    </w:p>
    <w:p w14:paraId="485BDFDE" w14:textId="333C7ED7" w:rsidR="007058BF" w:rsidRPr="00936ADF" w:rsidRDefault="00BE4F86" w:rsidP="00866E72">
      <w:pPr>
        <w:pStyle w:val="TAMainText"/>
      </w:pPr>
      <w:r w:rsidRPr="00936ADF">
        <w:t>This</w:t>
      </w:r>
      <w:r w:rsidR="00A03B35" w:rsidRPr="00936ADF">
        <w:t xml:space="preserve"> work suggests several guidelines for </w:t>
      </w:r>
      <w:r w:rsidRPr="00936ADF">
        <w:t>minimizing overfunctionalization</w:t>
      </w:r>
      <w:r w:rsidR="00A03B35" w:rsidRPr="00936ADF">
        <w:t xml:space="preserve"> in cross-couplings of polyhalogenated substrates. First, less hindered ligands should be </w:t>
      </w:r>
      <w:r w:rsidR="00075384" w:rsidRPr="00936ADF">
        <w:t>considered</w:t>
      </w:r>
      <w:r w:rsidR="00A03B35" w:rsidRPr="00936ADF">
        <w:t xml:space="preserve"> when possible. However, bulky ligands ha</w:t>
      </w:r>
      <w:r w:rsidR="00075384" w:rsidRPr="00936ADF">
        <w:t>ve</w:t>
      </w:r>
      <w:r w:rsidR="00A03B35" w:rsidRPr="00936ADF">
        <w:t xml:space="preserve"> been critical to many recent advances in cross-coupling catalysis, and </w:t>
      </w:r>
      <w:r w:rsidR="006A5401" w:rsidRPr="00936ADF">
        <w:t>should not</w:t>
      </w:r>
      <w:r w:rsidR="00A03B35" w:rsidRPr="00936ADF">
        <w:t xml:space="preserve"> necessarily be avoided.</w:t>
      </w:r>
      <w:r w:rsidR="00931116" w:rsidRPr="00936ADF">
        <w:rPr>
          <w:vertAlign w:val="superscript"/>
        </w:rPr>
        <w:t>21</w:t>
      </w:r>
      <w:r w:rsidR="00A03B35" w:rsidRPr="00936ADF">
        <w:t xml:space="preserve"> In these cases, addition of small coordinating additives such as DMSO </w:t>
      </w:r>
      <w:r w:rsidR="0033121A" w:rsidRPr="00936ADF">
        <w:t>may be able to</w:t>
      </w:r>
      <w:r w:rsidR="00A03B35" w:rsidRPr="00936ADF">
        <w:t xml:space="preserve"> suppress overfunctionalization. </w:t>
      </w:r>
      <w:r w:rsidR="002A62D5" w:rsidRPr="00936ADF">
        <w:t xml:space="preserve">Furthermore, overfunctionalization </w:t>
      </w:r>
      <w:r w:rsidR="009257D3" w:rsidRPr="00936ADF">
        <w:t>is</w:t>
      </w:r>
      <w:r w:rsidR="002A62D5" w:rsidRPr="00936ADF">
        <w:t xml:space="preserve"> more </w:t>
      </w:r>
      <w:r w:rsidR="0033121A" w:rsidRPr="00936ADF">
        <w:t>likely</w:t>
      </w:r>
      <w:r w:rsidR="002A62D5" w:rsidRPr="00936ADF">
        <w:t xml:space="preserve"> for more highly substituted substrates</w:t>
      </w:r>
      <w:r w:rsidR="00075384" w:rsidRPr="00936ADF">
        <w:t>,</w:t>
      </w:r>
      <w:r w:rsidR="002A62D5" w:rsidRPr="00936ADF">
        <w:t xml:space="preserve"> due to </w:t>
      </w:r>
      <w:r w:rsidR="009257D3" w:rsidRPr="00936ADF">
        <w:t>slower</w:t>
      </w:r>
      <w:r w:rsidR="002A62D5" w:rsidRPr="00936ADF">
        <w:t xml:space="preserve"> displacement of Pd from the mono-cross-coupled product</w:t>
      </w:r>
      <w:r w:rsidR="00075384" w:rsidRPr="00936ADF">
        <w:t>,</w:t>
      </w:r>
      <w:r w:rsidR="002A62D5" w:rsidRPr="00936ADF">
        <w:t xml:space="preserve"> and for substrates </w:t>
      </w:r>
      <w:r w:rsidR="009A04C7" w:rsidRPr="00936ADF">
        <w:t>bearing</w:t>
      </w:r>
      <w:r w:rsidR="002A62D5" w:rsidRPr="00936ADF">
        <w:t xml:space="preserve"> heavier halides due to faster oxidative addition. </w:t>
      </w:r>
      <w:r w:rsidR="0033121A" w:rsidRPr="00936ADF">
        <w:t>If ringwalking is desired for exhaustive cross-coupling or catalyst-transfer polymerization, avoiding coordinating additives</w:t>
      </w:r>
      <w:r w:rsidR="006A5401" w:rsidRPr="00936ADF">
        <w:t xml:space="preserve"> or “throwaway” ligands</w:t>
      </w:r>
      <w:r w:rsidR="0033121A" w:rsidRPr="00936ADF">
        <w:t xml:space="preserve"> may be beneficial.</w:t>
      </w:r>
    </w:p>
    <w:p w14:paraId="79548E1F" w14:textId="77777777" w:rsidR="00B421C3" w:rsidRPr="00936ADF" w:rsidRDefault="00E71831" w:rsidP="00D924F3">
      <w:pPr>
        <w:pStyle w:val="AuthorInformationTitle"/>
      </w:pPr>
      <w:r w:rsidRPr="00936ADF">
        <w:t>AUTHOR INFORMATION</w:t>
      </w:r>
    </w:p>
    <w:p w14:paraId="3CAD9E83" w14:textId="77777777" w:rsidR="00BE4F86" w:rsidRPr="00936ADF" w:rsidRDefault="00BE4F86" w:rsidP="00BE4F86">
      <w:pPr>
        <w:pStyle w:val="FAAuthorInfoSubtitle"/>
      </w:pPr>
      <w:r w:rsidRPr="00936ADF">
        <w:t>Corresponding Author</w:t>
      </w:r>
    </w:p>
    <w:p w14:paraId="6BA6E6F9" w14:textId="77777777" w:rsidR="00BE4F86" w:rsidRPr="00936ADF" w:rsidRDefault="00BE4F86" w:rsidP="00BE4F86">
      <w:pPr>
        <w:pStyle w:val="StyleFACorrespondingAuthorFootnote7pt"/>
        <w:rPr>
          <w:rStyle w:val="FAAuthorInfoSubtitleChar"/>
        </w:rPr>
      </w:pPr>
      <w:r w:rsidRPr="00936ADF">
        <w:t>* Email: sharon.neufeldt@montana.edu.</w:t>
      </w:r>
      <w:r w:rsidRPr="00936ADF">
        <w:rPr>
          <w:rStyle w:val="FAAuthorInfoSubtitleChar"/>
        </w:rPr>
        <w:t xml:space="preserve"> </w:t>
      </w:r>
    </w:p>
    <w:p w14:paraId="7CF7C10F" w14:textId="77777777" w:rsidR="00BE4F86" w:rsidRPr="00936ADF" w:rsidRDefault="00BE4F86" w:rsidP="00BE4F86">
      <w:pPr>
        <w:pStyle w:val="FAAuthorInfoSubtitle"/>
      </w:pPr>
      <w:r w:rsidRPr="00936ADF">
        <w:t>Author Contributions</w:t>
      </w:r>
    </w:p>
    <w:p w14:paraId="47B65E26" w14:textId="77777777" w:rsidR="00BE4F86" w:rsidRPr="00936ADF" w:rsidRDefault="00BE4F86" w:rsidP="00BE4F86">
      <w:pPr>
        <w:pStyle w:val="StyleFACorrespondingAuthorFootnote7pt"/>
      </w:pPr>
      <w:r w:rsidRPr="00936ADF">
        <w:rPr>
          <w:rFonts w:ascii="Times New Roman" w:hAnsi="Times New Roman"/>
        </w:rPr>
        <w:t>‡</w:t>
      </w:r>
      <w:r w:rsidRPr="00936ADF">
        <w:t>These authors contributed equally.</w:t>
      </w:r>
    </w:p>
    <w:p w14:paraId="3A46C1D4" w14:textId="77777777" w:rsidR="00BE4F86" w:rsidRPr="00936ADF" w:rsidRDefault="00BE4F86" w:rsidP="00BE4F86">
      <w:pPr>
        <w:pStyle w:val="FAAuthorInfoSubtitle"/>
      </w:pPr>
      <w:r w:rsidRPr="00936ADF">
        <w:t>ORCID</w:t>
      </w:r>
    </w:p>
    <w:p w14:paraId="4786BCAE" w14:textId="32D9AC90" w:rsidR="00BE4F86" w:rsidRPr="00936ADF" w:rsidRDefault="00BE4F86" w:rsidP="00BE4F86">
      <w:pPr>
        <w:pStyle w:val="StyleFACorrespondingAuthorFootnote7pt"/>
        <w:rPr>
          <w:rStyle w:val="FAAuthorInfoSubtitleChar"/>
        </w:rPr>
      </w:pPr>
      <w:r w:rsidRPr="00936ADF">
        <w:t>Nathaniel G. Larson: 0000-0002-7631-3332; Jacob P. Norman: 0000-0001-8676-6178; Sharon R. Neufeldt: 0000-0001-7995-3995.</w:t>
      </w:r>
    </w:p>
    <w:p w14:paraId="170130D0" w14:textId="77777777" w:rsidR="00BE4F86" w:rsidRPr="00936ADF" w:rsidRDefault="00BE4F86" w:rsidP="00BE4F86">
      <w:pPr>
        <w:pStyle w:val="StyleFACorrespondingAuthorFootnote7pt"/>
      </w:pPr>
      <w:r w:rsidRPr="00936ADF">
        <w:rPr>
          <w:rStyle w:val="FAAuthorInfoSubtitleChar"/>
        </w:rPr>
        <w:t>Notes</w:t>
      </w:r>
      <w:r w:rsidRPr="00936ADF">
        <w:rPr>
          <w:rStyle w:val="FAAuthorInfoSubtitleChar"/>
        </w:rPr>
        <w:br/>
      </w:r>
      <w:r w:rsidRPr="00936ADF">
        <w:rPr>
          <w:rFonts w:ascii="Times New Roman" w:hAnsi="Times New Roman"/>
        </w:rPr>
        <w:t>T</w:t>
      </w:r>
      <w:r w:rsidRPr="00936ADF">
        <w:t>he authors declare no competing financial interest.</w:t>
      </w:r>
    </w:p>
    <w:p w14:paraId="3B3379AA" w14:textId="77777777" w:rsidR="00F95B72" w:rsidRPr="00936ADF" w:rsidRDefault="00F95B72" w:rsidP="00F95B72">
      <w:pPr>
        <w:pStyle w:val="TESupportingInfoTitle"/>
      </w:pPr>
      <w:r w:rsidRPr="00936ADF">
        <w:t xml:space="preserve">ASSOCIATED CONTENT </w:t>
      </w:r>
    </w:p>
    <w:p w14:paraId="40CF3ABC" w14:textId="77777777" w:rsidR="00F95B72" w:rsidRPr="00936ADF" w:rsidRDefault="00F95B72" w:rsidP="00F95B72">
      <w:pPr>
        <w:pStyle w:val="FAAuthorInfoSubtitle"/>
      </w:pPr>
      <w:r w:rsidRPr="00936ADF">
        <w:t>Supporting Information</w:t>
      </w:r>
    </w:p>
    <w:p w14:paraId="690D1F2D" w14:textId="77777777" w:rsidR="00F95B72" w:rsidRPr="00936ADF" w:rsidRDefault="00F95B72" w:rsidP="00F95B72">
      <w:pPr>
        <w:pStyle w:val="TESupportingInformation"/>
      </w:pPr>
      <w:r w:rsidRPr="00936ADF">
        <w:t>The Supporting Information is available free of charge on the ACS Publications website.</w:t>
      </w:r>
    </w:p>
    <w:p w14:paraId="3771FC3B" w14:textId="77777777" w:rsidR="00F95B72" w:rsidRPr="00936ADF" w:rsidRDefault="00F95B72" w:rsidP="00F95B72">
      <w:pPr>
        <w:pStyle w:val="TESupportingInformation"/>
      </w:pPr>
    </w:p>
    <w:p w14:paraId="2AE63914" w14:textId="77777777" w:rsidR="00F95B72" w:rsidRPr="00936ADF" w:rsidRDefault="00F95B72" w:rsidP="00F95B72">
      <w:pPr>
        <w:pStyle w:val="TESupportingInformation"/>
      </w:pPr>
      <w:r w:rsidRPr="00936ADF">
        <w:t xml:space="preserve">Experimental and computational details, NMR spectra, and calculated energies (PDF) </w:t>
      </w:r>
    </w:p>
    <w:p w14:paraId="5D287F58" w14:textId="77777777" w:rsidR="00F95B72" w:rsidRPr="00936ADF" w:rsidRDefault="00F95B72" w:rsidP="00F95B72">
      <w:pPr>
        <w:pStyle w:val="TESupportingInformation"/>
      </w:pPr>
    </w:p>
    <w:p w14:paraId="0DEF94FE" w14:textId="1C8B929D" w:rsidR="00F95B72" w:rsidRPr="00936ADF" w:rsidRDefault="00F95B72" w:rsidP="00F95B72">
      <w:pPr>
        <w:pStyle w:val="TESupportingInformation"/>
      </w:pPr>
      <w:r w:rsidRPr="00936ADF">
        <w:t>Cartesian coordinates of minimum-energy calculated structures (XYZ)</w:t>
      </w:r>
    </w:p>
    <w:p w14:paraId="2C774BAF" w14:textId="77777777" w:rsidR="00B421C3" w:rsidRPr="00936ADF" w:rsidRDefault="00E71831" w:rsidP="00D924F3">
      <w:pPr>
        <w:pStyle w:val="TDAckTitle"/>
      </w:pPr>
      <w:r w:rsidRPr="00936ADF">
        <w:t xml:space="preserve">ACKNOWLEDGMENT </w:t>
      </w:r>
    </w:p>
    <w:p w14:paraId="18C2EE70" w14:textId="490FE875" w:rsidR="00BE4F86" w:rsidRPr="00936ADF" w:rsidRDefault="00BE4F86" w:rsidP="00BE4F86">
      <w:pPr>
        <w:pStyle w:val="TDAcknowledgments"/>
      </w:pPr>
      <w:r w:rsidRPr="00936ADF">
        <w:t xml:space="preserve">The experimental research reported in this publication was supported by the National Institute Of General Medical Sciences (NIGMS) of the NIH under Award Number R35GM137971. Calculations were performed on Expanse at SDSC and on Bridges2 at PSC through </w:t>
      </w:r>
      <w:r w:rsidR="00FA50F9" w:rsidRPr="00936ADF">
        <w:t>allocation</w:t>
      </w:r>
      <w:r w:rsidRPr="00936ADF">
        <w:t xml:space="preserve"> CHE-</w:t>
      </w:r>
      <w:r w:rsidR="00FA50F9" w:rsidRPr="00936ADF">
        <w:t>230031 from the Advanced Cyberinfrastructure Coordination Ecosystem: Services &amp; Support (ACCESS) program</w:t>
      </w:r>
      <w:r w:rsidRPr="00936ADF">
        <w:t xml:space="preserve">, which is supported by NSF </w:t>
      </w:r>
      <w:r w:rsidR="00FA50F9" w:rsidRPr="00936ADF">
        <w:t xml:space="preserve">grants #2138259, #2138286, #2138307, </w:t>
      </w:r>
      <w:r w:rsidR="00FA50F9" w:rsidRPr="00936ADF">
        <w:lastRenderedPageBreak/>
        <w:t>#2137603, and #2138296</w:t>
      </w:r>
      <w:r w:rsidRPr="00936ADF">
        <w:t xml:space="preserve">. Support for MSU’s NMR Center was provided by the NSF (Grant No. NSF-MRI:CHE-2018388 and NSF-MRI:DBI-1532078), MSU, and the Murdock Charitable Trust Foundation (2015066:MNL). Funding for the mass spectrometry facility was provided in part by NIH NIGMS (P20GM103474 and S10OD28650), the Murdock Charitable Trust Foundation, and MSU. We are grateful to Umicore for </w:t>
      </w:r>
      <w:r w:rsidR="00FA50F9" w:rsidRPr="00936ADF">
        <w:t>gifts</w:t>
      </w:r>
      <w:r w:rsidRPr="00936ADF">
        <w:t xml:space="preserve"> of (</w:t>
      </w:r>
      <w:r w:rsidRPr="00936ADF">
        <w:rPr>
          <w:rFonts w:ascii="Symbol" w:hAnsi="Symbol"/>
        </w:rPr>
        <w:t>h</w:t>
      </w:r>
      <w:r w:rsidRPr="00936ADF">
        <w:rPr>
          <w:vertAlign w:val="superscript"/>
        </w:rPr>
        <w:t>3</w:t>
      </w:r>
      <w:r w:rsidRPr="00936ADF">
        <w:t>-1-</w:t>
      </w:r>
      <w:r w:rsidRPr="00936ADF">
        <w:rPr>
          <w:i/>
          <w:iCs/>
          <w:vertAlign w:val="superscript"/>
        </w:rPr>
        <w:t>t</w:t>
      </w:r>
      <w:r w:rsidRPr="00936ADF">
        <w:t>Bu-indenyl)</w:t>
      </w:r>
      <w:r w:rsidRPr="00936ADF">
        <w:rPr>
          <w:vertAlign w:val="subscript"/>
        </w:rPr>
        <w:t>2</w:t>
      </w:r>
      <w:r w:rsidRPr="00936ADF">
        <w:t>(</w:t>
      </w:r>
      <w:r w:rsidRPr="00936ADF">
        <w:rPr>
          <w:rFonts w:ascii="Symbol" w:hAnsi="Symbol"/>
        </w:rPr>
        <w:t>m</w:t>
      </w:r>
      <w:r w:rsidRPr="00936ADF">
        <w:t>-Cl)</w:t>
      </w:r>
      <w:r w:rsidRPr="00936ADF">
        <w:rPr>
          <w:vertAlign w:val="subscript"/>
        </w:rPr>
        <w:t>2</w:t>
      </w:r>
      <w:r w:rsidRPr="00936ADF">
        <w:t>Pd</w:t>
      </w:r>
      <w:r w:rsidRPr="00936ADF">
        <w:rPr>
          <w:vertAlign w:val="subscript"/>
        </w:rPr>
        <w:t>2</w:t>
      </w:r>
      <w:r w:rsidR="00FA50F9" w:rsidRPr="00936ADF">
        <w:t>,</w:t>
      </w:r>
      <w:r w:rsidRPr="00936ADF">
        <w:t xml:space="preserve"> (</w:t>
      </w:r>
      <w:r w:rsidRPr="00936ADF">
        <w:rPr>
          <w:rFonts w:ascii="Symbol" w:hAnsi="Symbol"/>
        </w:rPr>
        <w:t>h</w:t>
      </w:r>
      <w:r w:rsidRPr="00936ADF">
        <w:rPr>
          <w:vertAlign w:val="superscript"/>
        </w:rPr>
        <w:t>3</w:t>
      </w:r>
      <w:r w:rsidRPr="00936ADF">
        <w:t>-1-</w:t>
      </w:r>
      <w:r w:rsidRPr="00936ADF">
        <w:rPr>
          <w:i/>
          <w:iCs/>
          <w:vertAlign w:val="superscript"/>
        </w:rPr>
        <w:t>t</w:t>
      </w:r>
      <w:r w:rsidRPr="00936ADF">
        <w:t>Bu-indenyl)Pd(IPr)(Cl)</w:t>
      </w:r>
      <w:r w:rsidR="00FA50F9" w:rsidRPr="00936ADF">
        <w:t>, and (</w:t>
      </w:r>
      <w:r w:rsidR="00FA50F9" w:rsidRPr="00936ADF">
        <w:rPr>
          <w:rFonts w:ascii="Symbol" w:hAnsi="Symbol"/>
        </w:rPr>
        <w:t>h</w:t>
      </w:r>
      <w:r w:rsidR="00FA50F9" w:rsidRPr="00936ADF">
        <w:rPr>
          <w:vertAlign w:val="superscript"/>
        </w:rPr>
        <w:t>3</w:t>
      </w:r>
      <w:r w:rsidR="00FA50F9" w:rsidRPr="00936ADF">
        <w:t>-1-</w:t>
      </w:r>
      <w:r w:rsidR="00FA50F9" w:rsidRPr="00936ADF">
        <w:rPr>
          <w:i/>
          <w:iCs/>
          <w:vertAlign w:val="superscript"/>
        </w:rPr>
        <w:t>t</w:t>
      </w:r>
      <w:r w:rsidR="00FA50F9" w:rsidRPr="00936ADF">
        <w:t>Bu-indenyl)Pd(IPent)(Cl)</w:t>
      </w:r>
      <w:r w:rsidRPr="00936ADF">
        <w:t>.</w:t>
      </w:r>
    </w:p>
    <w:p w14:paraId="55C4343A" w14:textId="33DCBDF9" w:rsidR="00B421C3" w:rsidRPr="00936ADF" w:rsidRDefault="00E71831" w:rsidP="00FA50F9">
      <w:pPr>
        <w:pStyle w:val="TDAckTitle"/>
      </w:pPr>
      <w:r w:rsidRPr="00936ADF">
        <w:t>REFERENCES</w:t>
      </w:r>
    </w:p>
    <w:p w14:paraId="693675CF" w14:textId="6DE9DBF8" w:rsidR="00212D58" w:rsidRPr="00936ADF" w:rsidRDefault="00212D58" w:rsidP="00356BB2">
      <w:pPr>
        <w:pStyle w:val="TFReferencesSection"/>
      </w:pPr>
      <w:r w:rsidRPr="00936ADF">
        <w:t xml:space="preserve">1. Almond-Thynne, J.; Blakemore, D. C.; Pryde, D. C.; Spivey, A. C. Site-Selective Suzuki-Miyaura Coupling of Heteroaryl Halides – Understanding the Trends for Pharmaceutically Important Classes. </w:t>
      </w:r>
      <w:r w:rsidRPr="00936ADF">
        <w:rPr>
          <w:i/>
          <w:iCs/>
        </w:rPr>
        <w:t>Chem. Sci.</w:t>
      </w:r>
      <w:r w:rsidRPr="00936ADF">
        <w:t xml:space="preserve"> </w:t>
      </w:r>
      <w:r w:rsidRPr="00936ADF">
        <w:rPr>
          <w:b/>
          <w:bCs/>
        </w:rPr>
        <w:t>2017</w:t>
      </w:r>
      <w:r w:rsidRPr="00936ADF">
        <w:t xml:space="preserve">, </w:t>
      </w:r>
      <w:r w:rsidRPr="00936ADF">
        <w:rPr>
          <w:i/>
          <w:iCs/>
        </w:rPr>
        <w:t>8</w:t>
      </w:r>
      <w:r w:rsidRPr="00936ADF">
        <w:t>, 40-62.</w:t>
      </w:r>
    </w:p>
    <w:p w14:paraId="18D8B1E0" w14:textId="4087ED2B" w:rsidR="00212D58" w:rsidRPr="00936ADF" w:rsidRDefault="00212D58" w:rsidP="00356BB2">
      <w:pPr>
        <w:pStyle w:val="TFReferencesSection"/>
      </w:pPr>
      <w:r w:rsidRPr="00936ADF">
        <w:t xml:space="preserve">2. Palani, V.; Perea, M. A.; Sarpong, R. Site-Selective Cross-Coupling of Polyhalogenated Arenes and Heteroarenes with Identical Halogen Groups. </w:t>
      </w:r>
      <w:r w:rsidRPr="00936ADF">
        <w:rPr>
          <w:i/>
          <w:iCs/>
        </w:rPr>
        <w:t xml:space="preserve">Chem. Rev. </w:t>
      </w:r>
      <w:r w:rsidRPr="00936ADF">
        <w:rPr>
          <w:b/>
          <w:bCs/>
        </w:rPr>
        <w:t>2021</w:t>
      </w:r>
      <w:r w:rsidRPr="00936ADF">
        <w:t xml:space="preserve">, </w:t>
      </w:r>
      <w:r w:rsidRPr="00936ADF">
        <w:rPr>
          <w:i/>
          <w:iCs/>
        </w:rPr>
        <w:t>122</w:t>
      </w:r>
      <w:r w:rsidRPr="00936ADF">
        <w:t>, 10126-10169.</w:t>
      </w:r>
    </w:p>
    <w:p w14:paraId="417A6A47" w14:textId="7113A11D" w:rsidR="00212D58" w:rsidRPr="00936ADF" w:rsidRDefault="00212D58" w:rsidP="00356BB2">
      <w:pPr>
        <w:pStyle w:val="TFReferencesSection"/>
      </w:pPr>
      <w:r w:rsidRPr="00936ADF">
        <w:t>3. Norman, J. P.; Neufeldt, S. R. The Road Less Traveled: Unconventional Site Selectivity in Palladium-Catalyzed Cross-Couplings of Dihalogenated N</w:t>
      </w:r>
      <w:r w:rsidRPr="00936ADF">
        <w:rPr>
          <w:rFonts w:ascii="Cambria Math" w:hAnsi="Cambria Math" w:cs="Cambria Math"/>
        </w:rPr>
        <w:t>‐</w:t>
      </w:r>
      <w:r w:rsidRPr="00936ADF">
        <w:t xml:space="preserve">Heteroarenes. </w:t>
      </w:r>
      <w:r w:rsidRPr="00936ADF">
        <w:rPr>
          <w:i/>
          <w:iCs/>
        </w:rPr>
        <w:t xml:space="preserve">ACS Catal. </w:t>
      </w:r>
      <w:r w:rsidRPr="00936ADF">
        <w:rPr>
          <w:b/>
          <w:bCs/>
        </w:rPr>
        <w:t>2022</w:t>
      </w:r>
      <w:r w:rsidRPr="00936ADF">
        <w:t xml:space="preserve">, </w:t>
      </w:r>
      <w:r w:rsidRPr="00936ADF">
        <w:rPr>
          <w:i/>
          <w:iCs/>
        </w:rPr>
        <w:t>12</w:t>
      </w:r>
      <w:r w:rsidRPr="00936ADF">
        <w:t>, 12014–12026.</w:t>
      </w:r>
    </w:p>
    <w:p w14:paraId="7DBE215E" w14:textId="7A4816CF" w:rsidR="00212D58" w:rsidRPr="00936ADF" w:rsidRDefault="00212D58" w:rsidP="00356BB2">
      <w:pPr>
        <w:pStyle w:val="TFReferencesSection"/>
      </w:pPr>
      <w:r w:rsidRPr="00936ADF">
        <w:t xml:space="preserve">4. Dong, C.-G.; Hu, Q.-S. Preferential Oxidative Addition in Palladium(0)-Catalyzed Suzuki Cross-Coupling Reactions of Dihaloarenes with Arylboronic Acids. </w:t>
      </w:r>
      <w:r w:rsidRPr="00936ADF">
        <w:rPr>
          <w:i/>
          <w:iCs/>
        </w:rPr>
        <w:t xml:space="preserve">J. Am. Chem. Soc. </w:t>
      </w:r>
      <w:r w:rsidRPr="00936ADF">
        <w:rPr>
          <w:b/>
          <w:bCs/>
        </w:rPr>
        <w:t>2005</w:t>
      </w:r>
      <w:r w:rsidRPr="00936ADF">
        <w:t>,</w:t>
      </w:r>
      <w:r w:rsidRPr="00936ADF">
        <w:rPr>
          <w:i/>
          <w:iCs/>
        </w:rPr>
        <w:t xml:space="preserve"> 127, </w:t>
      </w:r>
      <w:r w:rsidRPr="00936ADF">
        <w:t xml:space="preserve"> 28, 10007–10008.</w:t>
      </w:r>
    </w:p>
    <w:p w14:paraId="265667B0" w14:textId="0BCB678A" w:rsidR="00212D58" w:rsidRPr="00936ADF" w:rsidRDefault="00212D58" w:rsidP="00356BB2">
      <w:pPr>
        <w:pStyle w:val="TFReferencesSection"/>
      </w:pPr>
      <w:r w:rsidRPr="00936ADF">
        <w:t xml:space="preserve">5. Weber, S. K., Galbrecht, F.; Scherf, U. Preferential Oxidative Addition in Suzuki Cross-Coupling Reactions Across One Fluorene Unit. </w:t>
      </w:r>
      <w:r w:rsidRPr="00936ADF">
        <w:rPr>
          <w:i/>
          <w:iCs/>
        </w:rPr>
        <w:t>Org. Lett</w:t>
      </w:r>
      <w:r w:rsidRPr="00936ADF">
        <w:t xml:space="preserve">. </w:t>
      </w:r>
      <w:r w:rsidRPr="00936ADF">
        <w:rPr>
          <w:b/>
          <w:bCs/>
        </w:rPr>
        <w:t>2006</w:t>
      </w:r>
      <w:r w:rsidRPr="00936ADF">
        <w:t xml:space="preserve">, </w:t>
      </w:r>
      <w:r w:rsidRPr="00936ADF">
        <w:rPr>
          <w:i/>
          <w:iCs/>
        </w:rPr>
        <w:t>8</w:t>
      </w:r>
      <w:r w:rsidRPr="00936ADF">
        <w:t>, 4039–4041.</w:t>
      </w:r>
    </w:p>
    <w:p w14:paraId="2FCB60F8" w14:textId="4ACED547" w:rsidR="00212D58" w:rsidRPr="00936ADF" w:rsidRDefault="00212D58" w:rsidP="00356BB2">
      <w:pPr>
        <w:pStyle w:val="TFReferencesSection"/>
      </w:pPr>
      <w:r w:rsidRPr="00936ADF">
        <w:t xml:space="preserve">6. Dai, X.; Chen, Y.; Garrell, S.; Liu, H.; Zhang, L.-K.; Palani, A.; Hughes, G.; Nargund, R. Ligand-Dependent Site-Selective Suzuki Cross-Coupling of 3,5-Dichloropyridazines. </w:t>
      </w:r>
      <w:r w:rsidRPr="00936ADF">
        <w:rPr>
          <w:i/>
          <w:iCs/>
        </w:rPr>
        <w:t>J. Org. Chem.</w:t>
      </w:r>
      <w:r w:rsidRPr="00936ADF">
        <w:t xml:space="preserve"> </w:t>
      </w:r>
      <w:r w:rsidRPr="00936ADF">
        <w:rPr>
          <w:b/>
          <w:bCs/>
        </w:rPr>
        <w:t>2013</w:t>
      </w:r>
      <w:r w:rsidRPr="00936ADF">
        <w:t xml:space="preserve">, </w:t>
      </w:r>
      <w:r w:rsidRPr="00936ADF">
        <w:rPr>
          <w:i/>
          <w:iCs/>
        </w:rPr>
        <w:t>78</w:t>
      </w:r>
      <w:r w:rsidRPr="00936ADF">
        <w:t>, 7758−7763.</w:t>
      </w:r>
    </w:p>
    <w:p w14:paraId="47A2D863" w14:textId="0E2F5614" w:rsidR="00212D58" w:rsidRPr="00936ADF" w:rsidRDefault="00212D58" w:rsidP="00356BB2">
      <w:pPr>
        <w:pStyle w:val="TFReferencesSection"/>
      </w:pPr>
      <w:r w:rsidRPr="00936ADF">
        <w:t xml:space="preserve">7. Norman, J. P.; Larson, N. G.; Entz, E. D.; Neufeldt, S. R. Unconventional Site-Selectivity in Palladium-Catalyzed Cross-Couplings of Dichloroheteroarenes under Ligand-Controlled and Ligand-Free Systems. </w:t>
      </w:r>
      <w:r w:rsidRPr="00936ADF">
        <w:rPr>
          <w:i/>
          <w:iCs/>
        </w:rPr>
        <w:t>J. Org. Chem.</w:t>
      </w:r>
      <w:r w:rsidRPr="00936ADF">
        <w:t xml:space="preserve"> </w:t>
      </w:r>
      <w:r w:rsidRPr="00936ADF">
        <w:rPr>
          <w:b/>
          <w:bCs/>
        </w:rPr>
        <w:t>2022</w:t>
      </w:r>
      <w:r w:rsidRPr="00936ADF">
        <w:t xml:space="preserve">, </w:t>
      </w:r>
      <w:r w:rsidRPr="00936ADF">
        <w:rPr>
          <w:i/>
          <w:iCs/>
        </w:rPr>
        <w:t>87</w:t>
      </w:r>
      <w:r w:rsidRPr="00936ADF">
        <w:t>, 7414−7421.</w:t>
      </w:r>
    </w:p>
    <w:p w14:paraId="03F17AB3" w14:textId="79B78EFD" w:rsidR="00212D58" w:rsidRPr="00936ADF" w:rsidRDefault="00212D58" w:rsidP="00356BB2">
      <w:pPr>
        <w:pStyle w:val="TFReferencesSection"/>
      </w:pPr>
      <w:r w:rsidRPr="00936ADF">
        <w:t xml:space="preserve">8. Norman, J. P.; Larson, N. G.; Neufeldt, S. R. Different Oxidative Addition Mechanisms for 12- and 14-Electron Palladium(0) Explain Ligand-Controlled Divergent Site Selectivity. </w:t>
      </w:r>
      <w:r w:rsidRPr="00936ADF">
        <w:rPr>
          <w:i/>
          <w:iCs/>
        </w:rPr>
        <w:t>ACS Catal.</w:t>
      </w:r>
      <w:r w:rsidRPr="00936ADF">
        <w:t xml:space="preserve"> </w:t>
      </w:r>
      <w:r w:rsidRPr="00936ADF">
        <w:rPr>
          <w:b/>
          <w:bCs/>
        </w:rPr>
        <w:t>2022</w:t>
      </w:r>
      <w:r w:rsidRPr="00936ADF">
        <w:t xml:space="preserve">, </w:t>
      </w:r>
      <w:r w:rsidRPr="00936ADF">
        <w:rPr>
          <w:i/>
          <w:iCs/>
        </w:rPr>
        <w:t>12</w:t>
      </w:r>
      <w:r w:rsidRPr="00936ADF">
        <w:t>, 8822–8828.</w:t>
      </w:r>
    </w:p>
    <w:p w14:paraId="119FB187" w14:textId="58C38F3F" w:rsidR="00212D58" w:rsidRPr="00936ADF" w:rsidRDefault="00212D58" w:rsidP="00356BB2">
      <w:pPr>
        <w:pStyle w:val="TFReferencesSection"/>
      </w:pPr>
      <w:r w:rsidRPr="00936ADF">
        <w:t xml:space="preserve">9. Zhu, Y. X.; Li, E.-C.; Shen, K.; Hang, X.; Bonnesen, P. V.; Hong, K.; Zhang, H.-H.; Huang, W. Intramolecular Catalyst Transfer over Sterically Hindered Arenes in Suzuki Cross-Coupling Reactions. </w:t>
      </w:r>
      <w:r w:rsidRPr="00936ADF">
        <w:rPr>
          <w:i/>
          <w:iCs/>
        </w:rPr>
        <w:t>Asian J. Org. Chem.</w:t>
      </w:r>
      <w:r w:rsidRPr="00936ADF">
        <w:t xml:space="preserve"> </w:t>
      </w:r>
      <w:r w:rsidRPr="00936ADF">
        <w:rPr>
          <w:b/>
          <w:bCs/>
        </w:rPr>
        <w:t>2019</w:t>
      </w:r>
      <w:r w:rsidRPr="00936ADF">
        <w:t xml:space="preserve">, </w:t>
      </w:r>
      <w:r w:rsidRPr="00936ADF">
        <w:rPr>
          <w:i/>
          <w:iCs/>
        </w:rPr>
        <w:t>8</w:t>
      </w:r>
      <w:r w:rsidRPr="00936ADF">
        <w:t>, 1506–1512.</w:t>
      </w:r>
    </w:p>
    <w:p w14:paraId="035925E3" w14:textId="1486D904" w:rsidR="00212D58" w:rsidRPr="00936ADF" w:rsidRDefault="00212D58" w:rsidP="00356BB2">
      <w:pPr>
        <w:pStyle w:val="TFReferencesSection"/>
      </w:pPr>
      <w:r w:rsidRPr="00936ADF">
        <w:t xml:space="preserve">10. Deem, M. C.; Derasp, J. S.; Malig, T. C.; Legard, K.; Berlinguette, C. P.; Hein, J. E. Ring walking as a regioselectivity control element in Pd-catalyzed C-N cross-coupling. </w:t>
      </w:r>
      <w:r w:rsidRPr="00936ADF">
        <w:rPr>
          <w:i/>
          <w:iCs/>
        </w:rPr>
        <w:t xml:space="preserve">Nature. Commun. </w:t>
      </w:r>
      <w:r w:rsidRPr="00936ADF">
        <w:rPr>
          <w:b/>
          <w:bCs/>
        </w:rPr>
        <w:t>2022</w:t>
      </w:r>
      <w:r w:rsidRPr="00936ADF">
        <w:t xml:space="preserve">, </w:t>
      </w:r>
      <w:r w:rsidRPr="00936ADF">
        <w:rPr>
          <w:i/>
          <w:iCs/>
        </w:rPr>
        <w:t>13</w:t>
      </w:r>
      <w:r w:rsidRPr="00936ADF">
        <w:t>, 2869.</w:t>
      </w:r>
    </w:p>
    <w:p w14:paraId="7C0C1180" w14:textId="0C3B30D8" w:rsidR="00212D58" w:rsidRPr="00936ADF" w:rsidRDefault="00212D58" w:rsidP="00356BB2">
      <w:pPr>
        <w:pStyle w:val="TFReferencesSection"/>
      </w:pPr>
      <w:r w:rsidRPr="00936ADF">
        <w:t>11. Sun, K.-X.; He, Q.-W.; Xu, B.-B.; Wu, X.-T.; Lu, J.-M. Synthesis of N-Heterocyclic Carbene–Pd</w:t>
      </w:r>
      <w:r w:rsidRPr="00936ADF">
        <w:rPr>
          <w:vertAlign w:val="superscript"/>
        </w:rPr>
        <w:t>II</w:t>
      </w:r>
      <w:r w:rsidRPr="00936ADF">
        <w:t xml:space="preserve">–2-Methyl-4,5- dihydrooxazole Complexes and Their Application Toward Highly Chemoselective Mono-Suzuki–Miyaura Coupling of Dichlorobenzenes. </w:t>
      </w:r>
      <w:r w:rsidRPr="00936ADF">
        <w:rPr>
          <w:i/>
          <w:iCs/>
        </w:rPr>
        <w:t>Asian. J. Org. Chem.</w:t>
      </w:r>
      <w:r w:rsidRPr="00936ADF">
        <w:t xml:space="preserve"> </w:t>
      </w:r>
      <w:r w:rsidRPr="00936ADF">
        <w:rPr>
          <w:b/>
          <w:bCs/>
        </w:rPr>
        <w:t>2018</w:t>
      </w:r>
      <w:r w:rsidRPr="00936ADF">
        <w:t xml:space="preserve">, </w:t>
      </w:r>
      <w:r w:rsidRPr="00936ADF">
        <w:rPr>
          <w:i/>
          <w:iCs/>
        </w:rPr>
        <w:t>7</w:t>
      </w:r>
      <w:r w:rsidRPr="00936ADF">
        <w:t>, 781–787.</w:t>
      </w:r>
    </w:p>
    <w:p w14:paraId="0B8E4E4A" w14:textId="1CBF2031" w:rsidR="00212D58" w:rsidRPr="00936ADF" w:rsidRDefault="00212D58" w:rsidP="00356BB2">
      <w:pPr>
        <w:pStyle w:val="TFReferencesSection"/>
      </w:pPr>
      <w:r w:rsidRPr="00936ADF">
        <w:t xml:space="preserve">12. Larrosa, I.; Somoza, C.; Banquy, A.; Goldup, S. M. Two Flavors of PEPPSI-IPr: Activation and Diffusion Control in a Single NHC-Ligated Pd Catalyst? </w:t>
      </w:r>
      <w:r w:rsidRPr="00936ADF">
        <w:rPr>
          <w:i/>
          <w:iCs/>
        </w:rPr>
        <w:t>Org. Lett.</w:t>
      </w:r>
      <w:r w:rsidRPr="00936ADF">
        <w:t xml:space="preserve"> </w:t>
      </w:r>
      <w:r w:rsidRPr="00936ADF">
        <w:rPr>
          <w:b/>
          <w:bCs/>
        </w:rPr>
        <w:t>2011,</w:t>
      </w:r>
      <w:r w:rsidRPr="00936ADF">
        <w:t xml:space="preserve"> </w:t>
      </w:r>
      <w:r w:rsidRPr="00936ADF">
        <w:rPr>
          <w:i/>
          <w:iCs/>
        </w:rPr>
        <w:t>13</w:t>
      </w:r>
      <w:r w:rsidRPr="00936ADF">
        <w:t>, 146–149.</w:t>
      </w:r>
    </w:p>
    <w:p w14:paraId="774A191E" w14:textId="2A222DA2" w:rsidR="00212D58" w:rsidRPr="00936ADF" w:rsidRDefault="00212D58" w:rsidP="00356BB2">
      <w:pPr>
        <w:pStyle w:val="TFReferencesSection"/>
      </w:pPr>
      <w:r w:rsidRPr="00936ADF">
        <w:t>13. Yang, M.; Chen. J.; He, C.; Hu, X.; Ding, Y.; Kuang, Y.; Liu, J.; Huang, Q. Palladium-Catalyzed C</w:t>
      </w:r>
      <w:r w:rsidRPr="00936ADF">
        <w:rPr>
          <w:rFonts w:ascii="Cambria Math" w:hAnsi="Cambria Math" w:cs="Cambria Math"/>
        </w:rPr>
        <w:t>‐</w:t>
      </w:r>
      <w:r w:rsidRPr="00936ADF">
        <w:t xml:space="preserve">4 Selective Coupling of 2,4-Dichloropyridines and Synthesis of Pyridine-Based Dyes for Live-Cell Imaging. </w:t>
      </w:r>
      <w:r w:rsidRPr="00936ADF">
        <w:rPr>
          <w:i/>
          <w:iCs/>
        </w:rPr>
        <w:t>J. Org. Chem.</w:t>
      </w:r>
      <w:r w:rsidRPr="00936ADF">
        <w:t xml:space="preserve"> </w:t>
      </w:r>
      <w:r w:rsidRPr="00936ADF">
        <w:rPr>
          <w:b/>
          <w:bCs/>
        </w:rPr>
        <w:t>2020</w:t>
      </w:r>
      <w:r w:rsidRPr="00936ADF">
        <w:t xml:space="preserve">, </w:t>
      </w:r>
      <w:r w:rsidRPr="00936ADF">
        <w:rPr>
          <w:i/>
          <w:iCs/>
        </w:rPr>
        <w:t>85</w:t>
      </w:r>
      <w:r w:rsidRPr="00936ADF">
        <w:t>, 6498–6508.</w:t>
      </w:r>
    </w:p>
    <w:p w14:paraId="5D16511C" w14:textId="249A3B6A" w:rsidR="00212D58" w:rsidRPr="00936ADF" w:rsidRDefault="00212D58" w:rsidP="00356BB2">
      <w:pPr>
        <w:pStyle w:val="TFReferencesSection"/>
      </w:pPr>
      <w:r w:rsidRPr="00936ADF">
        <w:t xml:space="preserve">14. Groombridge, B. J.; Goldup, S. M.; Larrosa, I. Selective and general exhaustive cross-coupling of dichloroarenes with a deficit of nucleophiles mediated by a Pd–NHC complex. </w:t>
      </w:r>
      <w:r w:rsidRPr="00936ADF">
        <w:rPr>
          <w:i/>
          <w:iCs/>
        </w:rPr>
        <w:t>Chem. Commun.</w:t>
      </w:r>
      <w:r w:rsidRPr="00936ADF">
        <w:t xml:space="preserve"> </w:t>
      </w:r>
      <w:r w:rsidRPr="00936ADF">
        <w:rPr>
          <w:b/>
          <w:bCs/>
        </w:rPr>
        <w:t>2015</w:t>
      </w:r>
      <w:r w:rsidRPr="00936ADF">
        <w:t xml:space="preserve">, </w:t>
      </w:r>
      <w:r w:rsidRPr="00936ADF">
        <w:rPr>
          <w:i/>
          <w:iCs/>
        </w:rPr>
        <w:t>51</w:t>
      </w:r>
      <w:r w:rsidRPr="00936ADF">
        <w:t>, 3832–3834.</w:t>
      </w:r>
    </w:p>
    <w:p w14:paraId="56705A25" w14:textId="219B4552" w:rsidR="00212D58" w:rsidRPr="00936ADF" w:rsidRDefault="00212D58" w:rsidP="00356BB2">
      <w:pPr>
        <w:pStyle w:val="TFReferencesSection"/>
      </w:pPr>
      <w:r w:rsidRPr="00936ADF">
        <w:t xml:space="preserve">15. Leone, A. K.; Goldberg, P. K.; McNeil, A. J. Ring-Walking in Catalyst-Transfer Polymerization. </w:t>
      </w:r>
      <w:r w:rsidRPr="00936ADF">
        <w:rPr>
          <w:i/>
          <w:iCs/>
        </w:rPr>
        <w:t>J. Am. Chem. Soc</w:t>
      </w:r>
      <w:r w:rsidRPr="00936ADF">
        <w:t xml:space="preserve">. </w:t>
      </w:r>
      <w:r w:rsidRPr="00936ADF">
        <w:rPr>
          <w:b/>
          <w:bCs/>
        </w:rPr>
        <w:t>2018</w:t>
      </w:r>
      <w:r w:rsidRPr="00936ADF">
        <w:t xml:space="preserve">, </w:t>
      </w:r>
      <w:r w:rsidRPr="00936ADF">
        <w:rPr>
          <w:i/>
          <w:iCs/>
        </w:rPr>
        <w:t>140,</w:t>
      </w:r>
      <w:r w:rsidRPr="00936ADF">
        <w:t xml:space="preserve"> 25, 7846– 7850.</w:t>
      </w:r>
    </w:p>
    <w:p w14:paraId="2B59186F" w14:textId="2981D541" w:rsidR="00212D58" w:rsidRPr="00936ADF" w:rsidRDefault="00212D58" w:rsidP="00356BB2">
      <w:pPr>
        <w:pStyle w:val="TFReferencesSection"/>
      </w:pPr>
      <w:r w:rsidRPr="00936ADF">
        <w:t>16. Mikami, K.; Nojima, M.; Masumoto, Y.; Mizukoshi, Y.; Takita, R.; Yokozawa, T.; Uchiyama, M. Catalyst-Dependent Intrinsic Ring- Walking Behavior on π-face of Conjugated Polymers. Polym. Chem. 2017, 8, 1708−1713.</w:t>
      </w:r>
    </w:p>
    <w:p w14:paraId="2875913F" w14:textId="00498213" w:rsidR="00212D58" w:rsidRPr="00936ADF" w:rsidRDefault="00212D58" w:rsidP="00356BB2">
      <w:pPr>
        <w:pStyle w:val="TFReferencesSection"/>
      </w:pPr>
      <w:r w:rsidRPr="00936ADF">
        <w:t xml:space="preserve">17. Kosaka, K.; Uchida, T.; Mikami, K.; Ohta, Y.; Yokozawa, T. AmPhos Pd-Catalyzed Suzuki−Miyaura Catalyst-Transfer Condensation Polymerization: Narrower Dispersity by Mixing the Catalyst and Base Prior to Polymerization. </w:t>
      </w:r>
      <w:r w:rsidRPr="00936ADF">
        <w:rPr>
          <w:i/>
          <w:iCs/>
        </w:rPr>
        <w:t>Macromolecules</w:t>
      </w:r>
      <w:r w:rsidRPr="00936ADF">
        <w:t xml:space="preserve"> </w:t>
      </w:r>
      <w:r w:rsidRPr="00936ADF">
        <w:rPr>
          <w:b/>
          <w:bCs/>
        </w:rPr>
        <w:t>2018</w:t>
      </w:r>
      <w:r w:rsidRPr="00936ADF">
        <w:t xml:space="preserve">, </w:t>
      </w:r>
      <w:r w:rsidRPr="00936ADF">
        <w:rPr>
          <w:i/>
          <w:iCs/>
        </w:rPr>
        <w:t>51</w:t>
      </w:r>
      <w:r w:rsidRPr="00936ADF">
        <w:t>, 364–369.</w:t>
      </w:r>
    </w:p>
    <w:p w14:paraId="1BB606A6" w14:textId="6EB55D2F" w:rsidR="00212D58" w:rsidRPr="00936ADF" w:rsidRDefault="00212D58" w:rsidP="00356BB2">
      <w:pPr>
        <w:pStyle w:val="TFReferencesSection"/>
      </w:pPr>
      <w:r w:rsidRPr="00936ADF">
        <w:t xml:space="preserve">18. Nojima, M.; Ohta, Y.; Yokozawa, T. Structural Requirements for Palladium Catalyst Transfer on a Carbon−Carbon Double Bond. </w:t>
      </w:r>
      <w:r w:rsidRPr="00936ADF">
        <w:rPr>
          <w:i/>
          <w:iCs/>
        </w:rPr>
        <w:t>J. Am. Chem. Soc.</w:t>
      </w:r>
      <w:r w:rsidRPr="00936ADF">
        <w:t xml:space="preserve"> </w:t>
      </w:r>
      <w:r w:rsidRPr="00936ADF">
        <w:rPr>
          <w:b/>
          <w:bCs/>
        </w:rPr>
        <w:t>2015</w:t>
      </w:r>
      <w:r w:rsidRPr="00936ADF">
        <w:t xml:space="preserve">, </w:t>
      </w:r>
      <w:r w:rsidRPr="00936ADF">
        <w:rPr>
          <w:i/>
          <w:iCs/>
        </w:rPr>
        <w:t>137</w:t>
      </w:r>
      <w:r w:rsidRPr="00936ADF">
        <w:t>, 5682–5685.</w:t>
      </w:r>
    </w:p>
    <w:p w14:paraId="3A7A9407" w14:textId="00930FCA" w:rsidR="00212D58" w:rsidRPr="00936ADF" w:rsidRDefault="00212D58" w:rsidP="00356BB2">
      <w:pPr>
        <w:pStyle w:val="TFReferencesSection"/>
      </w:pPr>
      <w:r w:rsidRPr="00936ADF">
        <w:t xml:space="preserve">19. Bryan, Z. J.; Smith, M. L.; McNeil, A. J. Chain-Growth Polymerization of Aryl Grignards Initiated by A Stabilized NHC-Pd Precatalyst. </w:t>
      </w:r>
      <w:r w:rsidRPr="00936ADF">
        <w:rPr>
          <w:i/>
          <w:iCs/>
        </w:rPr>
        <w:t xml:space="preserve">Macromol. Rapid Commun. </w:t>
      </w:r>
      <w:r w:rsidRPr="00936ADF">
        <w:rPr>
          <w:b/>
          <w:bCs/>
        </w:rPr>
        <w:t>2012</w:t>
      </w:r>
      <w:r w:rsidRPr="00936ADF">
        <w:t xml:space="preserve">, </w:t>
      </w:r>
      <w:r w:rsidRPr="00936ADF">
        <w:rPr>
          <w:i/>
          <w:iCs/>
        </w:rPr>
        <w:t>33</w:t>
      </w:r>
      <w:r w:rsidRPr="00936ADF">
        <w:t>, 842–847.</w:t>
      </w:r>
    </w:p>
    <w:p w14:paraId="12FB1363" w14:textId="5B4E6439" w:rsidR="00212D58" w:rsidRPr="00936ADF" w:rsidRDefault="00212D58" w:rsidP="00356BB2">
      <w:pPr>
        <w:pStyle w:val="TFReferencesSection"/>
      </w:pPr>
      <w:r w:rsidRPr="00936ADF">
        <w:t xml:space="preserve">20. Leone, A. K.; Mueller, E. A.; McNeil, A. J. The History of Palladium-Catalyzed Cross-Coupling Schould Inspire the Future of Catalyst-Transfer Polymerization. </w:t>
      </w:r>
      <w:r w:rsidRPr="00936ADF">
        <w:rPr>
          <w:i/>
          <w:iCs/>
        </w:rPr>
        <w:t>J. Am. Chem. Soc.</w:t>
      </w:r>
      <w:r w:rsidRPr="00936ADF">
        <w:t xml:space="preserve"> </w:t>
      </w:r>
      <w:r w:rsidRPr="00936ADF">
        <w:rPr>
          <w:b/>
          <w:bCs/>
        </w:rPr>
        <w:t>2018</w:t>
      </w:r>
      <w:r w:rsidRPr="00936ADF">
        <w:t xml:space="preserve">, </w:t>
      </w:r>
      <w:r w:rsidRPr="00936ADF">
        <w:rPr>
          <w:i/>
          <w:iCs/>
        </w:rPr>
        <w:t>140</w:t>
      </w:r>
      <w:r w:rsidRPr="00936ADF">
        <w:t>, 15126– 15139.</w:t>
      </w:r>
    </w:p>
    <w:p w14:paraId="4D13CE07" w14:textId="67CC254B" w:rsidR="00212D58" w:rsidRPr="00936ADF" w:rsidRDefault="00212D58" w:rsidP="00356BB2">
      <w:pPr>
        <w:pStyle w:val="TFReferencesSection"/>
      </w:pPr>
      <w:r w:rsidRPr="00936ADF">
        <w:t>21. Firsan, S. J.; Sivakumar, V.; Colacot, T. J. Emerging Trends in Cross-Coupling: Twelve-Electron-Based L</w:t>
      </w:r>
      <w:r w:rsidRPr="00936ADF">
        <w:rPr>
          <w:vertAlign w:val="subscript"/>
        </w:rPr>
        <w:t>1</w:t>
      </w:r>
      <w:r w:rsidRPr="00936ADF">
        <w:t xml:space="preserve">Pd(0) Catalysts, Their Mechanism of Action, and Selected Applications. </w:t>
      </w:r>
      <w:r w:rsidRPr="00936ADF">
        <w:rPr>
          <w:i/>
          <w:iCs/>
        </w:rPr>
        <w:t>Chem. Rev.</w:t>
      </w:r>
      <w:r w:rsidRPr="00936ADF">
        <w:t xml:space="preserve"> </w:t>
      </w:r>
      <w:r w:rsidRPr="00936ADF">
        <w:rPr>
          <w:b/>
          <w:bCs/>
        </w:rPr>
        <w:t>2022</w:t>
      </w:r>
      <w:r w:rsidRPr="00936ADF">
        <w:t xml:space="preserve">, </w:t>
      </w:r>
      <w:r w:rsidRPr="00936ADF">
        <w:rPr>
          <w:i/>
          <w:iCs/>
        </w:rPr>
        <w:t>122</w:t>
      </w:r>
      <w:r w:rsidRPr="00936ADF">
        <w:t>, 16983–17027.</w:t>
      </w:r>
    </w:p>
    <w:p w14:paraId="58615F53" w14:textId="0F35DFF8" w:rsidR="00212D58" w:rsidRPr="00936ADF" w:rsidRDefault="00212D58" w:rsidP="00356BB2">
      <w:pPr>
        <w:pStyle w:val="TFReferencesSection"/>
      </w:pPr>
      <w:r w:rsidRPr="00936ADF">
        <w:t xml:space="preserve">22. Newman-Stonebraker, S. H.; Smith, S. R.; Borowski, J. E.; Peters, E.; Gensch, T.; Johnson, H. C.; Sigman, M. S.; Doyle, A. G. Univariate classification of phosphine ligation state and reactivity in cross-coupling catalysis. </w:t>
      </w:r>
      <w:r w:rsidRPr="00936ADF">
        <w:rPr>
          <w:i/>
          <w:iCs/>
        </w:rPr>
        <w:t>Science</w:t>
      </w:r>
      <w:r w:rsidRPr="00936ADF">
        <w:t xml:space="preserve"> </w:t>
      </w:r>
      <w:r w:rsidRPr="00936ADF">
        <w:rPr>
          <w:b/>
          <w:bCs/>
        </w:rPr>
        <w:t>2021</w:t>
      </w:r>
      <w:r w:rsidRPr="00936ADF">
        <w:t xml:space="preserve">, </w:t>
      </w:r>
      <w:r w:rsidRPr="00936ADF">
        <w:rPr>
          <w:i/>
          <w:iCs/>
        </w:rPr>
        <w:t>374</w:t>
      </w:r>
      <w:r w:rsidRPr="00936ADF">
        <w:t>, 301–308.</w:t>
      </w:r>
    </w:p>
    <w:p w14:paraId="7BFCE733" w14:textId="081E1454" w:rsidR="00212D58" w:rsidRPr="00936ADF" w:rsidRDefault="00212D58" w:rsidP="00356BB2">
      <w:pPr>
        <w:pStyle w:val="TFReferencesSection"/>
      </w:pPr>
      <w:r w:rsidRPr="00936ADF">
        <w:t>23. Difunctionalization of diiodoarenes using the smaller ligand PPh</w:t>
      </w:r>
      <w:r w:rsidRPr="00936ADF">
        <w:rPr>
          <w:vertAlign w:val="subscript"/>
        </w:rPr>
        <w:t>3</w:t>
      </w:r>
      <w:r w:rsidRPr="00936ADF">
        <w:t xml:space="preserve"> has also been reported: (a) Tsvetkov, A. V.; Latyshev, G. V.; Lukashev, N. V.; Beletskaya, I. P. Palladium-catalyzed cross-coupling reaction of bis(ferrocenyl)mercury with aryl iodides. </w:t>
      </w:r>
      <w:r w:rsidRPr="00936ADF">
        <w:rPr>
          <w:i/>
          <w:iCs/>
        </w:rPr>
        <w:t>Tetrahedron Lett</w:t>
      </w:r>
      <w:r w:rsidRPr="00936ADF">
        <w:t xml:space="preserve">. </w:t>
      </w:r>
      <w:r w:rsidRPr="00936ADF">
        <w:rPr>
          <w:b/>
          <w:bCs/>
        </w:rPr>
        <w:t>2000</w:t>
      </w:r>
      <w:r w:rsidRPr="00936ADF">
        <w:t xml:space="preserve">, </w:t>
      </w:r>
      <w:r w:rsidRPr="00936ADF">
        <w:rPr>
          <w:i/>
          <w:iCs/>
        </w:rPr>
        <w:t>41</w:t>
      </w:r>
      <w:r w:rsidRPr="00936ADF">
        <w:t xml:space="preserve">, 3987–3990. (b) Sinclair, D. J.; Sherburn, M. S. Single and Double Suzuki−Miyaura Couplings with Symmetric Dihalobenzenes J. </w:t>
      </w:r>
      <w:r w:rsidRPr="00936ADF">
        <w:rPr>
          <w:i/>
          <w:iCs/>
        </w:rPr>
        <w:t>Org. Chem.</w:t>
      </w:r>
      <w:r w:rsidRPr="00936ADF">
        <w:t xml:space="preserve"> </w:t>
      </w:r>
      <w:r w:rsidRPr="00936ADF">
        <w:rPr>
          <w:b/>
          <w:bCs/>
        </w:rPr>
        <w:t>2005</w:t>
      </w:r>
      <w:r w:rsidRPr="00936ADF">
        <w:t xml:space="preserve">, </w:t>
      </w:r>
      <w:r w:rsidRPr="00936ADF">
        <w:rPr>
          <w:i/>
          <w:iCs/>
        </w:rPr>
        <w:t>70</w:t>
      </w:r>
      <w:r w:rsidRPr="00936ADF">
        <w:t>, 9, 3730–3733.</w:t>
      </w:r>
    </w:p>
    <w:p w14:paraId="379F5828" w14:textId="197CBBB1" w:rsidR="00212D58" w:rsidRPr="00936ADF" w:rsidRDefault="00212D58" w:rsidP="00356BB2">
      <w:pPr>
        <w:pStyle w:val="TFReferencesSection"/>
      </w:pPr>
      <w:r w:rsidRPr="00936ADF">
        <w:t>24. Melvin, P. R.; Nova, A.; Balcells, D.; Dai, W.; Hazari, N.; Hruszkewycz, D. P.; Shah, H. P.; Tudge, M. T. Design of a Versatile and Improved Precatalyst Scaffold for Palladium-Catalyzed Cross-Coupling: (η</w:t>
      </w:r>
      <w:r w:rsidRPr="00936ADF">
        <w:rPr>
          <w:vertAlign w:val="superscript"/>
        </w:rPr>
        <w:t>3</w:t>
      </w:r>
      <w:r w:rsidRPr="00936ADF">
        <w:t>‐1‐</w:t>
      </w:r>
      <w:r w:rsidRPr="00936ADF">
        <w:rPr>
          <w:vertAlign w:val="superscript"/>
        </w:rPr>
        <w:t>t</w:t>
      </w:r>
      <w:r w:rsidRPr="00936ADF">
        <w:t>Bu-indenyl)</w:t>
      </w:r>
      <w:r w:rsidRPr="00936ADF">
        <w:rPr>
          <w:vertAlign w:val="subscript"/>
        </w:rPr>
        <w:t>2</w:t>
      </w:r>
      <w:r w:rsidRPr="00936ADF">
        <w:t>(</w:t>
      </w:r>
      <w:r w:rsidRPr="00936ADF">
        <w:rPr>
          <w:i/>
          <w:iCs/>
        </w:rPr>
        <w:t>μ</w:t>
      </w:r>
      <w:r w:rsidRPr="00936ADF">
        <w:t>-Cl)</w:t>
      </w:r>
      <w:r w:rsidRPr="00936ADF">
        <w:rPr>
          <w:vertAlign w:val="subscript"/>
        </w:rPr>
        <w:t>2</w:t>
      </w:r>
      <w:r w:rsidRPr="00936ADF">
        <w:t>Pd</w:t>
      </w:r>
      <w:r w:rsidRPr="00936ADF">
        <w:rPr>
          <w:vertAlign w:val="subscript"/>
        </w:rPr>
        <w:t>2</w:t>
      </w:r>
      <w:r w:rsidRPr="00936ADF">
        <w:t xml:space="preserve">. </w:t>
      </w:r>
      <w:r w:rsidRPr="00936ADF">
        <w:rPr>
          <w:i/>
          <w:iCs/>
        </w:rPr>
        <w:t>ACS Catal.</w:t>
      </w:r>
      <w:r w:rsidRPr="00936ADF">
        <w:t xml:space="preserve"> </w:t>
      </w:r>
      <w:r w:rsidRPr="00936ADF">
        <w:rPr>
          <w:b/>
          <w:bCs/>
        </w:rPr>
        <w:t>2015</w:t>
      </w:r>
      <w:r w:rsidRPr="00936ADF">
        <w:t xml:space="preserve">, </w:t>
      </w:r>
      <w:r w:rsidRPr="00936ADF">
        <w:rPr>
          <w:i/>
          <w:iCs/>
        </w:rPr>
        <w:t>5</w:t>
      </w:r>
      <w:r w:rsidRPr="00936ADF">
        <w:t>, 3680–3688.</w:t>
      </w:r>
    </w:p>
    <w:p w14:paraId="6D089BFC" w14:textId="68D62FF0" w:rsidR="00212D58" w:rsidRPr="00936ADF" w:rsidRDefault="00212D58" w:rsidP="00356BB2">
      <w:pPr>
        <w:pStyle w:val="TFReferencesSection"/>
      </w:pPr>
      <w:r w:rsidRPr="00936ADF">
        <w:t>25. Additional SPhos (1.5-9 mol %) has no effect on selectivity or yield, suggesting that this ligand is too sterically hindered to promote displacement of Pd from the mono-cross-coupled product; see page S33.</w:t>
      </w:r>
    </w:p>
    <w:p w14:paraId="4070A6E4" w14:textId="48E1BCC3" w:rsidR="00212D58" w:rsidRPr="00936ADF" w:rsidRDefault="00212D58" w:rsidP="00356BB2">
      <w:pPr>
        <w:pStyle w:val="TFReferencesSection"/>
      </w:pPr>
      <w:r w:rsidRPr="00936ADF">
        <w:t>26. Gensch, T.; dos Passos Gomes, G.; Friederich, P.; Peters, E.; Gaudin, T.; Pollice, R.; Jorner, K.; Nigam, A.; Lindner-D’Addario, M.; Sigman, M.; Aspuru-Guzik, A.</w:t>
      </w:r>
      <w:r w:rsidR="00187D8A" w:rsidRPr="00936ADF">
        <w:t xml:space="preserve"> A Comprehensive Discovery Platform for Organophosphorus Ligands for Catalysis.</w:t>
      </w:r>
      <w:r w:rsidRPr="00936ADF">
        <w:t xml:space="preserve"> </w:t>
      </w:r>
      <w:r w:rsidRPr="00936ADF">
        <w:rPr>
          <w:i/>
          <w:iCs/>
        </w:rPr>
        <w:t>J. Am. Chem. Soc.</w:t>
      </w:r>
      <w:r w:rsidRPr="00936ADF">
        <w:t xml:space="preserve"> </w:t>
      </w:r>
      <w:r w:rsidRPr="00936ADF">
        <w:rPr>
          <w:b/>
          <w:bCs/>
        </w:rPr>
        <w:t>2022</w:t>
      </w:r>
      <w:r w:rsidRPr="00936ADF">
        <w:t xml:space="preserve">, </w:t>
      </w:r>
      <w:r w:rsidRPr="00936ADF">
        <w:rPr>
          <w:i/>
          <w:iCs/>
        </w:rPr>
        <w:t>144</w:t>
      </w:r>
      <w:r w:rsidRPr="00936ADF">
        <w:t>, 1205–1217.</w:t>
      </w:r>
    </w:p>
    <w:p w14:paraId="334AD590" w14:textId="621CBB3D" w:rsidR="00212D58" w:rsidRPr="00936ADF" w:rsidRDefault="00212D58" w:rsidP="00356BB2">
      <w:pPr>
        <w:pStyle w:val="TFReferencesSection"/>
      </w:pPr>
      <w:r w:rsidRPr="00936ADF">
        <w:t xml:space="preserve">27. Selective diarylation has been seen in cases where the monocross-coupled intermediate is significantly more reactive than the dihaloarene substrate: Bryan, Z. J.; Hall, A. O.; Zhao, C. T.; Chen, J.; McNeil, A. J. Limitations of Using Small Molecules to Identify Catalyst-Transfer Polycondensation Reactions. </w:t>
      </w:r>
      <w:r w:rsidRPr="00936ADF">
        <w:rPr>
          <w:i/>
          <w:iCs/>
        </w:rPr>
        <w:t xml:space="preserve">ACS Macro Lett. </w:t>
      </w:r>
      <w:r w:rsidRPr="00936ADF">
        <w:rPr>
          <w:b/>
          <w:bCs/>
        </w:rPr>
        <w:t>2016</w:t>
      </w:r>
      <w:r w:rsidRPr="00936ADF">
        <w:t xml:space="preserve">, </w:t>
      </w:r>
      <w:r w:rsidRPr="00936ADF">
        <w:rPr>
          <w:i/>
          <w:iCs/>
        </w:rPr>
        <w:t>5</w:t>
      </w:r>
      <w:r w:rsidRPr="00936ADF">
        <w:t>, 69–72.</w:t>
      </w:r>
    </w:p>
    <w:p w14:paraId="7C6F959F" w14:textId="33571D6F" w:rsidR="00212D58" w:rsidRPr="00936ADF" w:rsidRDefault="00212D58" w:rsidP="00356BB2">
      <w:pPr>
        <w:pStyle w:val="TFReferencesSection"/>
      </w:pPr>
      <w:r w:rsidRPr="00936ADF">
        <w:t>28. Barrios-Landeros, F.; Carrow, B. P.; Hartwig, J. F. Effect of Ligand Steric Properties and Halide Identity on the Mechanism for Oxidative Addition of Haloarenes to Trialkylphosphine Pd(0) Complexes.</w:t>
      </w:r>
      <w:r w:rsidRPr="00936ADF">
        <w:rPr>
          <w:i/>
          <w:iCs/>
        </w:rPr>
        <w:t xml:space="preserve"> J. Am. Chem. Soc.</w:t>
      </w:r>
      <w:r w:rsidRPr="00936ADF">
        <w:t xml:space="preserve"> </w:t>
      </w:r>
      <w:r w:rsidRPr="00936ADF">
        <w:rPr>
          <w:b/>
          <w:bCs/>
        </w:rPr>
        <w:t>2009</w:t>
      </w:r>
      <w:r w:rsidRPr="00936ADF">
        <w:t xml:space="preserve">, </w:t>
      </w:r>
      <w:r w:rsidRPr="00936ADF">
        <w:rPr>
          <w:i/>
          <w:iCs/>
        </w:rPr>
        <w:t>131</w:t>
      </w:r>
      <w:r w:rsidRPr="00936ADF">
        <w:t>, 8141–8154.</w:t>
      </w:r>
    </w:p>
    <w:p w14:paraId="17565590" w14:textId="494B7DD7" w:rsidR="00212D58" w:rsidRPr="00936ADF" w:rsidRDefault="00212D58" w:rsidP="00356BB2">
      <w:pPr>
        <w:pStyle w:val="TFReferencesSection"/>
      </w:pPr>
      <w:r w:rsidRPr="00936ADF">
        <w:t xml:space="preserve">29. Galardon, E.; Ramdeehul, S.; Brown, J. M.; Cowley, A.; Hii, K. K.; Jutand, A. Profound Steric Control of Reactivity in Aryl Halide Addition to Bisphosphane Palladium(0) Complexes. </w:t>
      </w:r>
      <w:r w:rsidRPr="00936ADF">
        <w:rPr>
          <w:i/>
          <w:iCs/>
        </w:rPr>
        <w:t>Angew. Chem. Int. Ed.</w:t>
      </w:r>
      <w:r w:rsidRPr="00936ADF">
        <w:t xml:space="preserve"> </w:t>
      </w:r>
      <w:r w:rsidRPr="00936ADF">
        <w:rPr>
          <w:b/>
          <w:bCs/>
        </w:rPr>
        <w:t>2002</w:t>
      </w:r>
      <w:r w:rsidRPr="00936ADF">
        <w:t xml:space="preserve">, </w:t>
      </w:r>
      <w:r w:rsidRPr="00936ADF">
        <w:rPr>
          <w:i/>
          <w:iCs/>
        </w:rPr>
        <w:t>41</w:t>
      </w:r>
      <w:r w:rsidRPr="00936ADF">
        <w:t>, 1760–1763.</w:t>
      </w:r>
    </w:p>
    <w:p w14:paraId="37E62D98" w14:textId="6EC27423" w:rsidR="00212D58" w:rsidRPr="00936ADF" w:rsidRDefault="00212D58" w:rsidP="00356BB2">
      <w:pPr>
        <w:pStyle w:val="TFReferencesSection"/>
      </w:pPr>
      <w:r w:rsidRPr="00936ADF">
        <w:t xml:space="preserve">30. Vikse, K.; Naka, T.; McIndoe, J. S.; Besora, M.; Maseras, F. Oxidative Additions of Aryl Halides to Palladium Proceed through the Monoligated Complex. </w:t>
      </w:r>
      <w:r w:rsidRPr="00936ADF">
        <w:rPr>
          <w:i/>
          <w:iCs/>
        </w:rPr>
        <w:t>ChemCatChem</w:t>
      </w:r>
      <w:r w:rsidRPr="00936ADF">
        <w:t xml:space="preserve"> </w:t>
      </w:r>
      <w:r w:rsidRPr="00936ADF">
        <w:rPr>
          <w:b/>
          <w:bCs/>
        </w:rPr>
        <w:t>2013</w:t>
      </w:r>
      <w:r w:rsidRPr="00936ADF">
        <w:t xml:space="preserve">, </w:t>
      </w:r>
      <w:r w:rsidRPr="00936ADF">
        <w:rPr>
          <w:i/>
          <w:iCs/>
        </w:rPr>
        <w:t>5</w:t>
      </w:r>
      <w:r w:rsidRPr="00936ADF">
        <w:t>, 3604–3609.</w:t>
      </w:r>
    </w:p>
    <w:p w14:paraId="33E63621" w14:textId="1CC9B014" w:rsidR="00212D58" w:rsidRPr="00936ADF" w:rsidRDefault="00212D58" w:rsidP="00356BB2">
      <w:pPr>
        <w:pStyle w:val="TFReferencesSection"/>
      </w:pPr>
      <w:r w:rsidRPr="00936ADF">
        <w:t xml:space="preserve">31. Wagschal, S.; Perego, L. A.; Simon, A.; Franco-Espejo, A.; Tocqueville, C.; Albaneze-Walker, J.; Jutand, A.; Grimaud, L. Formation of XPhos-Ligated Palladium(0) Complexes and Reactivity in Oxidative Additions. </w:t>
      </w:r>
      <w:r w:rsidRPr="00936ADF">
        <w:rPr>
          <w:i/>
          <w:iCs/>
        </w:rPr>
        <w:t xml:space="preserve">Chem. Eur. J. </w:t>
      </w:r>
      <w:r w:rsidRPr="00936ADF">
        <w:rPr>
          <w:b/>
          <w:bCs/>
        </w:rPr>
        <w:t>2019</w:t>
      </w:r>
      <w:r w:rsidRPr="00936ADF">
        <w:t xml:space="preserve">, </w:t>
      </w:r>
      <w:r w:rsidRPr="00936ADF">
        <w:rPr>
          <w:i/>
          <w:iCs/>
        </w:rPr>
        <w:t>25</w:t>
      </w:r>
      <w:r w:rsidRPr="00936ADF">
        <w:t>, 6980–6987.</w:t>
      </w:r>
    </w:p>
    <w:p w14:paraId="169C98CD" w14:textId="189D3646" w:rsidR="00212D58" w:rsidRPr="00936ADF" w:rsidRDefault="00212D58" w:rsidP="00356BB2">
      <w:pPr>
        <w:pStyle w:val="TFReferencesSection"/>
      </w:pPr>
      <w:r w:rsidRPr="00936ADF">
        <w:lastRenderedPageBreak/>
        <w:t>32. Hartwig, J. F.; Paul, F. Oxidative Addition of Aryl Bromide after Dissociation of Phosphine from a Two-Coordinate Palladium(0) Complex, Bis(tri-</w:t>
      </w:r>
      <w:r w:rsidRPr="00936ADF">
        <w:rPr>
          <w:i/>
          <w:iCs/>
        </w:rPr>
        <w:t>o</w:t>
      </w:r>
      <w:r w:rsidRPr="00936ADF">
        <w:t xml:space="preserve">-tolylphosphine)palladium(0). </w:t>
      </w:r>
      <w:r w:rsidRPr="00936ADF">
        <w:rPr>
          <w:i/>
          <w:iCs/>
        </w:rPr>
        <w:t>J. Am. Chem. Soc.</w:t>
      </w:r>
      <w:r w:rsidRPr="00936ADF">
        <w:t xml:space="preserve"> </w:t>
      </w:r>
      <w:r w:rsidRPr="00936ADF">
        <w:rPr>
          <w:b/>
          <w:bCs/>
        </w:rPr>
        <w:t>1995</w:t>
      </w:r>
      <w:r w:rsidRPr="00936ADF">
        <w:t xml:space="preserve">, </w:t>
      </w:r>
      <w:r w:rsidRPr="00936ADF">
        <w:rPr>
          <w:i/>
          <w:iCs/>
        </w:rPr>
        <w:t>117</w:t>
      </w:r>
      <w:r w:rsidRPr="00936ADF">
        <w:t>, 5373-5374.</w:t>
      </w:r>
    </w:p>
    <w:p w14:paraId="14BB4CEB" w14:textId="277713D0" w:rsidR="00212D58" w:rsidRPr="00936ADF" w:rsidRDefault="00212D58" w:rsidP="00356BB2">
      <w:pPr>
        <w:pStyle w:val="TFReferencesSection"/>
      </w:pPr>
      <w:r w:rsidRPr="00936ADF">
        <w:t xml:space="preserve">33. Lewis, A. K. K.; Caddick, S.; Cloke, F. G. N.; Billingham, N. C.; Hitchcock, P. B.; Leonard, J. Synthetic, Structural, and Mechanistic Studies on the Oxidative Addition of Aromatic Chlorides to a Palladium (N-Heterocyclic Carbene) Complex: Relevance to Catalytic Amination. </w:t>
      </w:r>
      <w:r w:rsidRPr="00936ADF">
        <w:rPr>
          <w:i/>
          <w:iCs/>
        </w:rPr>
        <w:t>J. Am. Chem. Soc.</w:t>
      </w:r>
      <w:r w:rsidRPr="00936ADF">
        <w:t xml:space="preserve"> </w:t>
      </w:r>
      <w:r w:rsidRPr="00936ADF">
        <w:rPr>
          <w:b/>
          <w:bCs/>
        </w:rPr>
        <w:t>2003</w:t>
      </w:r>
      <w:r w:rsidRPr="00936ADF">
        <w:t xml:space="preserve">, </w:t>
      </w:r>
      <w:r w:rsidRPr="00936ADF">
        <w:rPr>
          <w:i/>
          <w:iCs/>
        </w:rPr>
        <w:t>125</w:t>
      </w:r>
      <w:r w:rsidRPr="00936ADF">
        <w:t>, 10066–10073.</w:t>
      </w:r>
    </w:p>
    <w:p w14:paraId="10D0D178" w14:textId="6FD336F8" w:rsidR="00212D58" w:rsidRPr="00936ADF" w:rsidRDefault="00212D58" w:rsidP="00356BB2">
      <w:pPr>
        <w:pStyle w:val="TFReferencesSection"/>
      </w:pPr>
      <w:r w:rsidRPr="00936ADF">
        <w:t>34. Although performed with a different ligand (PPh</w:t>
      </w:r>
      <w:r w:rsidRPr="00936ADF">
        <w:rPr>
          <w:vertAlign w:val="subscript"/>
        </w:rPr>
        <w:t>3</w:t>
      </w:r>
      <w:r w:rsidRPr="00936ADF">
        <w:t>), molecular dynamics simulations have suggested that 12</w:t>
      </w:r>
      <w:r w:rsidRPr="00936ADF">
        <w:rPr>
          <w:i/>
          <w:iCs/>
        </w:rPr>
        <w:t>e</w:t>
      </w:r>
      <w:r w:rsidRPr="00936ADF">
        <w:rPr>
          <w:vertAlign w:val="superscript"/>
        </w:rPr>
        <w:t>–</w:t>
      </w:r>
      <w:r w:rsidRPr="00936ADF">
        <w:t xml:space="preserve"> PdL is not accessible in solution: Vidossich, P.; Ujaque, G.; Lledós, A. Palladium monophosphine Pd(PPh</w:t>
      </w:r>
      <w:r w:rsidRPr="00936ADF">
        <w:rPr>
          <w:vertAlign w:val="subscript"/>
        </w:rPr>
        <w:t>3</w:t>
      </w:r>
      <w:r w:rsidRPr="00936ADF">
        <w:t xml:space="preserve">): is it really accessible in solution? </w:t>
      </w:r>
      <w:r w:rsidRPr="00936ADF">
        <w:rPr>
          <w:i/>
          <w:iCs/>
        </w:rPr>
        <w:t>Chem. Commun.</w:t>
      </w:r>
      <w:r w:rsidRPr="00936ADF">
        <w:t xml:space="preserve"> </w:t>
      </w:r>
      <w:r w:rsidRPr="00936ADF">
        <w:rPr>
          <w:b/>
          <w:bCs/>
        </w:rPr>
        <w:t>2014</w:t>
      </w:r>
      <w:r w:rsidRPr="00936ADF">
        <w:t xml:space="preserve">, </w:t>
      </w:r>
      <w:r w:rsidRPr="00936ADF">
        <w:rPr>
          <w:i/>
          <w:iCs/>
        </w:rPr>
        <w:t>50</w:t>
      </w:r>
      <w:r w:rsidRPr="00936ADF">
        <w:t>, 661–663.</w:t>
      </w:r>
    </w:p>
    <w:p w14:paraId="72CE24E4" w14:textId="0E415B47" w:rsidR="00212D58" w:rsidRPr="00936ADF" w:rsidRDefault="00212D58" w:rsidP="00356BB2">
      <w:pPr>
        <w:pStyle w:val="TFReferencesSection"/>
      </w:pPr>
      <w:r w:rsidRPr="00936ADF">
        <w:t>35. Lau, S. H.; Chen, L.; Kevlishvili, I.; Davis, K.; Liu, P.; Carrow, B. Capturing the Most Active State of a Palladium(0) Cross-Coupling Catalyst.</w:t>
      </w:r>
      <w:r w:rsidRPr="00936ADF">
        <w:rPr>
          <w:i/>
          <w:iCs/>
        </w:rPr>
        <w:t xml:space="preserve"> ChemRxiv</w:t>
      </w:r>
      <w:r w:rsidRPr="00936ADF">
        <w:t xml:space="preserve"> </w:t>
      </w:r>
      <w:r w:rsidRPr="00936ADF">
        <w:rPr>
          <w:b/>
          <w:bCs/>
        </w:rPr>
        <w:t>2021</w:t>
      </w:r>
      <w:r w:rsidRPr="00936ADF">
        <w:t>; preprint. DOI: 10.26434/chemrxiv-2021-477kn (accessed 2024-01-05).</w:t>
      </w:r>
    </w:p>
    <w:p w14:paraId="3E014D80" w14:textId="086E3146" w:rsidR="00212D58" w:rsidRPr="00936ADF" w:rsidRDefault="00212D58" w:rsidP="00356BB2">
      <w:pPr>
        <w:pStyle w:val="TFReferencesSection"/>
      </w:pPr>
      <w:r w:rsidRPr="00936ADF">
        <w:t xml:space="preserve">36. Reeves, E. K.; Humke, J. N.; Neufeldt, S. R. </w:t>
      </w:r>
      <w:r w:rsidRPr="00936ADF">
        <w:rPr>
          <w:i/>
          <w:iCs/>
        </w:rPr>
        <w:t>N</w:t>
      </w:r>
      <w:r w:rsidRPr="00936ADF">
        <w:t xml:space="preserve">-Heterocyclic Carbene Ligand-Controlled Chemodivergent Suzuki-Miyaura Cross Coupling. </w:t>
      </w:r>
      <w:r w:rsidRPr="00936ADF">
        <w:rPr>
          <w:i/>
          <w:iCs/>
        </w:rPr>
        <w:t>J. Org. Chem.</w:t>
      </w:r>
      <w:r w:rsidRPr="00936ADF">
        <w:t xml:space="preserve"> </w:t>
      </w:r>
      <w:r w:rsidRPr="00936ADF">
        <w:rPr>
          <w:b/>
          <w:bCs/>
        </w:rPr>
        <w:t>2019</w:t>
      </w:r>
      <w:r w:rsidRPr="00936ADF">
        <w:t xml:space="preserve">, </w:t>
      </w:r>
      <w:r w:rsidRPr="00936ADF">
        <w:rPr>
          <w:i/>
          <w:iCs/>
        </w:rPr>
        <w:t>84</w:t>
      </w:r>
      <w:r w:rsidRPr="00936ADF">
        <w:t>, 11799–11812.</w:t>
      </w:r>
    </w:p>
    <w:p w14:paraId="6E86DB42" w14:textId="14003671" w:rsidR="00212D58" w:rsidRPr="00936ADF" w:rsidRDefault="00212D58" w:rsidP="00356BB2">
      <w:pPr>
        <w:pStyle w:val="TFReferencesSection"/>
      </w:pPr>
      <w:r w:rsidRPr="00936ADF">
        <w:t>37. At higher temperatures, more diarylation is observed, which is inconsistent with direct dissociation of PdL from mono-cross-coupled product (an entropically favorable process), but consistent with a bimolecular mechanism for ligand dissociation (see Table S21).</w:t>
      </w:r>
    </w:p>
    <w:p w14:paraId="013E499D" w14:textId="3A08CDB1" w:rsidR="00212D58" w:rsidRPr="00936ADF" w:rsidRDefault="00212D58" w:rsidP="00356BB2">
      <w:pPr>
        <w:pStyle w:val="TFReferencesSection"/>
      </w:pPr>
      <w:r w:rsidRPr="00936ADF">
        <w:t xml:space="preserve">38. Ahlquist, M.; Norrby, P.-O. Oxidative Addition of Aryl Chlorides to Monoligated Palladium(0): A DFT-SCRF Study. </w:t>
      </w:r>
      <w:r w:rsidRPr="00936ADF">
        <w:rPr>
          <w:i/>
          <w:iCs/>
        </w:rPr>
        <w:t xml:space="preserve">Organometallics </w:t>
      </w:r>
      <w:r w:rsidRPr="00936ADF">
        <w:rPr>
          <w:b/>
          <w:bCs/>
        </w:rPr>
        <w:t>2007</w:t>
      </w:r>
      <w:r w:rsidRPr="00936ADF">
        <w:t xml:space="preserve">, </w:t>
      </w:r>
      <w:r w:rsidRPr="00936ADF">
        <w:rPr>
          <w:i/>
          <w:iCs/>
        </w:rPr>
        <w:t>26</w:t>
      </w:r>
      <w:r w:rsidRPr="00936ADF">
        <w:t>, 550–553.</w:t>
      </w:r>
    </w:p>
    <w:p w14:paraId="55073E8F" w14:textId="5AC493B8" w:rsidR="00212D58" w:rsidRPr="00936ADF" w:rsidRDefault="00212D58" w:rsidP="00356BB2">
      <w:pPr>
        <w:pStyle w:val="TFReferencesSection"/>
      </w:pPr>
      <w:r w:rsidRPr="00936ADF">
        <w:t xml:space="preserve">39. Elias, E. K.; Rehbein, S. M.; Neufeldt, S. R. Solvent coordination to palladium can invert the selectivity of oxidative addition </w:t>
      </w:r>
      <w:r w:rsidRPr="00936ADF">
        <w:rPr>
          <w:i/>
          <w:iCs/>
        </w:rPr>
        <w:t>Chem. Sci.</w:t>
      </w:r>
      <w:r w:rsidRPr="00936ADF">
        <w:t xml:space="preserve"> </w:t>
      </w:r>
      <w:r w:rsidRPr="00936ADF">
        <w:rPr>
          <w:b/>
          <w:bCs/>
        </w:rPr>
        <w:t>2022</w:t>
      </w:r>
      <w:r w:rsidRPr="00936ADF">
        <w:t xml:space="preserve">, </w:t>
      </w:r>
      <w:r w:rsidRPr="00936ADF">
        <w:rPr>
          <w:i/>
          <w:iCs/>
        </w:rPr>
        <w:t>13</w:t>
      </w:r>
      <w:r w:rsidRPr="00936ADF">
        <w:t>, 1618–1628.</w:t>
      </w:r>
    </w:p>
    <w:p w14:paraId="0E3AAA07" w14:textId="51C18FFA" w:rsidR="00212D58" w:rsidRPr="00936ADF" w:rsidRDefault="00212D58" w:rsidP="00356BB2">
      <w:pPr>
        <w:pStyle w:val="TFReferencesSection"/>
      </w:pPr>
      <w:r w:rsidRPr="00936ADF">
        <w:t xml:space="preserve">40. Yu, H. S.; He, X.; Li, S. L.; Truhlar, D. G. MN15: A Kohn–Sham global-hybrid exchange–correlation density functional with broad </w:t>
      </w:r>
      <w:r w:rsidRPr="00936ADF">
        <w:t xml:space="preserve">accuracy for multi-reference and single-reference systems and noncovalent interactions. </w:t>
      </w:r>
      <w:r w:rsidRPr="00936ADF">
        <w:rPr>
          <w:i/>
          <w:iCs/>
        </w:rPr>
        <w:t>Chem. Sci.</w:t>
      </w:r>
      <w:r w:rsidRPr="00936ADF">
        <w:t xml:space="preserve"> </w:t>
      </w:r>
      <w:r w:rsidRPr="00936ADF">
        <w:rPr>
          <w:b/>
          <w:bCs/>
        </w:rPr>
        <w:t>2016</w:t>
      </w:r>
      <w:r w:rsidRPr="00936ADF">
        <w:t xml:space="preserve">, </w:t>
      </w:r>
      <w:r w:rsidRPr="00936ADF">
        <w:rPr>
          <w:i/>
          <w:iCs/>
        </w:rPr>
        <w:t>7</w:t>
      </w:r>
      <w:r w:rsidRPr="00936ADF">
        <w:t>, 5032-5051.</w:t>
      </w:r>
    </w:p>
    <w:p w14:paraId="3CE21BAE" w14:textId="734704FE" w:rsidR="00212D58" w:rsidRPr="00936ADF" w:rsidRDefault="00212D58" w:rsidP="00356BB2">
      <w:pPr>
        <w:pStyle w:val="TFReferencesSection"/>
      </w:pPr>
      <w:r w:rsidRPr="00936ADF">
        <w:t xml:space="preserve">41. Yu, H. S.; He, X.; Truhlar, D. G. MN15-L: A New Local Exchange-Correlation Functional for Kohn−Sham Density Functional Theory with Broad Accuracy for Atoms, Molecules, and Solids. </w:t>
      </w:r>
      <w:r w:rsidRPr="00936ADF">
        <w:rPr>
          <w:i/>
          <w:iCs/>
        </w:rPr>
        <w:t xml:space="preserve">J. Chem. Theory Comput. </w:t>
      </w:r>
      <w:r w:rsidRPr="00936ADF">
        <w:rPr>
          <w:b/>
          <w:bCs/>
        </w:rPr>
        <w:t>2016</w:t>
      </w:r>
      <w:r w:rsidRPr="00936ADF">
        <w:t xml:space="preserve">, </w:t>
      </w:r>
      <w:r w:rsidRPr="00936ADF">
        <w:rPr>
          <w:i/>
          <w:iCs/>
        </w:rPr>
        <w:t>12</w:t>
      </w:r>
      <w:r w:rsidRPr="00936ADF">
        <w:t>, 1280–1293.</w:t>
      </w:r>
    </w:p>
    <w:p w14:paraId="7A10588A" w14:textId="2E93AE1A" w:rsidR="00212D58" w:rsidRPr="00936ADF" w:rsidRDefault="00212D58" w:rsidP="00356BB2">
      <w:pPr>
        <w:pStyle w:val="TFReferencesSection"/>
      </w:pPr>
      <w:r w:rsidRPr="00936ADF">
        <w:t xml:space="preserve">42. Moltved, K. A.; Kepp, K. P.; Chemical Bond Energies of 3d Transition Metals Studied by Density Functional Theory. </w:t>
      </w:r>
      <w:r w:rsidRPr="00936ADF">
        <w:rPr>
          <w:i/>
          <w:iCs/>
        </w:rPr>
        <w:t>J. Chem. Theory Comput.</w:t>
      </w:r>
      <w:r w:rsidRPr="00936ADF">
        <w:t xml:space="preserve"> </w:t>
      </w:r>
      <w:r w:rsidRPr="00936ADF">
        <w:rPr>
          <w:b/>
          <w:bCs/>
        </w:rPr>
        <w:t>2018</w:t>
      </w:r>
      <w:r w:rsidRPr="00936ADF">
        <w:t xml:space="preserve">, </w:t>
      </w:r>
      <w:r w:rsidRPr="00936ADF">
        <w:rPr>
          <w:i/>
          <w:iCs/>
        </w:rPr>
        <w:t>14</w:t>
      </w:r>
      <w:r w:rsidRPr="00936ADF">
        <w:t>, 3479–3492.</w:t>
      </w:r>
    </w:p>
    <w:p w14:paraId="53E03202" w14:textId="6068AC85" w:rsidR="00212D58" w:rsidRPr="00936ADF" w:rsidRDefault="00212D58" w:rsidP="00356BB2">
      <w:pPr>
        <w:pStyle w:val="TFReferencesSection"/>
      </w:pPr>
      <w:r w:rsidRPr="00936ADF">
        <w:t xml:space="preserve">43. All thermodynamic quantities were computed with the GoodVibes code (298.15 K) applying corrections for initial concentrations ([Pd] = 0.0075 </w:t>
      </w:r>
      <w:r w:rsidRPr="00936ADF">
        <w:rPr>
          <w:i/>
          <w:iCs/>
        </w:rPr>
        <w:t xml:space="preserve">M, </w:t>
      </w:r>
      <w:r w:rsidRPr="00936ADF">
        <w:t>[</w:t>
      </w:r>
      <w:r w:rsidRPr="00936ADF">
        <w:rPr>
          <w:b/>
          <w:bCs/>
        </w:rPr>
        <w:t>1</w:t>
      </w:r>
      <w:r w:rsidRPr="00936ADF">
        <w:t>] or [</w:t>
      </w:r>
      <w:r w:rsidRPr="00936ADF">
        <w:rPr>
          <w:b/>
          <w:bCs/>
        </w:rPr>
        <w:t>4</w:t>
      </w:r>
      <w:r w:rsidRPr="00936ADF">
        <w:t xml:space="preserve">] = 0.2375 </w:t>
      </w:r>
      <w:r w:rsidRPr="00936ADF">
        <w:rPr>
          <w:i/>
          <w:iCs/>
        </w:rPr>
        <w:t>M</w:t>
      </w:r>
      <w:r w:rsidRPr="00936ADF">
        <w:t>, and [</w:t>
      </w:r>
      <w:r w:rsidRPr="00936ADF">
        <w:rPr>
          <w:b/>
          <w:bCs/>
        </w:rPr>
        <w:t>1a-mono</w:t>
      </w:r>
      <w:r w:rsidRPr="00936ADF">
        <w:t>] or [</w:t>
      </w:r>
      <w:r w:rsidRPr="00936ADF">
        <w:rPr>
          <w:b/>
          <w:bCs/>
        </w:rPr>
        <w:t>4a-mono</w:t>
      </w:r>
      <w:r w:rsidRPr="00936ADF">
        <w:t xml:space="preserve">] = 0.0125 </w:t>
      </w:r>
      <w:r w:rsidRPr="00936ADF">
        <w:rPr>
          <w:i/>
          <w:iCs/>
        </w:rPr>
        <w:t>M</w:t>
      </w:r>
      <w:r w:rsidRPr="00936ADF">
        <w:t>): Luchini, G.; Alegre- Requena, J. V.; Funes-Ardoiz, I.; Paton, R. S. GoodVibes: Automated Thermochemistry for Heterogeneous Computational Chemistry Data. F1000Research 2020, 9, 291.</w:t>
      </w:r>
    </w:p>
    <w:p w14:paraId="2232548F" w14:textId="703CCB60" w:rsidR="00212D58" w:rsidRPr="00936ADF" w:rsidRDefault="00212D58" w:rsidP="00356BB2">
      <w:pPr>
        <w:pStyle w:val="TFReferencesSection"/>
      </w:pPr>
      <w:r w:rsidRPr="00936ADF">
        <w:t xml:space="preserve">44. </w:t>
      </w:r>
      <w:r w:rsidR="00356BB2" w:rsidRPr="00936ADF">
        <w:t xml:space="preserve">Ryde, U.; Mata, R. A.; Grimme, S. Does DFT-D estimate accurate energies for the binding of ligands to metal complexes? </w:t>
      </w:r>
      <w:r w:rsidR="00356BB2" w:rsidRPr="00936ADF">
        <w:rPr>
          <w:i/>
          <w:iCs/>
        </w:rPr>
        <w:t xml:space="preserve">Dalton Trans. </w:t>
      </w:r>
      <w:r w:rsidR="00356BB2" w:rsidRPr="00936ADF">
        <w:rPr>
          <w:b/>
          <w:bCs/>
        </w:rPr>
        <w:t>2011</w:t>
      </w:r>
      <w:r w:rsidR="00356BB2" w:rsidRPr="00936ADF">
        <w:t xml:space="preserve">, </w:t>
      </w:r>
      <w:r w:rsidR="00356BB2" w:rsidRPr="00936ADF">
        <w:rPr>
          <w:i/>
          <w:iCs/>
        </w:rPr>
        <w:t>40</w:t>
      </w:r>
      <w:r w:rsidR="00356BB2" w:rsidRPr="00936ADF">
        <w:t>, 11176-11183.</w:t>
      </w:r>
    </w:p>
    <w:p w14:paraId="77A6152B" w14:textId="17CB1DE9" w:rsidR="00356BB2" w:rsidRPr="00936ADF" w:rsidRDefault="00356BB2" w:rsidP="00356BB2">
      <w:pPr>
        <w:pStyle w:val="TFReferencesSection"/>
      </w:pPr>
      <w:r w:rsidRPr="00936ADF">
        <w:t xml:space="preserve">45. Leone, A. K.; McNeil, A. J. Matchmaking in Catalyst-Transfer Polycondensation: Optimizing Catalysts based on Mechanistic Insight. </w:t>
      </w:r>
      <w:r w:rsidRPr="00936ADF">
        <w:rPr>
          <w:i/>
          <w:iCs/>
        </w:rPr>
        <w:t xml:space="preserve">Acc. Chem. Res. </w:t>
      </w:r>
      <w:r w:rsidRPr="00936ADF">
        <w:rPr>
          <w:b/>
          <w:bCs/>
        </w:rPr>
        <w:t>2016</w:t>
      </w:r>
      <w:r w:rsidRPr="00936ADF">
        <w:t xml:space="preserve">, </w:t>
      </w:r>
      <w:r w:rsidRPr="00936ADF">
        <w:rPr>
          <w:i/>
          <w:iCs/>
        </w:rPr>
        <w:t>49</w:t>
      </w:r>
      <w:r w:rsidRPr="00936ADF">
        <w:t>, 2822-2831.</w:t>
      </w:r>
    </w:p>
    <w:p w14:paraId="55B41F67" w14:textId="14180A50" w:rsidR="00356BB2" w:rsidRPr="00936ADF" w:rsidRDefault="00356BB2" w:rsidP="00356BB2">
      <w:pPr>
        <w:pStyle w:val="TFReferencesSection"/>
      </w:pPr>
      <w:r w:rsidRPr="00936ADF">
        <w:t xml:space="preserve">46. See also: (a) Nasielski, J.; Hadei, N.; Achonduh, G.; Kantchev, E. A. B.; O’Brien, C. J.; Lough, A.; Organ, M. G. Structure–Activity Relationship Analysis of Pd–PEPPSI Complexes in Cross-Couplings: A Close Inspection of the Catalytic Cycle and the Precatalyst Activation Model. </w:t>
      </w:r>
      <w:r w:rsidRPr="00936ADF">
        <w:rPr>
          <w:i/>
          <w:iCs/>
        </w:rPr>
        <w:t>Chem. Eur. J.</w:t>
      </w:r>
      <w:r w:rsidRPr="00936ADF">
        <w:t xml:space="preserve"> </w:t>
      </w:r>
      <w:r w:rsidRPr="00936ADF">
        <w:rPr>
          <w:b/>
          <w:bCs/>
        </w:rPr>
        <w:t>2010</w:t>
      </w:r>
      <w:r w:rsidRPr="00936ADF">
        <w:t xml:space="preserve">, </w:t>
      </w:r>
      <w:r w:rsidRPr="00936ADF">
        <w:rPr>
          <w:i/>
          <w:iCs/>
        </w:rPr>
        <w:t>16</w:t>
      </w:r>
      <w:r w:rsidRPr="00936ADF">
        <w:t>, 10844–10853; (b) Chen, M. T.; Vicic, D. A.; Turner, M. L.; Navarro, O. (N-Heterocyclic Carbene)PdCl</w:t>
      </w:r>
      <w:r w:rsidRPr="00936ADF">
        <w:rPr>
          <w:vertAlign w:val="subscript"/>
        </w:rPr>
        <w:t>2</w:t>
      </w:r>
      <w:r w:rsidRPr="00936ADF">
        <w:t xml:space="preserve">(TEA) Complexes: Studies on the Effect of the “Throw-Away” Ligand in Catalytic Activity. </w:t>
      </w:r>
      <w:r w:rsidRPr="00936ADF">
        <w:rPr>
          <w:i/>
          <w:iCs/>
        </w:rPr>
        <w:t>Organometallics</w:t>
      </w:r>
      <w:r w:rsidRPr="00936ADF">
        <w:t xml:space="preserve"> </w:t>
      </w:r>
      <w:r w:rsidRPr="00936ADF">
        <w:rPr>
          <w:b/>
          <w:bCs/>
        </w:rPr>
        <w:t>2011</w:t>
      </w:r>
      <w:r w:rsidRPr="00936ADF">
        <w:t xml:space="preserve">, </w:t>
      </w:r>
      <w:r w:rsidRPr="00936ADF">
        <w:rPr>
          <w:i/>
          <w:iCs/>
        </w:rPr>
        <w:t>30</w:t>
      </w:r>
      <w:r w:rsidRPr="00936ADF">
        <w:t>, 5052–5056.</w:t>
      </w:r>
    </w:p>
    <w:p w14:paraId="63146731" w14:textId="77777777" w:rsidR="00B421C3" w:rsidRPr="00936ADF" w:rsidRDefault="00E71831" w:rsidP="00D924F3">
      <w:pPr>
        <w:pStyle w:val="SNSynopsisTOC"/>
        <w:sectPr w:rsidR="00B421C3" w:rsidRPr="00936ADF" w:rsidSect="003E5D0F">
          <w:endnotePr>
            <w:numFmt w:val="decimal"/>
          </w:endnotePr>
          <w:type w:val="continuous"/>
          <w:pgSz w:w="12240" w:h="15840"/>
          <w:pgMar w:top="720" w:right="1094" w:bottom="720" w:left="1094" w:header="720" w:footer="720" w:gutter="0"/>
          <w:cols w:num="2" w:space="461"/>
        </w:sectPr>
      </w:pPr>
      <w:r w:rsidRPr="00936ADF">
        <w:br w:type="page"/>
      </w:r>
    </w:p>
    <w:p w14:paraId="2D084438" w14:textId="77777777" w:rsidR="00A140A8" w:rsidRPr="00936ADF" w:rsidRDefault="00A140A8" w:rsidP="00A140A8">
      <w:pPr>
        <w:pBdr>
          <w:bottom w:val="single" w:sz="4" w:space="1" w:color="auto"/>
        </w:pBdr>
        <w:spacing w:after="240"/>
        <w:jc w:val="center"/>
        <w:rPr>
          <w:rFonts w:ascii="Arno Pro" w:hAnsi="Arno Pro"/>
        </w:rPr>
      </w:pPr>
    </w:p>
    <w:p w14:paraId="7C3D9F0F" w14:textId="50D99E0D" w:rsidR="00B421C3" w:rsidRPr="00C45E7B" w:rsidRDefault="00433A83" w:rsidP="00A140A8">
      <w:pPr>
        <w:pBdr>
          <w:bottom w:val="single" w:sz="4" w:space="1" w:color="auto"/>
        </w:pBdr>
        <w:spacing w:after="240"/>
        <w:jc w:val="center"/>
        <w:rPr>
          <w:rFonts w:ascii="Arno Pro" w:hAnsi="Arno Pro"/>
        </w:rPr>
      </w:pPr>
      <w:r w:rsidRPr="00936ADF">
        <w:rPr>
          <w:rFonts w:ascii="Arno Pro" w:hAnsi="Arno Pro"/>
          <w:noProof/>
        </w:rPr>
        <w:drawing>
          <wp:inline distT="0" distB="0" distL="0" distR="0" wp14:anchorId="47914226" wp14:editId="5BCF9931">
            <wp:extent cx="2953512" cy="1572768"/>
            <wp:effectExtent l="0" t="0" r="0" b="2540"/>
            <wp:docPr id="174161837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1618375" name=""/>
                    <pic:cNvPicPr/>
                  </pic:nvPicPr>
                  <pic:blipFill>
                    <a:blip r:embed="rId22"/>
                    <a:stretch>
                      <a:fillRect/>
                    </a:stretch>
                  </pic:blipFill>
                  <pic:spPr>
                    <a:xfrm>
                      <a:off x="0" y="0"/>
                      <a:ext cx="2953512" cy="1572768"/>
                    </a:xfrm>
                    <a:prstGeom prst="rect">
                      <a:avLst/>
                    </a:prstGeom>
                  </pic:spPr>
                </pic:pic>
              </a:graphicData>
            </a:graphic>
          </wp:inline>
        </w:drawing>
      </w:r>
    </w:p>
    <w:sectPr w:rsidR="00B421C3" w:rsidRPr="00C45E7B" w:rsidSect="003E5D0F">
      <w:headerReference w:type="even" r:id="rId23"/>
      <w:footerReference w:type="even" r:id="rId24"/>
      <w:footerReference w:type="default" r:id="rId25"/>
      <w:endnotePr>
        <w:numFmt w:val="decimal"/>
      </w:endnotePr>
      <w:type w:val="continuous"/>
      <w:pgSz w:w="12240" w:h="15840"/>
      <w:pgMar w:top="720" w:right="1094" w:bottom="720" w:left="1094" w:header="0" w:footer="0" w:gutter="0"/>
      <w:cols w:space="475"/>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945042E" w14:textId="77777777" w:rsidR="003E5D0F" w:rsidRDefault="003E5D0F"/>
  </w:endnote>
  <w:endnote w:type="continuationSeparator" w:id="0">
    <w:p w14:paraId="69F8F69D" w14:textId="77777777" w:rsidR="003E5D0F" w:rsidRDefault="003E5D0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ew York">
    <w:altName w:val="Times New Roman"/>
    <w:panose1 w:val="020B0604020202020204"/>
    <w:charset w:val="00"/>
    <w:family w:val="roman"/>
    <w:pitch w:val="variable"/>
    <w:sig w:usb0="00000003" w:usb1="00000000" w:usb2="00000000" w:usb3="00000000" w:csb0="00000001" w:csb1="00000000"/>
  </w:font>
  <w:font w:name="Times">
    <w:panose1 w:val="00000500000000020000"/>
    <w:charset w:val="00"/>
    <w:family w:val="auto"/>
    <w:pitch w:val="variable"/>
    <w:sig w:usb0="E00002FF" w:usb1="5000205A" w:usb2="00000000" w:usb3="00000000" w:csb0="0000019F" w:csb1="00000000"/>
  </w:font>
  <w:font w:name="Myriad Pro Light">
    <w:altName w:val="Segoe UI Light"/>
    <w:panose1 w:val="020B0604020202020204"/>
    <w:charset w:val="00"/>
    <w:family w:val="swiss"/>
    <w:pitch w:val="variable"/>
    <w:sig w:usb0="A00002AF" w:usb1="5000204B" w:usb2="00000000" w:usb3="00000000" w:csb0="0000019F" w:csb1="00000000"/>
  </w:font>
  <w:font w:name="Arial">
    <w:panose1 w:val="020B0604020202020204"/>
    <w:charset w:val="00"/>
    <w:family w:val="swiss"/>
    <w:pitch w:val="variable"/>
    <w:sig w:usb0="E0002EFF" w:usb1="C000785B" w:usb2="00000009" w:usb3="00000000" w:csb0="000001FF" w:csb1="00000000"/>
  </w:font>
  <w:font w:name="Arno Pro">
    <w:altName w:val="Cambria"/>
    <w:panose1 w:val="020B0604020202020204"/>
    <w:charset w:val="00"/>
    <w:family w:val="roman"/>
    <w:notTrueType/>
    <w:pitch w:val="variable"/>
    <w:sig w:usb0="60000287"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Symbol">
    <w:panose1 w:val="05050102010706020507"/>
    <w:charset w:val="02"/>
    <w:family w:val="decorative"/>
    <w:pitch w:val="variable"/>
    <w:sig w:usb0="00000003" w:usb1="10000000" w:usb2="00000000" w:usb3="00000000" w:csb0="80000001" w:csb1="00000000"/>
  </w:font>
  <w:font w:name="Cambria Math">
    <w:panose1 w:val="02040503050406030204"/>
    <w:charset w:val="00"/>
    <w:family w:val="roman"/>
    <w:pitch w:val="variable"/>
    <w:sig w:usb0="E00002FF" w:usb1="420024FF" w:usb2="00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8791D" w14:textId="77777777" w:rsidR="00B421C3" w:rsidRDefault="00E71831">
    <w:pPr>
      <w:framePr w:wrap="around" w:vAnchor="text" w:hAnchor="margin" w:xAlign="right" w:y="1"/>
      <w:rPr>
        <w:rStyle w:val="PageNumber"/>
      </w:rPr>
    </w:pPr>
    <w:r>
      <w:rPr>
        <w:rStyle w:val="PageNumber"/>
      </w:rPr>
      <w:t xml:space="preserve">PAGE  </w:t>
    </w:r>
    <w:r>
      <w:rPr>
        <w:rStyle w:val="PageNumber"/>
        <w:noProof/>
      </w:rPr>
      <w:t>2</w:t>
    </w:r>
  </w:p>
  <w:p w14:paraId="2C0B414D" w14:textId="77777777" w:rsidR="00B421C3" w:rsidRDefault="00B421C3">
    <w:pP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73756A" w14:textId="77777777" w:rsidR="00B421C3" w:rsidRDefault="00B421C3">
    <w:pPr>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6069D8" w14:textId="77777777" w:rsidR="00B421C3" w:rsidRDefault="00E7183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14:paraId="71C96014" w14:textId="77777777" w:rsidR="00B421C3" w:rsidRDefault="00B421C3">
    <w:pPr>
      <w:pStyle w:val="Footer"/>
      <w:ind w:right="360"/>
    </w:pPr>
  </w:p>
  <w:p w14:paraId="5577CC96" w14:textId="77777777" w:rsidR="00B421C3" w:rsidRDefault="00B421C3"/>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293D83" w14:textId="77777777" w:rsidR="00B421C3" w:rsidRDefault="00E71831">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4</w:t>
    </w:r>
    <w:r>
      <w:rPr>
        <w:rStyle w:val="PageNumber"/>
      </w:rPr>
      <w:fldChar w:fldCharType="end"/>
    </w:r>
  </w:p>
  <w:p w14:paraId="2729CFE4" w14:textId="77777777" w:rsidR="00B421C3" w:rsidRDefault="00B421C3">
    <w:pPr>
      <w:pStyle w:val="Footer"/>
      <w:ind w:right="360"/>
    </w:pPr>
  </w:p>
  <w:p w14:paraId="0A1916B4" w14:textId="77777777" w:rsidR="00B421C3" w:rsidRDefault="00B421C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14ED78" w14:textId="77777777" w:rsidR="003E5D0F" w:rsidRDefault="003E5D0F">
      <w:r>
        <w:separator/>
      </w:r>
    </w:p>
    <w:p w14:paraId="29E6F21B" w14:textId="77777777" w:rsidR="003E5D0F" w:rsidRDefault="003E5D0F"/>
  </w:footnote>
  <w:footnote w:type="continuationSeparator" w:id="0">
    <w:p w14:paraId="6578F9AB" w14:textId="77777777" w:rsidR="003E5D0F" w:rsidRDefault="003E5D0F">
      <w:r>
        <w:continuationSeparator/>
      </w:r>
    </w:p>
    <w:p w14:paraId="6D0EF5B4" w14:textId="77777777" w:rsidR="003E5D0F" w:rsidRDefault="003E5D0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A29E6" w14:textId="77777777" w:rsidR="00B421C3" w:rsidRDefault="00B421C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26D3F9A"/>
    <w:multiLevelType w:val="singleLevel"/>
    <w:tmpl w:val="8BC469AA"/>
    <w:lvl w:ilvl="0">
      <w:start w:val="1"/>
      <w:numFmt w:val="lowerLetter"/>
      <w:lvlText w:val="%1."/>
      <w:lvlJc w:val="left"/>
      <w:pPr>
        <w:tabs>
          <w:tab w:val="num" w:pos="720"/>
        </w:tabs>
        <w:ind w:left="720" w:hanging="360"/>
      </w:pPr>
      <w:rPr>
        <w:rFonts w:hint="default"/>
      </w:rPr>
    </w:lvl>
  </w:abstractNum>
  <w:abstractNum w:abstractNumId="1" w15:restartNumberingAfterBreak="0">
    <w:nsid w:val="34FD0C72"/>
    <w:multiLevelType w:val="singleLevel"/>
    <w:tmpl w:val="0409000F"/>
    <w:lvl w:ilvl="0">
      <w:start w:val="1"/>
      <w:numFmt w:val="decimal"/>
      <w:lvlText w:val="%1."/>
      <w:lvlJc w:val="left"/>
      <w:pPr>
        <w:tabs>
          <w:tab w:val="num" w:pos="360"/>
        </w:tabs>
        <w:ind w:left="360" w:hanging="360"/>
      </w:pPr>
      <w:rPr>
        <w:rFonts w:hint="default"/>
      </w:rPr>
    </w:lvl>
  </w:abstractNum>
  <w:abstractNum w:abstractNumId="2" w15:restartNumberingAfterBreak="0">
    <w:nsid w:val="3762623B"/>
    <w:multiLevelType w:val="singleLevel"/>
    <w:tmpl w:val="0409000F"/>
    <w:lvl w:ilvl="0">
      <w:start w:val="1"/>
      <w:numFmt w:val="decimal"/>
      <w:lvlText w:val="%1."/>
      <w:lvlJc w:val="left"/>
      <w:pPr>
        <w:tabs>
          <w:tab w:val="num" w:pos="360"/>
        </w:tabs>
        <w:ind w:left="360" w:hanging="360"/>
      </w:pPr>
      <w:rPr>
        <w:rFonts w:hint="default"/>
      </w:rPr>
    </w:lvl>
  </w:abstractNum>
  <w:abstractNum w:abstractNumId="3" w15:restartNumberingAfterBreak="0">
    <w:nsid w:val="384622AB"/>
    <w:multiLevelType w:val="singleLevel"/>
    <w:tmpl w:val="6FF0DD10"/>
    <w:lvl w:ilvl="0">
      <w:start w:val="1"/>
      <w:numFmt w:val="lowerLetter"/>
      <w:lvlText w:val="%1."/>
      <w:lvlJc w:val="left"/>
      <w:pPr>
        <w:tabs>
          <w:tab w:val="num" w:pos="922"/>
        </w:tabs>
        <w:ind w:left="922" w:hanging="360"/>
      </w:pPr>
      <w:rPr>
        <w:rFonts w:hint="default"/>
      </w:rPr>
    </w:lvl>
  </w:abstractNum>
  <w:abstractNum w:abstractNumId="4" w15:restartNumberingAfterBreak="0">
    <w:nsid w:val="3E7A7E0C"/>
    <w:multiLevelType w:val="singleLevel"/>
    <w:tmpl w:val="E32C900E"/>
    <w:lvl w:ilvl="0">
      <w:start w:val="1"/>
      <w:numFmt w:val="decimal"/>
      <w:lvlText w:val="%1."/>
      <w:lvlJc w:val="left"/>
      <w:pPr>
        <w:tabs>
          <w:tab w:val="num" w:pos="562"/>
        </w:tabs>
        <w:ind w:left="562" w:hanging="360"/>
      </w:pPr>
      <w:rPr>
        <w:rFonts w:hint="default"/>
      </w:rPr>
    </w:lvl>
  </w:abstractNum>
  <w:abstractNum w:abstractNumId="5" w15:restartNumberingAfterBreak="0">
    <w:nsid w:val="41DB2E3C"/>
    <w:multiLevelType w:val="singleLevel"/>
    <w:tmpl w:val="E5E28CB0"/>
    <w:lvl w:ilvl="0">
      <w:start w:val="1"/>
      <w:numFmt w:val="lowerLetter"/>
      <w:lvlText w:val="%1."/>
      <w:lvlJc w:val="left"/>
      <w:pPr>
        <w:tabs>
          <w:tab w:val="num" w:pos="1080"/>
        </w:tabs>
        <w:ind w:left="1080" w:hanging="360"/>
      </w:pPr>
      <w:rPr>
        <w:rFonts w:hint="default"/>
      </w:rPr>
    </w:lvl>
  </w:abstractNum>
  <w:num w:numId="1" w16cid:durableId="140540559">
    <w:abstractNumId w:val="4"/>
  </w:num>
  <w:num w:numId="2" w16cid:durableId="1231043859">
    <w:abstractNumId w:val="2"/>
  </w:num>
  <w:num w:numId="3" w16cid:durableId="1192957457">
    <w:abstractNumId w:val="5"/>
  </w:num>
  <w:num w:numId="4" w16cid:durableId="728726387">
    <w:abstractNumId w:val="3"/>
  </w:num>
  <w:num w:numId="5" w16cid:durableId="789662638">
    <w:abstractNumId w:val="1"/>
  </w:num>
  <w:num w:numId="6" w16cid:durableId="13680191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59"/>
  <w:bordersDoNotSurroundHeader/>
  <w:bordersDoNotSurroundFooter/>
  <w:attachedTemplate r:id="rId1"/>
  <w:stylePaneFormatFilter w:val="5026" w:allStyles="0" w:customStyles="1" w:latentStyles="1" w:stylesInUse="0" w:headingStyles="1" w:numberingStyles="0" w:tableStyles="0" w:directFormattingOnRuns="0" w:directFormattingOnParagraphs="0" w:directFormattingOnNumbering="0" w:directFormattingOnTables="0" w:clearFormatting="1" w:top3HeadingStyles="0" w:visibleStyles="1" w:alternateStyleNames="0"/>
  <w:defaultTabStop w:val="720"/>
  <w:autoHyphenation/>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footnotePr>
    <w:footnote w:id="-1"/>
    <w:footnote w:id="0"/>
  </w:footnotePr>
  <w:endnotePr>
    <w:pos w:val="sectEnd"/>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66A86"/>
    <w:rsid w:val="0000135D"/>
    <w:rsid w:val="00007156"/>
    <w:rsid w:val="000079D8"/>
    <w:rsid w:val="00010FE3"/>
    <w:rsid w:val="00016A5D"/>
    <w:rsid w:val="00033C0D"/>
    <w:rsid w:val="00034F43"/>
    <w:rsid w:val="00045B7F"/>
    <w:rsid w:val="00056B45"/>
    <w:rsid w:val="000663D1"/>
    <w:rsid w:val="00075384"/>
    <w:rsid w:val="000A1436"/>
    <w:rsid w:val="000B2904"/>
    <w:rsid w:val="000B33BA"/>
    <w:rsid w:val="000C21B0"/>
    <w:rsid w:val="000C52DD"/>
    <w:rsid w:val="000C7913"/>
    <w:rsid w:val="000F747C"/>
    <w:rsid w:val="0010345B"/>
    <w:rsid w:val="001117B3"/>
    <w:rsid w:val="00116614"/>
    <w:rsid w:val="00116EC2"/>
    <w:rsid w:val="00121889"/>
    <w:rsid w:val="0013176E"/>
    <w:rsid w:val="00135315"/>
    <w:rsid w:val="001359BB"/>
    <w:rsid w:val="0018603D"/>
    <w:rsid w:val="00187D8A"/>
    <w:rsid w:val="001D273B"/>
    <w:rsid w:val="001E085E"/>
    <w:rsid w:val="001F2840"/>
    <w:rsid w:val="001F29CA"/>
    <w:rsid w:val="001F3F30"/>
    <w:rsid w:val="001F5B8D"/>
    <w:rsid w:val="001F6137"/>
    <w:rsid w:val="0020095C"/>
    <w:rsid w:val="00212D58"/>
    <w:rsid w:val="00214870"/>
    <w:rsid w:val="00214D4E"/>
    <w:rsid w:val="00214EDF"/>
    <w:rsid w:val="00216658"/>
    <w:rsid w:val="002171BE"/>
    <w:rsid w:val="00222E7A"/>
    <w:rsid w:val="00225EE3"/>
    <w:rsid w:val="00232480"/>
    <w:rsid w:val="0023643B"/>
    <w:rsid w:val="002404D0"/>
    <w:rsid w:val="002417E3"/>
    <w:rsid w:val="00251306"/>
    <w:rsid w:val="00257F98"/>
    <w:rsid w:val="00261D0F"/>
    <w:rsid w:val="00264E0C"/>
    <w:rsid w:val="002714E3"/>
    <w:rsid w:val="0028551B"/>
    <w:rsid w:val="002904C6"/>
    <w:rsid w:val="002952D6"/>
    <w:rsid w:val="00296265"/>
    <w:rsid w:val="00296528"/>
    <w:rsid w:val="002A62D5"/>
    <w:rsid w:val="002A66F9"/>
    <w:rsid w:val="002B0088"/>
    <w:rsid w:val="002B7799"/>
    <w:rsid w:val="002D5EFA"/>
    <w:rsid w:val="002E0252"/>
    <w:rsid w:val="002E10C6"/>
    <w:rsid w:val="002E53AE"/>
    <w:rsid w:val="002F16B4"/>
    <w:rsid w:val="002F1971"/>
    <w:rsid w:val="003228B8"/>
    <w:rsid w:val="0032392A"/>
    <w:rsid w:val="00326BFB"/>
    <w:rsid w:val="0033121A"/>
    <w:rsid w:val="00333CD0"/>
    <w:rsid w:val="00334C80"/>
    <w:rsid w:val="003374F8"/>
    <w:rsid w:val="00346C77"/>
    <w:rsid w:val="00356BB2"/>
    <w:rsid w:val="00364D47"/>
    <w:rsid w:val="00373478"/>
    <w:rsid w:val="00373FF4"/>
    <w:rsid w:val="00386F0E"/>
    <w:rsid w:val="00397649"/>
    <w:rsid w:val="003A7106"/>
    <w:rsid w:val="003B0309"/>
    <w:rsid w:val="003C2D4E"/>
    <w:rsid w:val="003C30D1"/>
    <w:rsid w:val="003E5D0F"/>
    <w:rsid w:val="003E696F"/>
    <w:rsid w:val="003F0EE0"/>
    <w:rsid w:val="003F4838"/>
    <w:rsid w:val="003F5872"/>
    <w:rsid w:val="00412868"/>
    <w:rsid w:val="004131F9"/>
    <w:rsid w:val="00416FBF"/>
    <w:rsid w:val="00433A83"/>
    <w:rsid w:val="0046042C"/>
    <w:rsid w:val="0046046E"/>
    <w:rsid w:val="0047669B"/>
    <w:rsid w:val="00481AFC"/>
    <w:rsid w:val="00496493"/>
    <w:rsid w:val="004A605F"/>
    <w:rsid w:val="004A623D"/>
    <w:rsid w:val="004A6EA7"/>
    <w:rsid w:val="004B2502"/>
    <w:rsid w:val="004C4CCC"/>
    <w:rsid w:val="004D6386"/>
    <w:rsid w:val="004E18FB"/>
    <w:rsid w:val="004E4D4E"/>
    <w:rsid w:val="005009EF"/>
    <w:rsid w:val="00501B8F"/>
    <w:rsid w:val="00504B6C"/>
    <w:rsid w:val="00514CD4"/>
    <w:rsid w:val="00534FC9"/>
    <w:rsid w:val="00540250"/>
    <w:rsid w:val="0054303F"/>
    <w:rsid w:val="0054311A"/>
    <w:rsid w:val="00547916"/>
    <w:rsid w:val="00553545"/>
    <w:rsid w:val="005754C8"/>
    <w:rsid w:val="0058099E"/>
    <w:rsid w:val="00591144"/>
    <w:rsid w:val="00594F1A"/>
    <w:rsid w:val="00597D0D"/>
    <w:rsid w:val="005A5FCF"/>
    <w:rsid w:val="005B5E87"/>
    <w:rsid w:val="005C0B11"/>
    <w:rsid w:val="005C4888"/>
    <w:rsid w:val="005D393C"/>
    <w:rsid w:val="005D74B9"/>
    <w:rsid w:val="005E2EB9"/>
    <w:rsid w:val="005E3724"/>
    <w:rsid w:val="005E59F0"/>
    <w:rsid w:val="005E7629"/>
    <w:rsid w:val="005E76F7"/>
    <w:rsid w:val="005E7857"/>
    <w:rsid w:val="005F1F4D"/>
    <w:rsid w:val="005F3601"/>
    <w:rsid w:val="00604D7D"/>
    <w:rsid w:val="006130C2"/>
    <w:rsid w:val="00615400"/>
    <w:rsid w:val="006366E7"/>
    <w:rsid w:val="00637ACA"/>
    <w:rsid w:val="00646186"/>
    <w:rsid w:val="0065581F"/>
    <w:rsid w:val="00671BFB"/>
    <w:rsid w:val="00675EA8"/>
    <w:rsid w:val="00687DAE"/>
    <w:rsid w:val="00692F68"/>
    <w:rsid w:val="0069327E"/>
    <w:rsid w:val="006A3B15"/>
    <w:rsid w:val="006A4646"/>
    <w:rsid w:val="006A5401"/>
    <w:rsid w:val="006B14D2"/>
    <w:rsid w:val="006D0B3C"/>
    <w:rsid w:val="006D2D7E"/>
    <w:rsid w:val="006E1E45"/>
    <w:rsid w:val="006F5280"/>
    <w:rsid w:val="007058BF"/>
    <w:rsid w:val="007171CB"/>
    <w:rsid w:val="007348E2"/>
    <w:rsid w:val="007367B4"/>
    <w:rsid w:val="00741C57"/>
    <w:rsid w:val="00743184"/>
    <w:rsid w:val="007463CA"/>
    <w:rsid w:val="0075093C"/>
    <w:rsid w:val="00777FFC"/>
    <w:rsid w:val="0078058A"/>
    <w:rsid w:val="00783363"/>
    <w:rsid w:val="00786790"/>
    <w:rsid w:val="007968DB"/>
    <w:rsid w:val="007A5D3E"/>
    <w:rsid w:val="007C0A9E"/>
    <w:rsid w:val="007C2565"/>
    <w:rsid w:val="007E13EF"/>
    <w:rsid w:val="007E411C"/>
    <w:rsid w:val="007E48D0"/>
    <w:rsid w:val="007E6F82"/>
    <w:rsid w:val="007F2A52"/>
    <w:rsid w:val="007F58BA"/>
    <w:rsid w:val="00801019"/>
    <w:rsid w:val="00820861"/>
    <w:rsid w:val="00825105"/>
    <w:rsid w:val="008331F9"/>
    <w:rsid w:val="008348A2"/>
    <w:rsid w:val="0084341F"/>
    <w:rsid w:val="008544E1"/>
    <w:rsid w:val="00866E72"/>
    <w:rsid w:val="00870BA2"/>
    <w:rsid w:val="00873A21"/>
    <w:rsid w:val="008763D9"/>
    <w:rsid w:val="0088032E"/>
    <w:rsid w:val="00884319"/>
    <w:rsid w:val="00891AE8"/>
    <w:rsid w:val="0089645B"/>
    <w:rsid w:val="0089772E"/>
    <w:rsid w:val="008A07FC"/>
    <w:rsid w:val="008A6FC6"/>
    <w:rsid w:val="008C4183"/>
    <w:rsid w:val="008E1C07"/>
    <w:rsid w:val="008F0FBA"/>
    <w:rsid w:val="008F6EB3"/>
    <w:rsid w:val="008F736C"/>
    <w:rsid w:val="00903B6E"/>
    <w:rsid w:val="00920F15"/>
    <w:rsid w:val="009257D3"/>
    <w:rsid w:val="009269D7"/>
    <w:rsid w:val="00931116"/>
    <w:rsid w:val="00934346"/>
    <w:rsid w:val="0093519A"/>
    <w:rsid w:val="00936ADF"/>
    <w:rsid w:val="009449D9"/>
    <w:rsid w:val="00944E74"/>
    <w:rsid w:val="00951FB1"/>
    <w:rsid w:val="00956F82"/>
    <w:rsid w:val="00960A34"/>
    <w:rsid w:val="00973AB4"/>
    <w:rsid w:val="00976F43"/>
    <w:rsid w:val="009809C2"/>
    <w:rsid w:val="009848DF"/>
    <w:rsid w:val="00991346"/>
    <w:rsid w:val="00996CC6"/>
    <w:rsid w:val="009A04C7"/>
    <w:rsid w:val="009A23F2"/>
    <w:rsid w:val="009B0CA3"/>
    <w:rsid w:val="009B3D0B"/>
    <w:rsid w:val="009B3FC6"/>
    <w:rsid w:val="009C10DC"/>
    <w:rsid w:val="009D11E9"/>
    <w:rsid w:val="009D3B81"/>
    <w:rsid w:val="009D7268"/>
    <w:rsid w:val="009D7284"/>
    <w:rsid w:val="009F0AC3"/>
    <w:rsid w:val="00A03B35"/>
    <w:rsid w:val="00A140A8"/>
    <w:rsid w:val="00A221D1"/>
    <w:rsid w:val="00A24553"/>
    <w:rsid w:val="00A307FD"/>
    <w:rsid w:val="00A66B40"/>
    <w:rsid w:val="00A72807"/>
    <w:rsid w:val="00A8189C"/>
    <w:rsid w:val="00A84C44"/>
    <w:rsid w:val="00A84D69"/>
    <w:rsid w:val="00A85637"/>
    <w:rsid w:val="00A97014"/>
    <w:rsid w:val="00AA1E44"/>
    <w:rsid w:val="00AA5F44"/>
    <w:rsid w:val="00AA6102"/>
    <w:rsid w:val="00AA693E"/>
    <w:rsid w:val="00AB61D0"/>
    <w:rsid w:val="00AD0988"/>
    <w:rsid w:val="00AE0583"/>
    <w:rsid w:val="00AE1CD6"/>
    <w:rsid w:val="00AE2796"/>
    <w:rsid w:val="00AE2DFB"/>
    <w:rsid w:val="00AE391E"/>
    <w:rsid w:val="00AF1266"/>
    <w:rsid w:val="00AF4BBB"/>
    <w:rsid w:val="00AF67CC"/>
    <w:rsid w:val="00B02CC6"/>
    <w:rsid w:val="00B10CF4"/>
    <w:rsid w:val="00B20661"/>
    <w:rsid w:val="00B40250"/>
    <w:rsid w:val="00B421C3"/>
    <w:rsid w:val="00B45AB3"/>
    <w:rsid w:val="00B47E96"/>
    <w:rsid w:val="00B513DA"/>
    <w:rsid w:val="00B57A46"/>
    <w:rsid w:val="00B632B7"/>
    <w:rsid w:val="00B66A86"/>
    <w:rsid w:val="00B716A3"/>
    <w:rsid w:val="00B82ABB"/>
    <w:rsid w:val="00B8782E"/>
    <w:rsid w:val="00B90FC6"/>
    <w:rsid w:val="00B977BD"/>
    <w:rsid w:val="00BA601E"/>
    <w:rsid w:val="00BB4AF9"/>
    <w:rsid w:val="00BC0534"/>
    <w:rsid w:val="00BD01A5"/>
    <w:rsid w:val="00BE296F"/>
    <w:rsid w:val="00BE4F86"/>
    <w:rsid w:val="00BE50A3"/>
    <w:rsid w:val="00C06D79"/>
    <w:rsid w:val="00C07257"/>
    <w:rsid w:val="00C13C34"/>
    <w:rsid w:val="00C2083F"/>
    <w:rsid w:val="00C443EA"/>
    <w:rsid w:val="00C4482F"/>
    <w:rsid w:val="00C46C45"/>
    <w:rsid w:val="00C56850"/>
    <w:rsid w:val="00C617FF"/>
    <w:rsid w:val="00C72583"/>
    <w:rsid w:val="00C94E7A"/>
    <w:rsid w:val="00CC56D0"/>
    <w:rsid w:val="00CD5203"/>
    <w:rsid w:val="00CD5D00"/>
    <w:rsid w:val="00CE3601"/>
    <w:rsid w:val="00CE620D"/>
    <w:rsid w:val="00CE7979"/>
    <w:rsid w:val="00CF7BE8"/>
    <w:rsid w:val="00D11267"/>
    <w:rsid w:val="00D11844"/>
    <w:rsid w:val="00D12531"/>
    <w:rsid w:val="00D1645C"/>
    <w:rsid w:val="00D167E7"/>
    <w:rsid w:val="00D22622"/>
    <w:rsid w:val="00D22E70"/>
    <w:rsid w:val="00D23848"/>
    <w:rsid w:val="00D27FBB"/>
    <w:rsid w:val="00D33C83"/>
    <w:rsid w:val="00D3633B"/>
    <w:rsid w:val="00D44046"/>
    <w:rsid w:val="00D63106"/>
    <w:rsid w:val="00D827E3"/>
    <w:rsid w:val="00D94347"/>
    <w:rsid w:val="00DA1851"/>
    <w:rsid w:val="00DA1D51"/>
    <w:rsid w:val="00DA1F0C"/>
    <w:rsid w:val="00DA3405"/>
    <w:rsid w:val="00DB5088"/>
    <w:rsid w:val="00DC18F6"/>
    <w:rsid w:val="00DD30C5"/>
    <w:rsid w:val="00DD33D3"/>
    <w:rsid w:val="00DD6F9A"/>
    <w:rsid w:val="00DE6385"/>
    <w:rsid w:val="00DF50AE"/>
    <w:rsid w:val="00DF777C"/>
    <w:rsid w:val="00DF7E0A"/>
    <w:rsid w:val="00E036C9"/>
    <w:rsid w:val="00E03A02"/>
    <w:rsid w:val="00E150B0"/>
    <w:rsid w:val="00E206ED"/>
    <w:rsid w:val="00E656C8"/>
    <w:rsid w:val="00E66122"/>
    <w:rsid w:val="00E67944"/>
    <w:rsid w:val="00E67C78"/>
    <w:rsid w:val="00E7029F"/>
    <w:rsid w:val="00E71831"/>
    <w:rsid w:val="00E7234C"/>
    <w:rsid w:val="00E735BD"/>
    <w:rsid w:val="00E9470E"/>
    <w:rsid w:val="00E94C8A"/>
    <w:rsid w:val="00E95874"/>
    <w:rsid w:val="00EA4322"/>
    <w:rsid w:val="00EA59B2"/>
    <w:rsid w:val="00EA5C74"/>
    <w:rsid w:val="00EA7A6B"/>
    <w:rsid w:val="00EB4E2E"/>
    <w:rsid w:val="00EC19AC"/>
    <w:rsid w:val="00EC629D"/>
    <w:rsid w:val="00EC7552"/>
    <w:rsid w:val="00ED2E23"/>
    <w:rsid w:val="00ED3477"/>
    <w:rsid w:val="00EE113D"/>
    <w:rsid w:val="00EE2C86"/>
    <w:rsid w:val="00EE6A3B"/>
    <w:rsid w:val="00EF5146"/>
    <w:rsid w:val="00EF589E"/>
    <w:rsid w:val="00F007B6"/>
    <w:rsid w:val="00F10CA6"/>
    <w:rsid w:val="00F12256"/>
    <w:rsid w:val="00F22EE4"/>
    <w:rsid w:val="00F32783"/>
    <w:rsid w:val="00F43F52"/>
    <w:rsid w:val="00F46C9F"/>
    <w:rsid w:val="00F506CB"/>
    <w:rsid w:val="00F50AED"/>
    <w:rsid w:val="00F5752A"/>
    <w:rsid w:val="00F66199"/>
    <w:rsid w:val="00F905FC"/>
    <w:rsid w:val="00F95436"/>
    <w:rsid w:val="00F95B72"/>
    <w:rsid w:val="00FA1390"/>
    <w:rsid w:val="00FA50F9"/>
    <w:rsid w:val="00FA72F0"/>
    <w:rsid w:val="00FB1E21"/>
    <w:rsid w:val="00FB2AD3"/>
    <w:rsid w:val="00FC02DA"/>
    <w:rsid w:val="00FC435C"/>
    <w:rsid w:val="00FD53B9"/>
    <w:rsid w:val="00FE01B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2C143D0"/>
  <w14:defaultImageDpi w14:val="300"/>
  <w15:docId w15:val="{57B01A54-36FD-014E-A2C7-89BBE10261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New York" w:eastAsia="Times New Roman" w:hAnsi="New York"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jc w:val="both"/>
    </w:pPr>
    <w:rPr>
      <w:rFonts w:ascii="Times" w:hAnsi="Times"/>
      <w:sz w:val="24"/>
    </w:rPr>
  </w:style>
  <w:style w:type="paragraph" w:styleId="Heading1">
    <w:name w:val="heading 1"/>
    <w:basedOn w:val="Normal"/>
    <w:next w:val="Normal"/>
    <w:qFormat/>
    <w:rsid w:val="00865479"/>
    <w:pPr>
      <w:keepNext/>
      <w:spacing w:before="180" w:after="60"/>
      <w:ind w:left="480" w:hanging="240"/>
      <w:outlineLvl w:val="0"/>
    </w:pPr>
    <w:rPr>
      <w:rFonts w:ascii="Myriad Pro Light" w:hAnsi="Myriad Pro Light" w:cs="Arial"/>
      <w:b/>
      <w:bCs/>
      <w:kern w:val="32"/>
      <w:sz w:val="22"/>
      <w:szCs w:val="32"/>
    </w:rPr>
  </w:style>
  <w:style w:type="paragraph" w:styleId="Heading2">
    <w:name w:val="heading 2"/>
    <w:basedOn w:val="Normal"/>
    <w:next w:val="Normal"/>
    <w:qFormat/>
    <w:rsid w:val="00865479"/>
    <w:pPr>
      <w:keepNext/>
      <w:spacing w:before="60" w:after="60"/>
      <w:outlineLvl w:val="1"/>
    </w:pPr>
    <w:rPr>
      <w:rFonts w:ascii="Myriad Pro Light" w:hAnsi="Myriad Pro Light" w:cs="Arial"/>
      <w:b/>
      <w:bCs/>
      <w:iCs/>
      <w:sz w:val="20"/>
      <w:szCs w:val="28"/>
    </w:rPr>
  </w:style>
  <w:style w:type="paragraph" w:styleId="Heading3">
    <w:name w:val="heading 3"/>
    <w:basedOn w:val="Normal"/>
    <w:next w:val="Normal"/>
    <w:qFormat/>
    <w:rsid w:val="00865479"/>
    <w:pPr>
      <w:keepNext/>
      <w:spacing w:before="60" w:after="60"/>
      <w:ind w:left="180"/>
      <w:outlineLvl w:val="2"/>
    </w:pPr>
    <w:rPr>
      <w:rFonts w:ascii="Myriad Pro Light" w:hAnsi="Myriad Pro Light" w:cs="Arial"/>
      <w:b/>
      <w:bCs/>
      <w:sz w:val="20"/>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llowedHyperlink">
    <w:name w:val="FollowedHyperlink"/>
    <w:rPr>
      <w:color w:val="800080"/>
      <w:u w:val="single"/>
    </w:rPr>
  </w:style>
  <w:style w:type="paragraph" w:styleId="BodyText">
    <w:name w:val="Body Text"/>
    <w:basedOn w:val="Normal"/>
    <w:pPr>
      <w:jc w:val="center"/>
    </w:pPr>
    <w:rPr>
      <w:b/>
      <w:sz w:val="40"/>
    </w:rPr>
  </w:style>
  <w:style w:type="paragraph" w:styleId="FootnoteText">
    <w:name w:val="footnote text"/>
    <w:basedOn w:val="Normal"/>
    <w:next w:val="TFReferencesSection"/>
    <w:semiHidden/>
  </w:style>
  <w:style w:type="paragraph" w:customStyle="1" w:styleId="TFReferencesSection">
    <w:name w:val="TF_References_Section"/>
    <w:basedOn w:val="Normal"/>
    <w:next w:val="Normal"/>
    <w:autoRedefine/>
    <w:rsid w:val="00AC5F97"/>
    <w:pPr>
      <w:spacing w:after="0"/>
      <w:ind w:firstLine="187"/>
    </w:pPr>
    <w:rPr>
      <w:rFonts w:ascii="Arno Pro" w:hAnsi="Arno Pro"/>
      <w:kern w:val="19"/>
      <w:sz w:val="17"/>
      <w:szCs w:val="14"/>
    </w:rPr>
  </w:style>
  <w:style w:type="paragraph" w:customStyle="1" w:styleId="TAMainText">
    <w:name w:val="TA_Main_Text"/>
    <w:basedOn w:val="Normal"/>
    <w:autoRedefine/>
    <w:rsid w:val="00866E72"/>
    <w:pPr>
      <w:spacing w:after="60"/>
      <w:ind w:firstLine="180"/>
    </w:pPr>
    <w:rPr>
      <w:rFonts w:ascii="Arno Pro" w:hAnsi="Arno Pro"/>
      <w:kern w:val="21"/>
      <w:sz w:val="19"/>
    </w:rPr>
  </w:style>
  <w:style w:type="paragraph" w:customStyle="1" w:styleId="BATitle">
    <w:name w:val="BA_Title"/>
    <w:basedOn w:val="Normal"/>
    <w:next w:val="BBAuthorName"/>
    <w:autoRedefine/>
    <w:rsid w:val="00D23848"/>
    <w:pPr>
      <w:spacing w:before="1400" w:after="180"/>
      <w:jc w:val="left"/>
    </w:pPr>
    <w:rPr>
      <w:rFonts w:ascii="Myriad Pro Light" w:hAnsi="Myriad Pro Light"/>
      <w:b/>
      <w:kern w:val="36"/>
      <w:sz w:val="34"/>
    </w:rPr>
  </w:style>
  <w:style w:type="paragraph" w:customStyle="1" w:styleId="BBAuthorName">
    <w:name w:val="BB_Author_Name"/>
    <w:basedOn w:val="Normal"/>
    <w:next w:val="BCAuthorAddress"/>
    <w:autoRedefine/>
    <w:rsid w:val="000E75E3"/>
    <w:pPr>
      <w:spacing w:after="180"/>
      <w:jc w:val="left"/>
    </w:pPr>
    <w:rPr>
      <w:rFonts w:ascii="Arno Pro" w:hAnsi="Arno Pro"/>
      <w:kern w:val="26"/>
    </w:rPr>
  </w:style>
  <w:style w:type="paragraph" w:customStyle="1" w:styleId="BCAuthorAddress">
    <w:name w:val="BC_Author_Address"/>
    <w:basedOn w:val="Normal"/>
    <w:next w:val="BIEmailAddress"/>
    <w:autoRedefine/>
    <w:rsid w:val="00AC5F97"/>
    <w:pPr>
      <w:spacing w:after="60"/>
      <w:jc w:val="left"/>
    </w:pPr>
    <w:rPr>
      <w:rFonts w:ascii="Arno Pro" w:hAnsi="Arno Pro"/>
      <w:kern w:val="22"/>
      <w:sz w:val="20"/>
    </w:rPr>
  </w:style>
  <w:style w:type="paragraph" w:customStyle="1" w:styleId="BIEmailAddress">
    <w:name w:val="BI_Email_Address"/>
    <w:basedOn w:val="Normal"/>
    <w:next w:val="AIReceivedDate"/>
    <w:autoRedefine/>
    <w:rsid w:val="003A0F5F"/>
    <w:pPr>
      <w:spacing w:after="100"/>
      <w:jc w:val="left"/>
    </w:pPr>
    <w:rPr>
      <w:rFonts w:ascii="Arno Pro" w:hAnsi="Arno Pro"/>
      <w:sz w:val="18"/>
    </w:rPr>
  </w:style>
  <w:style w:type="paragraph" w:customStyle="1" w:styleId="AIReceivedDate">
    <w:name w:val="AI_Received_Date"/>
    <w:basedOn w:val="Normal"/>
    <w:next w:val="Normal"/>
    <w:autoRedefine/>
    <w:rsid w:val="00A444E1"/>
    <w:pPr>
      <w:spacing w:after="100"/>
      <w:jc w:val="left"/>
    </w:pPr>
    <w:rPr>
      <w:rFonts w:ascii="Arno Pro" w:hAnsi="Arno Pro"/>
      <w:sz w:val="18"/>
    </w:rPr>
  </w:style>
  <w:style w:type="paragraph" w:customStyle="1" w:styleId="BDAbstract">
    <w:name w:val="BD_Abstract"/>
    <w:basedOn w:val="Normal"/>
    <w:next w:val="TAMainText"/>
    <w:link w:val="BDAbstractChar"/>
    <w:autoRedefine/>
    <w:rsid w:val="000E75E3"/>
    <w:pPr>
      <w:pBdr>
        <w:top w:val="single" w:sz="4" w:space="1" w:color="auto"/>
        <w:bottom w:val="single" w:sz="4" w:space="1" w:color="auto"/>
      </w:pBdr>
      <w:spacing w:before="100" w:after="600"/>
    </w:pPr>
    <w:rPr>
      <w:rFonts w:ascii="Arno Pro" w:hAnsi="Arno Pro"/>
      <w:kern w:val="21"/>
      <w:sz w:val="19"/>
    </w:rPr>
  </w:style>
  <w:style w:type="paragraph" w:customStyle="1" w:styleId="TDAcknowledgments">
    <w:name w:val="TD_Acknowledgments"/>
    <w:basedOn w:val="Normal"/>
    <w:next w:val="Normal"/>
    <w:link w:val="TDAcknowledgmentsChar"/>
    <w:autoRedefine/>
    <w:rsid w:val="00E75388"/>
    <w:pPr>
      <w:spacing w:after="0"/>
    </w:pPr>
    <w:rPr>
      <w:rFonts w:ascii="Arno Pro" w:hAnsi="Arno Pro"/>
      <w:kern w:val="20"/>
      <w:sz w:val="18"/>
    </w:rPr>
  </w:style>
  <w:style w:type="paragraph" w:customStyle="1" w:styleId="TESupportingInformation">
    <w:name w:val="TE_Supporting_Information"/>
    <w:basedOn w:val="Normal"/>
    <w:next w:val="Normal"/>
    <w:autoRedefine/>
    <w:rsid w:val="00157E12"/>
    <w:pPr>
      <w:spacing w:after="0"/>
    </w:pPr>
    <w:rPr>
      <w:rFonts w:ascii="Arno Pro" w:hAnsi="Arno Pro"/>
      <w:kern w:val="20"/>
      <w:sz w:val="18"/>
    </w:rPr>
  </w:style>
  <w:style w:type="paragraph" w:customStyle="1" w:styleId="VCSchemeTitle">
    <w:name w:val="VC_Scheme_Title"/>
    <w:basedOn w:val="Normal"/>
    <w:next w:val="Normal"/>
    <w:autoRedefine/>
    <w:rsid w:val="00427112"/>
    <w:pPr>
      <w:spacing w:after="180"/>
    </w:pPr>
    <w:rPr>
      <w:rFonts w:ascii="Arno Pro" w:hAnsi="Arno Pro"/>
      <w:b/>
      <w:kern w:val="21"/>
      <w:sz w:val="19"/>
    </w:rPr>
  </w:style>
  <w:style w:type="paragraph" w:customStyle="1" w:styleId="VDTableTitle">
    <w:name w:val="VD_Table_Title"/>
    <w:basedOn w:val="Normal"/>
    <w:next w:val="Normal"/>
    <w:autoRedefine/>
    <w:rsid w:val="00427112"/>
    <w:pPr>
      <w:spacing w:after="180"/>
    </w:pPr>
    <w:rPr>
      <w:rFonts w:ascii="Arno Pro" w:hAnsi="Arno Pro"/>
      <w:b/>
      <w:kern w:val="21"/>
      <w:sz w:val="19"/>
      <w:szCs w:val="19"/>
    </w:rPr>
  </w:style>
  <w:style w:type="paragraph" w:customStyle="1" w:styleId="VAFigureCaption">
    <w:name w:val="VA_Figure_Caption"/>
    <w:basedOn w:val="Normal"/>
    <w:next w:val="Normal"/>
    <w:autoRedefine/>
    <w:rsid w:val="000E75E3"/>
    <w:pPr>
      <w:spacing w:before="200" w:after="120"/>
    </w:pPr>
    <w:rPr>
      <w:rFonts w:ascii="Arno Pro" w:hAnsi="Arno Pro"/>
      <w:kern w:val="20"/>
      <w:sz w:val="18"/>
    </w:rPr>
  </w:style>
  <w:style w:type="paragraph" w:customStyle="1" w:styleId="VBChartTitle">
    <w:name w:val="VB_Chart_Title"/>
    <w:basedOn w:val="Normal"/>
    <w:next w:val="Normal"/>
    <w:autoRedefine/>
    <w:rsid w:val="00427112"/>
    <w:pPr>
      <w:spacing w:after="180"/>
    </w:pPr>
    <w:rPr>
      <w:rFonts w:ascii="Arno Pro" w:hAnsi="Arno Pro"/>
      <w:b/>
      <w:kern w:val="21"/>
      <w:sz w:val="19"/>
    </w:rPr>
  </w:style>
  <w:style w:type="paragraph" w:customStyle="1" w:styleId="FETableFootnote">
    <w:name w:val="FE_Table_Footnote"/>
    <w:basedOn w:val="Normal"/>
    <w:next w:val="Normal"/>
    <w:autoRedefine/>
    <w:rsid w:val="000E75E3"/>
    <w:pPr>
      <w:spacing w:before="60" w:after="120"/>
      <w:ind w:firstLine="187"/>
    </w:pPr>
    <w:rPr>
      <w:rFonts w:ascii="Arno Pro" w:hAnsi="Arno Pro"/>
      <w:sz w:val="18"/>
    </w:rPr>
  </w:style>
  <w:style w:type="paragraph" w:customStyle="1" w:styleId="FCChartFootnote">
    <w:name w:val="FC_Chart_Footnote"/>
    <w:basedOn w:val="Normal"/>
    <w:next w:val="Normal"/>
    <w:autoRedefine/>
    <w:rsid w:val="00157E12"/>
    <w:pPr>
      <w:spacing w:before="60" w:after="120"/>
      <w:ind w:firstLine="187"/>
    </w:pPr>
    <w:rPr>
      <w:rFonts w:ascii="Arno Pro" w:hAnsi="Arno Pro"/>
      <w:sz w:val="18"/>
    </w:rPr>
  </w:style>
  <w:style w:type="paragraph" w:customStyle="1" w:styleId="FDSchemeFootnote">
    <w:name w:val="FD_Scheme_Footnote"/>
    <w:basedOn w:val="Normal"/>
    <w:next w:val="Normal"/>
    <w:autoRedefine/>
    <w:rsid w:val="00157E12"/>
    <w:pPr>
      <w:spacing w:before="60" w:after="120"/>
      <w:ind w:firstLine="187"/>
    </w:pPr>
    <w:rPr>
      <w:rFonts w:ascii="Arno Pro" w:hAnsi="Arno Pro"/>
      <w:sz w:val="18"/>
    </w:rPr>
  </w:style>
  <w:style w:type="paragraph" w:customStyle="1" w:styleId="TCTableBody">
    <w:name w:val="TC_Table_Body"/>
    <w:basedOn w:val="Normal"/>
    <w:next w:val="Normal"/>
    <w:link w:val="TCTableBodyChar"/>
    <w:autoRedefine/>
    <w:rsid w:val="000E75E3"/>
    <w:pPr>
      <w:spacing w:before="20" w:after="60"/>
    </w:pPr>
    <w:rPr>
      <w:rFonts w:ascii="Arno Pro" w:hAnsi="Arno Pro"/>
      <w:kern w:val="20"/>
      <w:sz w:val="18"/>
    </w:rPr>
  </w:style>
  <w:style w:type="paragraph" w:customStyle="1" w:styleId="StyleFACorrespondingAuthorFootnote7pt">
    <w:name w:val="Style FA_Corresponding_Author_Footnote + 7 pt"/>
    <w:basedOn w:val="Normal"/>
    <w:next w:val="BGKeywords"/>
    <w:link w:val="StyleFACorrespondingAuthorFootnote7ptChar"/>
    <w:autoRedefine/>
    <w:rsid w:val="000D2D84"/>
    <w:pPr>
      <w:spacing w:after="0"/>
      <w:jc w:val="left"/>
    </w:pPr>
    <w:rPr>
      <w:rFonts w:ascii="Arno Pro" w:hAnsi="Arno Pro"/>
      <w:kern w:val="20"/>
      <w:sz w:val="18"/>
    </w:rPr>
  </w:style>
  <w:style w:type="paragraph" w:customStyle="1" w:styleId="BEAuthorBiography">
    <w:name w:val="BE_Author_Biography"/>
    <w:basedOn w:val="Normal"/>
    <w:autoRedefine/>
    <w:rsid w:val="003A0F5F"/>
    <w:rPr>
      <w:rFonts w:ascii="Arno Pro" w:hAnsi="Arno Pro"/>
      <w:sz w:val="22"/>
    </w:rPr>
  </w:style>
  <w:style w:type="paragraph" w:customStyle="1" w:styleId="StyleBIEmailAddress95pt">
    <w:name w:val="Style BI_Email_Address + 9.5 pt"/>
    <w:basedOn w:val="BIEmailAddress"/>
    <w:rsid w:val="007F6792"/>
    <w:pPr>
      <w:spacing w:after="60"/>
    </w:pPr>
    <w:rPr>
      <w:sz w:val="19"/>
    </w:rPr>
  </w:style>
  <w:style w:type="paragraph" w:customStyle="1" w:styleId="SNSynopsisTOC">
    <w:name w:val="SN_Synopsis_TOC"/>
    <w:basedOn w:val="Normal"/>
    <w:next w:val="Normal"/>
    <w:autoRedefine/>
    <w:rsid w:val="000E75E3"/>
    <w:pPr>
      <w:spacing w:after="60"/>
    </w:pPr>
    <w:rPr>
      <w:rFonts w:ascii="Arno Pro" w:hAnsi="Arno Pro"/>
      <w:kern w:val="22"/>
      <w:sz w:val="20"/>
    </w:rPr>
  </w:style>
  <w:style w:type="character" w:styleId="Hyperlink">
    <w:name w:val="Hyperlink"/>
    <w:rPr>
      <w:color w:val="0000FF"/>
      <w:u w:val="single"/>
    </w:rPr>
  </w:style>
  <w:style w:type="paragraph" w:styleId="Footer">
    <w:name w:val="footer"/>
    <w:basedOn w:val="Normal"/>
    <w:pPr>
      <w:tabs>
        <w:tab w:val="center" w:pos="4320"/>
        <w:tab w:val="right" w:pos="8640"/>
      </w:tabs>
    </w:pPr>
  </w:style>
  <w:style w:type="paragraph" w:customStyle="1" w:styleId="BGKeywords">
    <w:name w:val="BG_Keywords"/>
    <w:basedOn w:val="Normal"/>
    <w:next w:val="BHBriefs"/>
    <w:autoRedefine/>
    <w:rsid w:val="00AC5F97"/>
    <w:pPr>
      <w:spacing w:after="220"/>
      <w:jc w:val="left"/>
    </w:pPr>
    <w:rPr>
      <w:rFonts w:ascii="Arno Pro" w:hAnsi="Arno Pro"/>
      <w:i/>
      <w:kern w:val="22"/>
      <w:sz w:val="20"/>
    </w:rPr>
  </w:style>
  <w:style w:type="paragraph" w:customStyle="1" w:styleId="BHBriefs">
    <w:name w:val="BH_Briefs"/>
    <w:basedOn w:val="Normal"/>
    <w:next w:val="BDAbstract"/>
    <w:autoRedefine/>
    <w:rsid w:val="000E75E3"/>
    <w:pPr>
      <w:spacing w:before="180" w:after="60"/>
      <w:jc w:val="left"/>
    </w:pPr>
    <w:rPr>
      <w:rFonts w:ascii="Arno Pro" w:hAnsi="Arno Pro"/>
      <w:kern w:val="22"/>
      <w:sz w:val="20"/>
    </w:rPr>
  </w:style>
  <w:style w:type="character" w:styleId="PageNumber">
    <w:name w:val="page number"/>
    <w:basedOn w:val="DefaultParagraphFont"/>
  </w:style>
  <w:style w:type="paragraph" w:styleId="BalloonText">
    <w:name w:val="Balloon Text"/>
    <w:basedOn w:val="Normal"/>
    <w:semiHidden/>
    <w:rsid w:val="00E96302"/>
    <w:rPr>
      <w:rFonts w:ascii="Tahoma" w:hAnsi="Tahoma" w:cs="Tahoma"/>
      <w:sz w:val="16"/>
      <w:szCs w:val="16"/>
    </w:rPr>
  </w:style>
  <w:style w:type="character" w:styleId="EndnoteReference">
    <w:name w:val="endnote reference"/>
    <w:rsid w:val="00A66EDD"/>
    <w:rPr>
      <w:rFonts w:ascii="Times" w:hAnsi="Times"/>
      <w:sz w:val="18"/>
      <w:vertAlign w:val="superscript"/>
    </w:rPr>
  </w:style>
  <w:style w:type="paragraph" w:customStyle="1" w:styleId="StyleTCTableBodyBold">
    <w:name w:val="Style TC_Table_Body + Bold"/>
    <w:basedOn w:val="TCTableBody"/>
    <w:link w:val="StyleTCTableBodyBoldChar"/>
    <w:rsid w:val="000E75E3"/>
    <w:rPr>
      <w:b/>
      <w:bCs/>
      <w:kern w:val="22"/>
      <w:sz w:val="15"/>
    </w:rPr>
  </w:style>
  <w:style w:type="character" w:customStyle="1" w:styleId="StyleFACorrespondingAuthorFootnote7ptChar">
    <w:name w:val="Style FA_Corresponding_Author_Footnote + 7 pt Char"/>
    <w:link w:val="StyleFACorrespondingAuthorFootnote7pt"/>
    <w:rsid w:val="000D2D84"/>
    <w:rPr>
      <w:rFonts w:ascii="Arno Pro" w:hAnsi="Arno Pro"/>
      <w:kern w:val="20"/>
      <w:sz w:val="18"/>
      <w:lang w:val="en-US" w:eastAsia="en-US" w:bidi="ar-SA"/>
    </w:rPr>
  </w:style>
  <w:style w:type="paragraph" w:customStyle="1" w:styleId="BDAbstractTitle">
    <w:name w:val="BD_Abstract_Title"/>
    <w:basedOn w:val="BDAbstract"/>
    <w:link w:val="BDAbstractTitleChar"/>
    <w:rsid w:val="006532A9"/>
    <w:rPr>
      <w:b/>
    </w:rPr>
  </w:style>
  <w:style w:type="character" w:customStyle="1" w:styleId="BDAbstractChar">
    <w:name w:val="BD_Abstract Char"/>
    <w:link w:val="BDAbstract"/>
    <w:rsid w:val="000E75E3"/>
    <w:rPr>
      <w:rFonts w:ascii="Arno Pro" w:hAnsi="Arno Pro"/>
      <w:kern w:val="21"/>
      <w:sz w:val="19"/>
      <w:lang w:val="en-US" w:eastAsia="en-US" w:bidi="ar-SA"/>
    </w:rPr>
  </w:style>
  <w:style w:type="character" w:customStyle="1" w:styleId="BDAbstractTitleChar">
    <w:name w:val="BD_Abstract_Title Char"/>
    <w:link w:val="BDAbstractTitle"/>
    <w:rsid w:val="006532A9"/>
    <w:rPr>
      <w:rFonts w:ascii="Arno Pro" w:hAnsi="Arno Pro"/>
      <w:b/>
      <w:kern w:val="21"/>
      <w:sz w:val="19"/>
      <w:lang w:val="en-US" w:eastAsia="en-US" w:bidi="ar-SA"/>
    </w:rPr>
  </w:style>
  <w:style w:type="paragraph" w:customStyle="1" w:styleId="TDAckTitle">
    <w:name w:val="TD_Ack_Title"/>
    <w:basedOn w:val="TDAcknowledgments"/>
    <w:link w:val="TDAckTitleChar"/>
    <w:rsid w:val="00AC5F97"/>
    <w:pPr>
      <w:spacing w:before="180" w:after="60"/>
    </w:pPr>
    <w:rPr>
      <w:rFonts w:ascii="Myriad Pro Light" w:hAnsi="Myriad Pro Light"/>
      <w:b/>
      <w:kern w:val="23"/>
      <w:sz w:val="21"/>
    </w:rPr>
  </w:style>
  <w:style w:type="character" w:customStyle="1" w:styleId="TDAcknowledgmentsChar">
    <w:name w:val="TD_Acknowledgments Char"/>
    <w:link w:val="TDAcknowledgments"/>
    <w:rsid w:val="00E75388"/>
    <w:rPr>
      <w:rFonts w:ascii="Arno Pro" w:hAnsi="Arno Pro"/>
      <w:kern w:val="20"/>
      <w:sz w:val="18"/>
      <w:lang w:val="en-US" w:eastAsia="en-US" w:bidi="ar-SA"/>
    </w:rPr>
  </w:style>
  <w:style w:type="character" w:customStyle="1" w:styleId="TDAckTitleChar">
    <w:name w:val="TD_Ack_Title Char"/>
    <w:link w:val="TDAckTitle"/>
    <w:rsid w:val="00AC5F97"/>
    <w:rPr>
      <w:rFonts w:ascii="Myriad Pro Light" w:hAnsi="Myriad Pro Light"/>
      <w:b/>
      <w:kern w:val="23"/>
      <w:sz w:val="21"/>
      <w:lang w:val="en-US" w:eastAsia="en-US" w:bidi="ar-SA"/>
    </w:rPr>
  </w:style>
  <w:style w:type="paragraph" w:customStyle="1" w:styleId="TESupportingInfoTitle">
    <w:name w:val="TE_Supporting_Info_Title"/>
    <w:basedOn w:val="TESupportingInformation"/>
    <w:autoRedefine/>
    <w:rsid w:val="00141659"/>
    <w:pPr>
      <w:spacing w:before="180" w:after="60"/>
    </w:pPr>
    <w:rPr>
      <w:rFonts w:ascii="Myriad Pro Light" w:hAnsi="Myriad Pro Light"/>
      <w:b/>
      <w:caps/>
      <w:sz w:val="21"/>
      <w:szCs w:val="18"/>
    </w:rPr>
  </w:style>
  <w:style w:type="paragraph" w:customStyle="1" w:styleId="AuthorInformationTitle">
    <w:name w:val="Author_Information_Title"/>
    <w:basedOn w:val="TDAckTitle"/>
    <w:rsid w:val="00AC5F97"/>
  </w:style>
  <w:style w:type="paragraph" w:customStyle="1" w:styleId="FAAuthorInfoSubtitle">
    <w:name w:val="FA_Author_Info_Subtitle"/>
    <w:basedOn w:val="Normal"/>
    <w:link w:val="FAAuthorInfoSubtitleChar"/>
    <w:autoRedefine/>
    <w:rsid w:val="00DE78D2"/>
    <w:pPr>
      <w:spacing w:before="120" w:after="60"/>
      <w:jc w:val="left"/>
    </w:pPr>
    <w:rPr>
      <w:rFonts w:ascii="Myriad Pro Light" w:hAnsi="Myriad Pro Light"/>
      <w:b/>
      <w:kern w:val="21"/>
      <w:sz w:val="19"/>
      <w:szCs w:val="14"/>
    </w:rPr>
  </w:style>
  <w:style w:type="character" w:customStyle="1" w:styleId="FAAuthorInfoSubtitleChar">
    <w:name w:val="FA_Author_Info_Subtitle Char"/>
    <w:link w:val="FAAuthorInfoSubtitle"/>
    <w:rsid w:val="00DE78D2"/>
    <w:rPr>
      <w:rFonts w:ascii="Myriad Pro Light" w:hAnsi="Myriad Pro Light"/>
      <w:b/>
      <w:kern w:val="21"/>
      <w:sz w:val="19"/>
      <w:szCs w:val="14"/>
      <w:lang w:val="en-US" w:eastAsia="en-US" w:bidi="ar-SA"/>
    </w:rPr>
  </w:style>
  <w:style w:type="character" w:customStyle="1" w:styleId="TCTableBodyChar">
    <w:name w:val="TC_Table_Body Char"/>
    <w:link w:val="TCTableBody"/>
    <w:rsid w:val="000E75E3"/>
    <w:rPr>
      <w:rFonts w:ascii="Arno Pro" w:hAnsi="Arno Pro"/>
      <w:kern w:val="20"/>
      <w:sz w:val="18"/>
      <w:lang w:val="en-US" w:eastAsia="en-US" w:bidi="ar-SA"/>
    </w:rPr>
  </w:style>
  <w:style w:type="character" w:customStyle="1" w:styleId="StyleTCTableBodyBoldChar">
    <w:name w:val="Style TC_Table_Body + Bold Char"/>
    <w:link w:val="StyleTCTableBodyBold"/>
    <w:rsid w:val="000E75E3"/>
    <w:rPr>
      <w:rFonts w:ascii="Arno Pro" w:hAnsi="Arno Pro"/>
      <w:b/>
      <w:bCs/>
      <w:kern w:val="22"/>
      <w:sz w:val="15"/>
      <w:lang w:val="en-US" w:eastAsia="en-US" w:bidi="ar-SA"/>
    </w:rPr>
  </w:style>
  <w:style w:type="paragraph" w:customStyle="1" w:styleId="TFExperimentalSection">
    <w:name w:val="TF_Experimental_Section"/>
    <w:basedOn w:val="TFReferencesSection"/>
    <w:qFormat/>
    <w:rsid w:val="00A307FD"/>
  </w:style>
  <w:style w:type="paragraph" w:customStyle="1" w:styleId="TESectionHeading">
    <w:name w:val="TE_Section_Heading"/>
    <w:basedOn w:val="TESupportingInfoTitle"/>
    <w:qFormat/>
    <w:rsid w:val="008331F9"/>
  </w:style>
  <w:style w:type="paragraph" w:styleId="EndnoteText">
    <w:name w:val="endnote text"/>
    <w:basedOn w:val="Normal"/>
    <w:link w:val="EndnoteTextChar"/>
    <w:uiPriority w:val="99"/>
    <w:unhideWhenUsed/>
    <w:rsid w:val="00783363"/>
    <w:pPr>
      <w:spacing w:after="0"/>
    </w:pPr>
    <w:rPr>
      <w:sz w:val="20"/>
    </w:rPr>
  </w:style>
  <w:style w:type="character" w:customStyle="1" w:styleId="EndnoteTextChar">
    <w:name w:val="Endnote Text Char"/>
    <w:basedOn w:val="DefaultParagraphFont"/>
    <w:link w:val="EndnoteText"/>
    <w:uiPriority w:val="99"/>
    <w:rsid w:val="00783363"/>
    <w:rPr>
      <w:rFonts w:ascii="Times" w:hAnsi="Times"/>
    </w:rPr>
  </w:style>
  <w:style w:type="paragraph" w:styleId="Caption">
    <w:name w:val="caption"/>
    <w:basedOn w:val="Normal"/>
    <w:next w:val="Normal"/>
    <w:uiPriority w:val="35"/>
    <w:unhideWhenUsed/>
    <w:qFormat/>
    <w:rsid w:val="00E656C8"/>
    <w:rPr>
      <w:i/>
      <w:iCs/>
      <w:color w:val="1F497D" w:themeColor="text2"/>
      <w:sz w:val="18"/>
      <w:szCs w:val="18"/>
    </w:rPr>
  </w:style>
  <w:style w:type="table" w:styleId="TableGrid">
    <w:name w:val="Table Grid"/>
    <w:basedOn w:val="TableNormal"/>
    <w:uiPriority w:val="59"/>
    <w:rsid w:val="0010345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uiPriority w:val="99"/>
    <w:semiHidden/>
    <w:unhideWhenUsed/>
    <w:rsid w:val="00F007B6"/>
    <w:rPr>
      <w:sz w:val="16"/>
      <w:szCs w:val="16"/>
    </w:rPr>
  </w:style>
  <w:style w:type="paragraph" w:styleId="CommentText">
    <w:name w:val="annotation text"/>
    <w:basedOn w:val="Normal"/>
    <w:link w:val="CommentTextChar"/>
    <w:uiPriority w:val="99"/>
    <w:semiHidden/>
    <w:unhideWhenUsed/>
    <w:rsid w:val="00F007B6"/>
    <w:rPr>
      <w:sz w:val="20"/>
    </w:rPr>
  </w:style>
  <w:style w:type="character" w:customStyle="1" w:styleId="CommentTextChar">
    <w:name w:val="Comment Text Char"/>
    <w:basedOn w:val="DefaultParagraphFont"/>
    <w:link w:val="CommentText"/>
    <w:uiPriority w:val="99"/>
    <w:semiHidden/>
    <w:rsid w:val="00F007B6"/>
    <w:rPr>
      <w:rFonts w:ascii="Times" w:hAnsi="Times"/>
    </w:rPr>
  </w:style>
  <w:style w:type="paragraph" w:styleId="CommentSubject">
    <w:name w:val="annotation subject"/>
    <w:basedOn w:val="CommentText"/>
    <w:next w:val="CommentText"/>
    <w:link w:val="CommentSubjectChar"/>
    <w:uiPriority w:val="99"/>
    <w:semiHidden/>
    <w:unhideWhenUsed/>
    <w:rsid w:val="00F007B6"/>
    <w:rPr>
      <w:b/>
      <w:bCs/>
    </w:rPr>
  </w:style>
  <w:style w:type="character" w:customStyle="1" w:styleId="CommentSubjectChar">
    <w:name w:val="Comment Subject Char"/>
    <w:basedOn w:val="CommentTextChar"/>
    <w:link w:val="CommentSubject"/>
    <w:uiPriority w:val="99"/>
    <w:semiHidden/>
    <w:rsid w:val="00F007B6"/>
    <w:rPr>
      <w:rFonts w:ascii="Times" w:hAnsi="Times"/>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93635">
      <w:bodyDiv w:val="1"/>
      <w:marLeft w:val="0"/>
      <w:marRight w:val="0"/>
      <w:marTop w:val="0"/>
      <w:marBottom w:val="0"/>
      <w:divBdr>
        <w:top w:val="none" w:sz="0" w:space="0" w:color="auto"/>
        <w:left w:val="none" w:sz="0" w:space="0" w:color="auto"/>
        <w:bottom w:val="none" w:sz="0" w:space="0" w:color="auto"/>
        <w:right w:val="none" w:sz="0" w:space="0" w:color="auto"/>
      </w:divBdr>
      <w:divsChild>
        <w:div w:id="908344905">
          <w:marLeft w:val="0"/>
          <w:marRight w:val="0"/>
          <w:marTop w:val="0"/>
          <w:marBottom w:val="0"/>
          <w:divBdr>
            <w:top w:val="none" w:sz="0" w:space="0" w:color="auto"/>
            <w:left w:val="none" w:sz="0" w:space="0" w:color="auto"/>
            <w:bottom w:val="none" w:sz="0" w:space="0" w:color="auto"/>
            <w:right w:val="none" w:sz="0" w:space="0" w:color="auto"/>
          </w:divBdr>
        </w:div>
      </w:divsChild>
    </w:div>
    <w:div w:id="581566492">
      <w:bodyDiv w:val="1"/>
      <w:marLeft w:val="0"/>
      <w:marRight w:val="0"/>
      <w:marTop w:val="0"/>
      <w:marBottom w:val="0"/>
      <w:divBdr>
        <w:top w:val="none" w:sz="0" w:space="0" w:color="auto"/>
        <w:left w:val="none" w:sz="0" w:space="0" w:color="auto"/>
        <w:bottom w:val="none" w:sz="0" w:space="0" w:color="auto"/>
        <w:right w:val="none" w:sz="0" w:space="0" w:color="auto"/>
      </w:divBdr>
      <w:divsChild>
        <w:div w:id="388655556">
          <w:marLeft w:val="0"/>
          <w:marRight w:val="0"/>
          <w:marTop w:val="0"/>
          <w:marBottom w:val="0"/>
          <w:divBdr>
            <w:top w:val="none" w:sz="0" w:space="0" w:color="auto"/>
            <w:left w:val="none" w:sz="0" w:space="0" w:color="auto"/>
            <w:bottom w:val="none" w:sz="0" w:space="0" w:color="auto"/>
            <w:right w:val="none" w:sz="0" w:space="0" w:color="auto"/>
          </w:divBdr>
          <w:divsChild>
            <w:div w:id="1675495989">
              <w:marLeft w:val="0"/>
              <w:marRight w:val="0"/>
              <w:marTop w:val="0"/>
              <w:marBottom w:val="0"/>
              <w:divBdr>
                <w:top w:val="none" w:sz="0" w:space="0" w:color="auto"/>
                <w:left w:val="none" w:sz="0" w:space="0" w:color="auto"/>
                <w:bottom w:val="none" w:sz="0" w:space="0" w:color="auto"/>
                <w:right w:val="none" w:sz="0" w:space="0" w:color="auto"/>
              </w:divBdr>
              <w:divsChild>
                <w:div w:id="12610670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55024365">
      <w:bodyDiv w:val="1"/>
      <w:marLeft w:val="0"/>
      <w:marRight w:val="0"/>
      <w:marTop w:val="0"/>
      <w:marBottom w:val="0"/>
      <w:divBdr>
        <w:top w:val="none" w:sz="0" w:space="0" w:color="auto"/>
        <w:left w:val="none" w:sz="0" w:space="0" w:color="auto"/>
        <w:bottom w:val="none" w:sz="0" w:space="0" w:color="auto"/>
        <w:right w:val="none" w:sz="0" w:space="0" w:color="auto"/>
      </w:divBdr>
      <w:divsChild>
        <w:div w:id="115492250">
          <w:marLeft w:val="0"/>
          <w:marRight w:val="0"/>
          <w:marTop w:val="0"/>
          <w:marBottom w:val="0"/>
          <w:divBdr>
            <w:top w:val="none" w:sz="0" w:space="0" w:color="auto"/>
            <w:left w:val="none" w:sz="0" w:space="0" w:color="auto"/>
            <w:bottom w:val="none" w:sz="0" w:space="0" w:color="auto"/>
            <w:right w:val="none" w:sz="0" w:space="0" w:color="auto"/>
          </w:divBdr>
          <w:divsChild>
            <w:div w:id="275065709">
              <w:marLeft w:val="0"/>
              <w:marRight w:val="0"/>
              <w:marTop w:val="0"/>
              <w:marBottom w:val="0"/>
              <w:divBdr>
                <w:top w:val="none" w:sz="0" w:space="0" w:color="auto"/>
                <w:left w:val="none" w:sz="0" w:space="0" w:color="auto"/>
                <w:bottom w:val="none" w:sz="0" w:space="0" w:color="auto"/>
                <w:right w:val="none" w:sz="0" w:space="0" w:color="auto"/>
              </w:divBdr>
              <w:divsChild>
                <w:div w:id="18051934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95525035">
      <w:bodyDiv w:val="1"/>
      <w:marLeft w:val="0"/>
      <w:marRight w:val="0"/>
      <w:marTop w:val="0"/>
      <w:marBottom w:val="0"/>
      <w:divBdr>
        <w:top w:val="none" w:sz="0" w:space="0" w:color="auto"/>
        <w:left w:val="none" w:sz="0" w:space="0" w:color="auto"/>
        <w:bottom w:val="none" w:sz="0" w:space="0" w:color="auto"/>
        <w:right w:val="none" w:sz="0" w:space="0" w:color="auto"/>
      </w:divBdr>
      <w:divsChild>
        <w:div w:id="2124767839">
          <w:marLeft w:val="0"/>
          <w:marRight w:val="0"/>
          <w:marTop w:val="0"/>
          <w:marBottom w:val="0"/>
          <w:divBdr>
            <w:top w:val="none" w:sz="0" w:space="0" w:color="auto"/>
            <w:left w:val="none" w:sz="0" w:space="0" w:color="auto"/>
            <w:bottom w:val="none" w:sz="0" w:space="0" w:color="auto"/>
            <w:right w:val="none" w:sz="0" w:space="0" w:color="auto"/>
          </w:divBdr>
          <w:divsChild>
            <w:div w:id="1184172006">
              <w:marLeft w:val="0"/>
              <w:marRight w:val="0"/>
              <w:marTop w:val="0"/>
              <w:marBottom w:val="0"/>
              <w:divBdr>
                <w:top w:val="none" w:sz="0" w:space="0" w:color="auto"/>
                <w:left w:val="none" w:sz="0" w:space="0" w:color="auto"/>
                <w:bottom w:val="none" w:sz="0" w:space="0" w:color="auto"/>
                <w:right w:val="none" w:sz="0" w:space="0" w:color="auto"/>
              </w:divBdr>
              <w:divsChild>
                <w:div w:id="8859160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19310543">
      <w:bodyDiv w:val="1"/>
      <w:marLeft w:val="0"/>
      <w:marRight w:val="0"/>
      <w:marTop w:val="0"/>
      <w:marBottom w:val="0"/>
      <w:divBdr>
        <w:top w:val="none" w:sz="0" w:space="0" w:color="auto"/>
        <w:left w:val="none" w:sz="0" w:space="0" w:color="auto"/>
        <w:bottom w:val="none" w:sz="0" w:space="0" w:color="auto"/>
        <w:right w:val="none" w:sz="0" w:space="0" w:color="auto"/>
      </w:divBdr>
      <w:divsChild>
        <w:div w:id="584345106">
          <w:marLeft w:val="0"/>
          <w:marRight w:val="0"/>
          <w:marTop w:val="0"/>
          <w:marBottom w:val="0"/>
          <w:divBdr>
            <w:top w:val="none" w:sz="0" w:space="0" w:color="auto"/>
            <w:left w:val="none" w:sz="0" w:space="0" w:color="auto"/>
            <w:bottom w:val="none" w:sz="0" w:space="0" w:color="auto"/>
            <w:right w:val="none" w:sz="0" w:space="0" w:color="auto"/>
          </w:divBdr>
          <w:divsChild>
            <w:div w:id="1899168118">
              <w:marLeft w:val="0"/>
              <w:marRight w:val="0"/>
              <w:marTop w:val="0"/>
              <w:marBottom w:val="0"/>
              <w:divBdr>
                <w:top w:val="none" w:sz="0" w:space="0" w:color="auto"/>
                <w:left w:val="none" w:sz="0" w:space="0" w:color="auto"/>
                <w:bottom w:val="none" w:sz="0" w:space="0" w:color="auto"/>
                <w:right w:val="none" w:sz="0" w:space="0" w:color="auto"/>
              </w:divBdr>
              <w:divsChild>
                <w:div w:id="12215974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4.emf"/><Relationship Id="rId18" Type="http://schemas.openxmlformats.org/officeDocument/2006/relationships/image" Target="media/image9.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image" Target="media/image12.emf"/><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image" Target="media/image8.emf"/><Relationship Id="rId25" Type="http://schemas.openxmlformats.org/officeDocument/2006/relationships/footer" Target="footer4.xml"/><Relationship Id="rId2" Type="http://schemas.openxmlformats.org/officeDocument/2006/relationships/numbering" Target="numbering.xml"/><Relationship Id="rId16" Type="http://schemas.openxmlformats.org/officeDocument/2006/relationships/image" Target="media/image7.emf"/><Relationship Id="rId20" Type="http://schemas.openxmlformats.org/officeDocument/2006/relationships/image" Target="media/image11.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emf"/><Relationship Id="rId24"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6.emf"/><Relationship Id="rId23" Type="http://schemas.openxmlformats.org/officeDocument/2006/relationships/header" Target="header1.xml"/><Relationship Id="rId10" Type="http://schemas.openxmlformats.org/officeDocument/2006/relationships/image" Target="media/image1.emf"/><Relationship Id="rId19" Type="http://schemas.openxmlformats.org/officeDocument/2006/relationships/image" Target="media/image10.emf"/><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sharose/Downloads/acspagewide_msw2011_om_mac%20(2).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9462605-D9DC-7B4F-834A-CF0716D579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acspagewide_msw2011_om_mac (2).dotx</Template>
  <TotalTime>1</TotalTime>
  <Pages>11</Pages>
  <Words>6614</Words>
  <Characters>37705</Characters>
  <Application>Microsoft Office Word</Application>
  <DocSecurity>0</DocSecurity>
  <Lines>314</Lines>
  <Paragraphs>88</Paragraphs>
  <ScaleCrop>false</ScaleCrop>
  <HeadingPairs>
    <vt:vector size="2" baseType="variant">
      <vt:variant>
        <vt:lpstr>Title</vt:lpstr>
      </vt:variant>
      <vt:variant>
        <vt:i4>1</vt:i4>
      </vt:variant>
    </vt:vector>
  </HeadingPairs>
  <TitlesOfParts>
    <vt:vector size="1" baseType="lpstr">
      <vt:lpstr>Template for Electronic Submission to ACS Journals</vt:lpstr>
    </vt:vector>
  </TitlesOfParts>
  <Company>ACS</Company>
  <LinksUpToDate>false</LinksUpToDate>
  <CharactersWithSpaces>44231</CharactersWithSpaces>
  <SharedDoc>false</SharedDoc>
  <HLinks>
    <vt:vector size="6" baseType="variant">
      <vt:variant>
        <vt:i4>5505098</vt:i4>
      </vt:variant>
      <vt:variant>
        <vt:i4>0</vt:i4>
      </vt:variant>
      <vt:variant>
        <vt:i4>0</vt:i4>
      </vt:variant>
      <vt:variant>
        <vt:i4>5</vt:i4>
      </vt:variant>
      <vt:variant>
        <vt:lpwstr>http://pubs.acs.org/page/4authors/index.html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Electronic Submission to ACS Journals</dc:title>
  <dc:subject/>
  <dc:creator>Sharon Neufeldt</dc:creator>
  <cp:keywords/>
  <cp:lastModifiedBy>Neufeldt, Sharon</cp:lastModifiedBy>
  <cp:revision>3</cp:revision>
  <cp:lastPrinted>2024-03-22T18:25:00Z</cp:lastPrinted>
  <dcterms:created xsi:type="dcterms:W3CDTF">2024-04-11T19:26:00Z</dcterms:created>
  <dcterms:modified xsi:type="dcterms:W3CDTF">2024-04-11T19:29:00Z</dcterms:modified>
</cp:coreProperties>
</file>