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5CDE" w:rsidRPr="00202622" w:rsidRDefault="00FE1F23" w:rsidP="00E55CDE">
      <w:pPr>
        <w:pStyle w:val="EFSAHeading1nonumber"/>
        <w:jc w:val="center"/>
        <w:rPr>
          <w:rFonts w:cs="Tahoma"/>
          <w:szCs w:val="20"/>
        </w:rPr>
      </w:pPr>
      <w:bookmarkStart w:id="0" w:name="_GoBack"/>
      <w:r w:rsidRPr="00202622">
        <w:rPr>
          <w:rFonts w:cs="Tahoma"/>
          <w:szCs w:val="20"/>
        </w:rPr>
        <w:t xml:space="preserve">Annex C </w:t>
      </w:r>
      <w:r w:rsidR="00E55CDE" w:rsidRPr="00202622">
        <w:rPr>
          <w:rFonts w:cs="Tahoma"/>
          <w:szCs w:val="20"/>
        </w:rPr>
        <w:t>Information sheet 1.0</w:t>
      </w:r>
      <w:r w:rsidR="009F1DF7" w:rsidRPr="00202622">
        <w:rPr>
          <w:rFonts w:cs="Tahoma"/>
          <w:szCs w:val="20"/>
        </w:rPr>
        <w:t>6</w:t>
      </w:r>
    </w:p>
    <w:p w:rsidR="009F1DF7" w:rsidRPr="00202622" w:rsidRDefault="009F1DF7" w:rsidP="009F1DF7">
      <w:pPr>
        <w:pStyle w:val="EFSAHeading1nonumber"/>
        <w:jc w:val="center"/>
        <w:rPr>
          <w:rFonts w:cs="Tahoma"/>
          <w:szCs w:val="20"/>
        </w:rPr>
      </w:pPr>
      <w:r w:rsidRPr="00202622">
        <w:rPr>
          <w:rFonts w:cs="Tahoma"/>
          <w:szCs w:val="20"/>
        </w:rPr>
        <w:t>Soil treatment</w:t>
      </w:r>
    </w:p>
    <w:p w:rsidR="00E55CDE" w:rsidRPr="00202622" w:rsidRDefault="0054686C" w:rsidP="00E55CDE">
      <w:pPr>
        <w:pStyle w:val="EFSAOutputtitle"/>
        <w:jc w:val="left"/>
        <w:rPr>
          <w:rFonts w:cs="Tahoma"/>
          <w:b w:val="0"/>
          <w:i/>
          <w:sz w:val="20"/>
          <w:szCs w:val="20"/>
        </w:rPr>
      </w:pPr>
      <w:r w:rsidRPr="00202622">
        <w:rPr>
          <w:rFonts w:cs="Tahoma"/>
          <w:b w:val="0"/>
          <w:i/>
          <w:sz w:val="20"/>
          <w:szCs w:val="20"/>
        </w:rPr>
        <w:t xml:space="preserve">This information sheet is part of </w:t>
      </w:r>
      <w:r w:rsidR="00E55CDE" w:rsidRPr="00202622">
        <w:rPr>
          <w:rFonts w:cs="Tahoma"/>
          <w:b w:val="0"/>
          <w:i/>
          <w:sz w:val="20"/>
          <w:szCs w:val="20"/>
        </w:rPr>
        <w:t xml:space="preserve">Annex C (Standardised checklist of risk reduction options) </w:t>
      </w:r>
      <w:r w:rsidR="00FE1F23" w:rsidRPr="00202622">
        <w:rPr>
          <w:rFonts w:cs="Tahoma"/>
          <w:b w:val="0"/>
          <w:i/>
          <w:sz w:val="20"/>
          <w:szCs w:val="20"/>
        </w:rPr>
        <w:t xml:space="preserve">supporting document to </w:t>
      </w:r>
      <w:r w:rsidR="00E55CDE" w:rsidRPr="00202622">
        <w:rPr>
          <w:rFonts w:cs="Tahoma"/>
          <w:b w:val="0"/>
          <w:i/>
          <w:sz w:val="20"/>
          <w:szCs w:val="20"/>
        </w:rPr>
        <w:t>the draft Guidance of the EFSA Plant Health Panel on quantitative pest risk assessment under public consultation (http://www.efsa.europa.eu/en/consultations/call/180212-0)</w:t>
      </w:r>
    </w:p>
    <w:bookmarkEnd w:id="0"/>
    <w:p w:rsidR="00E55CDE" w:rsidRPr="00202622" w:rsidRDefault="00E55CDE" w:rsidP="00E55CDE">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Description of the RRO</w:t>
      </w:r>
    </w:p>
    <w:p w:rsidR="00202622" w:rsidRPr="00202622" w:rsidRDefault="00202622" w:rsidP="00202622">
      <w:pPr>
        <w:spacing w:after="0"/>
        <w:ind w:left="720"/>
        <w:rPr>
          <w:rFonts w:ascii="Tahoma" w:hAnsi="Tahoma" w:cs="Tahoma"/>
          <w:b/>
          <w:u w:val="single"/>
        </w:rPr>
      </w:pPr>
    </w:p>
    <w:p w:rsidR="00202622" w:rsidRPr="00202622" w:rsidRDefault="00202622" w:rsidP="00202622">
      <w:pPr>
        <w:spacing w:after="120"/>
        <w:jc w:val="both"/>
        <w:rPr>
          <w:rFonts w:ascii="Tahoma" w:hAnsi="Tahoma" w:cs="Tahoma"/>
          <w:color w:val="000000"/>
          <w:sz w:val="20"/>
          <w:szCs w:val="20"/>
        </w:rPr>
      </w:pPr>
      <w:r w:rsidRPr="00202622">
        <w:rPr>
          <w:rFonts w:ascii="Tahoma" w:hAnsi="Tahoma" w:cs="Tahoma"/>
          <w:color w:val="000000"/>
          <w:sz w:val="20"/>
          <w:szCs w:val="20"/>
        </w:rPr>
        <w:t xml:space="preserve">Management practices, such as use of crop rotations, cover crops and green manures, organic amendments, and conservation tillage, contribute to building active, diverse, disease-suppressive soil microbial and micro-arthropod communities. All these practices have been shown to effectively reduce major soil borne diseases in some situations (Larkin, 2015). However, in many cases this is not enough and additional RROs have to be put in place. Prevalence of many microorganisms living in the soil, including not only plant pathogens but also some worms, slugs, centipedes, insects and seeds can be reduced (ideally completely eliminated) by chemical (i.e., fumigants, other pesticides), physical (i.e., flooding, heat, mechanical removal) and biological (i.e. suppression, biofumigation) methods. Although methyl bromide was the fumigant of choice for many pre-plant soil applications in the past (Martin, 2003; Zasada et al., 2010), its phase-out triggered interest on chemical and non-chemical alternatives. Currently, there are only a handful of chemicals registered for soil treatment in the EU and the situation is constantly changing (EC, 2016). In addition to fumigation, the measures considered in this fiche include: heating, solarisation, flooding, soil suppression, augmentative biological control, and biofumigation (Martin, 2003; Zasada et al., 2010), which can be applied alone or in different combinations. Some of these measures can also be applied to growing media other than soil and also to tare soil, which is the soil attached to harvested products like ware potatoes, sugar beets, carrots or leeks (Overbeek et al., 2014; EFSA PHL, 2015). </w:t>
      </w:r>
    </w:p>
    <w:p w:rsidR="00202622" w:rsidRPr="00202622" w:rsidRDefault="00202622" w:rsidP="00202622">
      <w:pPr>
        <w:spacing w:after="120"/>
        <w:jc w:val="both"/>
        <w:rPr>
          <w:rFonts w:ascii="Tahoma" w:hAnsi="Tahoma" w:cs="Tahoma"/>
          <w:sz w:val="20"/>
          <w:szCs w:val="20"/>
        </w:rPr>
      </w:pPr>
      <w:r w:rsidRPr="00202622">
        <w:rPr>
          <w:rFonts w:ascii="Tahoma" w:hAnsi="Tahoma" w:cs="Tahoma"/>
          <w:b/>
          <w:sz w:val="20"/>
          <w:szCs w:val="20"/>
        </w:rPr>
        <w:t>a) FUMIGATION</w:t>
      </w:r>
      <w:r w:rsidRPr="00202622">
        <w:rPr>
          <w:rFonts w:ascii="Tahoma" w:hAnsi="Tahoma" w:cs="Tahoma"/>
          <w:sz w:val="20"/>
          <w:szCs w:val="20"/>
        </w:rPr>
        <w:t xml:space="preserve">. Soil to be planted with high value crops, as ornamentals, fruit trees, strawberries, etc., is frequently treated with fumigants (e.g., Dazomet, Metam sodium, Metam potassium; </w:t>
      </w:r>
      <w:r w:rsidRPr="00202622">
        <w:rPr>
          <w:rFonts w:ascii="Tahoma" w:hAnsi="Tahoma" w:cs="Tahoma"/>
          <w:color w:val="000000"/>
          <w:sz w:val="20"/>
          <w:szCs w:val="20"/>
        </w:rPr>
        <w:t>EU, 2016</w:t>
      </w:r>
      <w:r w:rsidRPr="00202622">
        <w:rPr>
          <w:rFonts w:ascii="Tahoma" w:hAnsi="Tahoma" w:cs="Tahoma"/>
          <w:sz w:val="20"/>
          <w:szCs w:val="20"/>
        </w:rPr>
        <w:t xml:space="preserve">) for control primarily of nematodes but also of soil borne fungi, as </w:t>
      </w:r>
      <w:r w:rsidRPr="00202622">
        <w:rPr>
          <w:rFonts w:ascii="Tahoma" w:hAnsi="Tahoma" w:cs="Tahoma"/>
          <w:i/>
          <w:sz w:val="20"/>
          <w:szCs w:val="20"/>
        </w:rPr>
        <w:t>Fusarium</w:t>
      </w:r>
      <w:r w:rsidRPr="00202622">
        <w:rPr>
          <w:rFonts w:ascii="Tahoma" w:hAnsi="Tahoma" w:cs="Tahoma"/>
          <w:sz w:val="20"/>
          <w:szCs w:val="20"/>
        </w:rPr>
        <w:t xml:space="preserve"> and </w:t>
      </w:r>
      <w:r w:rsidRPr="00202622">
        <w:rPr>
          <w:rFonts w:ascii="Tahoma" w:hAnsi="Tahoma" w:cs="Tahoma"/>
          <w:i/>
          <w:sz w:val="20"/>
          <w:szCs w:val="20"/>
        </w:rPr>
        <w:t>Verticillium</w:t>
      </w:r>
      <w:r w:rsidRPr="00202622">
        <w:rPr>
          <w:rFonts w:ascii="Tahoma" w:hAnsi="Tahoma" w:cs="Tahoma"/>
          <w:sz w:val="20"/>
          <w:szCs w:val="20"/>
        </w:rPr>
        <w:t xml:space="preserve">, weeds and bacteria (Agrios, 2005; Klosterman et al., 2009). </w:t>
      </w:r>
    </w:p>
    <w:p w:rsidR="00202622" w:rsidRPr="00202622" w:rsidRDefault="00202622" w:rsidP="00202622">
      <w:pPr>
        <w:spacing w:after="120"/>
        <w:jc w:val="both"/>
        <w:rPr>
          <w:rFonts w:ascii="Tahoma" w:hAnsi="Tahoma" w:cs="Tahoma"/>
          <w:sz w:val="20"/>
          <w:szCs w:val="20"/>
        </w:rPr>
      </w:pPr>
      <w:r w:rsidRPr="00202622">
        <w:rPr>
          <w:rFonts w:ascii="Tahoma" w:hAnsi="Tahoma" w:cs="Tahoma"/>
          <w:b/>
          <w:sz w:val="20"/>
          <w:szCs w:val="20"/>
        </w:rPr>
        <w:t>b) HEATING</w:t>
      </w:r>
      <w:r w:rsidRPr="00202622">
        <w:rPr>
          <w:rFonts w:ascii="Tahoma" w:hAnsi="Tahoma" w:cs="Tahoma"/>
          <w:sz w:val="20"/>
          <w:szCs w:val="20"/>
        </w:rPr>
        <w:t>. In some particular cases, e.g., greenhouses, and sometimes in seed beds and cold frames, soil can be sterilized by the heat carried in live or aerated steam, hot water or dry heat. For this method to be effective, soil moisture should be 50-85% of field capacity and soil temperature above 13°C at a 15.2 cm depth (Martin, 2003; Pennstate Extension, 2016).</w:t>
      </w:r>
    </w:p>
    <w:p w:rsidR="00202622" w:rsidRPr="00202622" w:rsidRDefault="00202622" w:rsidP="00202622">
      <w:pPr>
        <w:spacing w:after="120"/>
        <w:jc w:val="both"/>
        <w:rPr>
          <w:rFonts w:ascii="Tahoma" w:hAnsi="Tahoma" w:cs="Tahoma"/>
          <w:sz w:val="20"/>
          <w:szCs w:val="20"/>
        </w:rPr>
      </w:pPr>
      <w:r w:rsidRPr="00202622">
        <w:rPr>
          <w:rFonts w:ascii="Tahoma" w:hAnsi="Tahoma" w:cs="Tahoma"/>
          <w:b/>
          <w:sz w:val="20"/>
          <w:szCs w:val="20"/>
        </w:rPr>
        <w:t>d) SOLARISATION</w:t>
      </w:r>
      <w:r w:rsidRPr="00202622">
        <w:rPr>
          <w:rFonts w:ascii="Tahoma" w:hAnsi="Tahoma" w:cs="Tahoma"/>
          <w:sz w:val="20"/>
          <w:szCs w:val="20"/>
        </w:rPr>
        <w:t xml:space="preserve">. Solarisation has been used for the management of soil borne pathogens since 1976 as a pre-plant soil treatment and is still widely used in many areas of the world. There may be limits to its effectiveness in some areas where warm temperatures coincide with rainfall since cloud cover and rain will reduce the effect of solar radiation under the plastic. However, selection of appropriate plastics for covering the soil may improve efficiency in these locations (Frank, 2003; Zasada et al., 2010). </w:t>
      </w:r>
    </w:p>
    <w:p w:rsidR="00202622" w:rsidRPr="00202622" w:rsidRDefault="00202622" w:rsidP="00202622">
      <w:pPr>
        <w:spacing w:after="0"/>
        <w:jc w:val="both"/>
        <w:rPr>
          <w:rFonts w:ascii="Tahoma" w:hAnsi="Tahoma" w:cs="Tahoma"/>
          <w:sz w:val="20"/>
          <w:szCs w:val="20"/>
        </w:rPr>
      </w:pPr>
      <w:r w:rsidRPr="00202622">
        <w:rPr>
          <w:rFonts w:ascii="Tahoma" w:hAnsi="Tahoma" w:cs="Tahoma"/>
          <w:b/>
          <w:sz w:val="20"/>
          <w:szCs w:val="20"/>
        </w:rPr>
        <w:t>e) FLOODING.</w:t>
      </w:r>
      <w:r w:rsidRPr="00202622">
        <w:rPr>
          <w:rFonts w:ascii="Tahoma" w:hAnsi="Tahoma" w:cs="Tahoma"/>
          <w:sz w:val="20"/>
          <w:szCs w:val="20"/>
        </w:rPr>
        <w:t xml:space="preserve"> Flooding is used as a standard agronomic practice in cranberry production, and its insecticidal value against a number of pests (i.e., cranberry fruit-worm, </w:t>
      </w:r>
      <w:r w:rsidRPr="00202622">
        <w:rPr>
          <w:rFonts w:ascii="Tahoma" w:hAnsi="Tahoma" w:cs="Tahoma"/>
          <w:i/>
          <w:sz w:val="20"/>
          <w:szCs w:val="20"/>
        </w:rPr>
        <w:t>Acrobasis vaccinii</w:t>
      </w:r>
      <w:r w:rsidRPr="00202622">
        <w:rPr>
          <w:rFonts w:ascii="Tahoma" w:hAnsi="Tahoma" w:cs="Tahoma"/>
          <w:sz w:val="20"/>
          <w:szCs w:val="20"/>
        </w:rPr>
        <w:t xml:space="preserve">, southern red mite, </w:t>
      </w:r>
      <w:r w:rsidRPr="00202622">
        <w:rPr>
          <w:rFonts w:ascii="Tahoma" w:hAnsi="Tahoma" w:cs="Tahoma"/>
          <w:i/>
          <w:sz w:val="20"/>
          <w:szCs w:val="20"/>
        </w:rPr>
        <w:t>Oligonychus ilicis</w:t>
      </w:r>
      <w:r w:rsidRPr="00202622">
        <w:rPr>
          <w:rFonts w:ascii="Tahoma" w:hAnsi="Tahoma" w:cs="Tahoma"/>
          <w:sz w:val="20"/>
          <w:szCs w:val="20"/>
        </w:rPr>
        <w:t xml:space="preserve">, and early-season cutworms) was recognized more than 70 years ago. </w:t>
      </w:r>
    </w:p>
    <w:p w:rsidR="00202622" w:rsidRPr="00202622" w:rsidRDefault="00202622" w:rsidP="00202622">
      <w:pPr>
        <w:spacing w:after="120"/>
        <w:jc w:val="both"/>
        <w:rPr>
          <w:rFonts w:ascii="Tahoma" w:hAnsi="Tahoma" w:cs="Tahoma"/>
          <w:sz w:val="20"/>
          <w:szCs w:val="20"/>
        </w:rPr>
      </w:pPr>
      <w:r w:rsidRPr="00202622">
        <w:rPr>
          <w:rFonts w:ascii="Tahoma" w:hAnsi="Tahoma" w:cs="Tahoma"/>
          <w:sz w:val="20"/>
          <w:szCs w:val="20"/>
        </w:rPr>
        <w:t xml:space="preserve">Similarly, flooding of vineyards for 40–50 days during the winter months has been shown to limit phylloxera, </w:t>
      </w:r>
      <w:r w:rsidRPr="00202622">
        <w:rPr>
          <w:rFonts w:ascii="Tahoma" w:hAnsi="Tahoma" w:cs="Tahoma"/>
          <w:i/>
          <w:sz w:val="20"/>
          <w:szCs w:val="20"/>
        </w:rPr>
        <w:t>Viteus vitifoliae</w:t>
      </w:r>
      <w:r w:rsidRPr="00202622">
        <w:rPr>
          <w:rFonts w:ascii="Tahoma" w:hAnsi="Tahoma" w:cs="Tahoma"/>
          <w:sz w:val="20"/>
          <w:szCs w:val="20"/>
        </w:rPr>
        <w:t>, populations (Granett et al., 2001). Flooding has also been used against soil nematodes (Spaull et al., 1992; Overbeek et al., 2014). This method can be effectively used against root-knot nematodes (</w:t>
      </w:r>
      <w:r w:rsidRPr="00202622">
        <w:rPr>
          <w:rFonts w:ascii="Tahoma" w:hAnsi="Tahoma" w:cs="Tahoma"/>
          <w:i/>
          <w:sz w:val="20"/>
          <w:szCs w:val="20"/>
        </w:rPr>
        <w:t>Meloidogyne</w:t>
      </w:r>
      <w:r w:rsidRPr="00202622">
        <w:rPr>
          <w:rFonts w:ascii="Tahoma" w:hAnsi="Tahoma" w:cs="Tahoma"/>
          <w:sz w:val="20"/>
          <w:szCs w:val="20"/>
        </w:rPr>
        <w:t xml:space="preserve"> spp.) (Duncan, 1991), the stem nematode (</w:t>
      </w:r>
      <w:r w:rsidRPr="00202622">
        <w:rPr>
          <w:rFonts w:ascii="Tahoma" w:hAnsi="Tahoma" w:cs="Tahoma"/>
          <w:i/>
          <w:sz w:val="20"/>
          <w:szCs w:val="20"/>
        </w:rPr>
        <w:t>Ditylenchus dipsaci</w:t>
      </w:r>
      <w:r w:rsidRPr="00202622">
        <w:rPr>
          <w:rFonts w:ascii="Tahoma" w:hAnsi="Tahoma" w:cs="Tahoma"/>
          <w:sz w:val="20"/>
          <w:szCs w:val="20"/>
        </w:rPr>
        <w:t xml:space="preserve">) </w:t>
      </w:r>
      <w:r w:rsidRPr="00202622">
        <w:rPr>
          <w:rFonts w:ascii="Tahoma" w:hAnsi="Tahoma" w:cs="Tahoma"/>
          <w:sz w:val="20"/>
          <w:szCs w:val="20"/>
        </w:rPr>
        <w:lastRenderedPageBreak/>
        <w:t>(Muller and van Aartrijk, 1988), the burrowing nematode (</w:t>
      </w:r>
      <w:r w:rsidRPr="00202622">
        <w:rPr>
          <w:rFonts w:ascii="Tahoma" w:hAnsi="Tahoma" w:cs="Tahoma"/>
          <w:i/>
          <w:sz w:val="20"/>
          <w:szCs w:val="20"/>
        </w:rPr>
        <w:t>Radopholus similis</w:t>
      </w:r>
      <w:r w:rsidRPr="00202622">
        <w:rPr>
          <w:rFonts w:ascii="Tahoma" w:hAnsi="Tahoma" w:cs="Tahoma"/>
          <w:sz w:val="20"/>
          <w:szCs w:val="20"/>
        </w:rPr>
        <w:t>) (Stover, 1979), and the potato cyst nematodes Globodera</w:t>
      </w:r>
      <w:r w:rsidRPr="00202622">
        <w:rPr>
          <w:rFonts w:ascii="Tahoma" w:hAnsi="Tahoma" w:cs="Tahoma"/>
          <w:i/>
          <w:sz w:val="20"/>
          <w:szCs w:val="20"/>
        </w:rPr>
        <w:t xml:space="preserve"> pallida</w:t>
      </w:r>
      <w:r w:rsidRPr="00202622">
        <w:rPr>
          <w:rFonts w:ascii="Tahoma" w:hAnsi="Tahoma" w:cs="Tahoma"/>
          <w:sz w:val="20"/>
          <w:szCs w:val="20"/>
        </w:rPr>
        <w:t xml:space="preserve"> and </w:t>
      </w:r>
      <w:r w:rsidRPr="00202622">
        <w:rPr>
          <w:rFonts w:ascii="Tahoma" w:hAnsi="Tahoma" w:cs="Tahoma"/>
          <w:i/>
          <w:sz w:val="20"/>
          <w:szCs w:val="20"/>
        </w:rPr>
        <w:t>G. rostochiensis</w:t>
      </w:r>
      <w:r w:rsidRPr="00202622">
        <w:rPr>
          <w:rFonts w:ascii="Tahoma" w:hAnsi="Tahoma" w:cs="Tahoma"/>
          <w:sz w:val="20"/>
          <w:szCs w:val="20"/>
        </w:rPr>
        <w:t xml:space="preserve"> (Ebrahimi et al., 2016). This RRO can only be used where water is abundant and either in crops tolerant to flooding for a prolonged period (Vincent et al., 2003) or during the white period in between two crops.</w:t>
      </w:r>
    </w:p>
    <w:p w:rsidR="00202622" w:rsidRPr="00202622" w:rsidRDefault="00202622" w:rsidP="00202622">
      <w:pPr>
        <w:spacing w:after="120"/>
        <w:jc w:val="both"/>
        <w:rPr>
          <w:rFonts w:ascii="Tahoma" w:hAnsi="Tahoma" w:cs="Tahoma"/>
          <w:sz w:val="20"/>
          <w:szCs w:val="20"/>
        </w:rPr>
      </w:pPr>
      <w:r w:rsidRPr="00202622">
        <w:rPr>
          <w:rFonts w:ascii="Tahoma" w:hAnsi="Tahoma" w:cs="Tahoma"/>
          <w:b/>
          <w:sz w:val="20"/>
          <w:szCs w:val="20"/>
        </w:rPr>
        <w:t>f) SOIL SUPPRESSION</w:t>
      </w:r>
      <w:r w:rsidRPr="00202622">
        <w:rPr>
          <w:rFonts w:ascii="Tahoma" w:hAnsi="Tahoma" w:cs="Tahoma"/>
          <w:sz w:val="20"/>
          <w:szCs w:val="20"/>
        </w:rPr>
        <w:t>. Suppressive soils hold considerable potential for managing soil borne pathogens. When suppression has a biological origin, identifying the causal organisms is the crucial step in realizing this potential. Identifying the key suppressive organisms may lead to the development of new tactics to create and maintain pest specific soil suppression (Borneman and Becker, 2007).</w:t>
      </w:r>
    </w:p>
    <w:p w:rsidR="00202622" w:rsidRPr="00202622" w:rsidRDefault="00202622" w:rsidP="00202622">
      <w:pPr>
        <w:spacing w:after="120"/>
        <w:jc w:val="both"/>
        <w:rPr>
          <w:rFonts w:ascii="Tahoma" w:hAnsi="Tahoma" w:cs="Tahoma"/>
          <w:sz w:val="20"/>
          <w:szCs w:val="20"/>
        </w:rPr>
      </w:pPr>
      <w:r w:rsidRPr="00202622">
        <w:rPr>
          <w:rFonts w:ascii="Tahoma" w:hAnsi="Tahoma" w:cs="Tahoma"/>
          <w:b/>
          <w:sz w:val="20"/>
          <w:szCs w:val="20"/>
        </w:rPr>
        <w:t>g) AUGMENTATIVE BIOLOGICAL CONTROL</w:t>
      </w:r>
      <w:r w:rsidRPr="00202622">
        <w:rPr>
          <w:rFonts w:ascii="Tahoma" w:hAnsi="Tahoma" w:cs="Tahoma"/>
          <w:sz w:val="20"/>
          <w:szCs w:val="20"/>
        </w:rPr>
        <w:t xml:space="preserve">. When soil suppression can be attributed to the effects of individual or selected groups of microorganisms and is transferable, these microorganisms can be added to soil, seedlings, growing media, etc. prior to transplanting using different methods. One of the best-described examples occurs in take-all decline soils. In Washington State, take-all decline results from the build-up of fluorescent </w:t>
      </w:r>
      <w:r w:rsidRPr="00202622">
        <w:rPr>
          <w:rFonts w:ascii="Tahoma" w:hAnsi="Tahoma" w:cs="Tahoma"/>
          <w:i/>
          <w:iCs/>
          <w:sz w:val="20"/>
          <w:szCs w:val="20"/>
        </w:rPr>
        <w:t xml:space="preserve">Pseudomonas </w:t>
      </w:r>
      <w:r w:rsidRPr="00202622">
        <w:rPr>
          <w:rFonts w:ascii="Tahoma" w:hAnsi="Tahoma" w:cs="Tahoma"/>
          <w:sz w:val="20"/>
          <w:szCs w:val="20"/>
        </w:rPr>
        <w:t>spp. that produce the antifungal metabolite 2,4-diacetylphloroglucinol (Weller et al., 2002; Borneman and Becker, 2007).</w:t>
      </w:r>
    </w:p>
    <w:p w:rsidR="00202622" w:rsidRPr="00202622" w:rsidRDefault="00202622" w:rsidP="00202622">
      <w:pPr>
        <w:spacing w:after="120"/>
        <w:jc w:val="both"/>
        <w:rPr>
          <w:rFonts w:ascii="Tahoma" w:hAnsi="Tahoma" w:cs="Tahoma"/>
          <w:sz w:val="20"/>
          <w:szCs w:val="20"/>
        </w:rPr>
      </w:pPr>
      <w:r w:rsidRPr="00202622">
        <w:rPr>
          <w:rFonts w:ascii="Tahoma" w:hAnsi="Tahoma" w:cs="Tahoma"/>
          <w:b/>
          <w:sz w:val="20"/>
          <w:szCs w:val="20"/>
        </w:rPr>
        <w:t>h) BIOFUMIGATION</w:t>
      </w:r>
      <w:r w:rsidRPr="00202622">
        <w:rPr>
          <w:rFonts w:ascii="Tahoma" w:hAnsi="Tahoma" w:cs="Tahoma"/>
          <w:sz w:val="20"/>
          <w:szCs w:val="20"/>
        </w:rPr>
        <w:t xml:space="preserve">. The practice of incorporating brassicaceous plant material into the soil to control soil borne organisms has been coined biofumigation. When a field of brassica plants is mechanically chopped and quickly incorporated into the soil, a flush of isothiocyanate can be released in sufficient concentration to impact plant-parasitic nematode populations and a few soil borne fungi including </w:t>
      </w:r>
      <w:r w:rsidRPr="00202622">
        <w:rPr>
          <w:rFonts w:ascii="Tahoma" w:hAnsi="Tahoma" w:cs="Tahoma"/>
          <w:i/>
          <w:sz w:val="20"/>
          <w:szCs w:val="20"/>
        </w:rPr>
        <w:t>Verticillium</w:t>
      </w:r>
      <w:r w:rsidRPr="00202622">
        <w:rPr>
          <w:rFonts w:ascii="Tahoma" w:hAnsi="Tahoma" w:cs="Tahoma"/>
          <w:sz w:val="20"/>
          <w:szCs w:val="20"/>
        </w:rPr>
        <w:t xml:space="preserve"> spp. (Klosterman et al., 2009</w:t>
      </w:r>
      <w:r w:rsidRPr="00202622">
        <w:rPr>
          <w:rFonts w:ascii="Tahoma" w:hAnsi="Tahoma" w:cs="Tahoma"/>
          <w:color w:val="000000"/>
          <w:sz w:val="20"/>
          <w:szCs w:val="20"/>
        </w:rPr>
        <w:t>; Zasada et al., 2010; Wei et al., 2016</w:t>
      </w:r>
      <w:r w:rsidRPr="00202622">
        <w:rPr>
          <w:rFonts w:ascii="Tahoma" w:hAnsi="Tahoma" w:cs="Tahoma"/>
          <w:sz w:val="20"/>
          <w:szCs w:val="20"/>
        </w:rPr>
        <w:t>).</w:t>
      </w:r>
    </w:p>
    <w:p w:rsidR="00202622" w:rsidRPr="00202622" w:rsidRDefault="00202622" w:rsidP="00202622">
      <w:pPr>
        <w:jc w:val="both"/>
        <w:rPr>
          <w:rFonts w:ascii="Tahoma" w:hAnsi="Tahoma" w:cs="Tahoma"/>
          <w:color w:val="000000"/>
          <w:sz w:val="20"/>
          <w:szCs w:val="20"/>
        </w:rPr>
      </w:pPr>
      <w:r w:rsidRPr="00202622">
        <w:rPr>
          <w:rFonts w:ascii="Tahoma" w:hAnsi="Tahoma" w:cs="Tahoma"/>
          <w:color w:val="000000"/>
          <w:sz w:val="20"/>
          <w:szCs w:val="20"/>
        </w:rPr>
        <w:t xml:space="preserve">All the RROs exposed above can affect the probability of the pest being associated, spatially or temporally, with the pathway at origin, where these RROs may have a direct effect on the prevalence of the pest in the crop. </w:t>
      </w:r>
    </w:p>
    <w:p w:rsidR="00202622" w:rsidRPr="00202622" w:rsidRDefault="00202622" w:rsidP="00202622">
      <w:pPr>
        <w:spacing w:after="0"/>
        <w:rPr>
          <w:rFonts w:ascii="Tahoma" w:hAnsi="Tahoma" w:cs="Tahoma"/>
          <w:color w:val="FF0000"/>
          <w:sz w:val="20"/>
          <w:szCs w:val="20"/>
        </w:rPr>
      </w:pPr>
    </w:p>
    <w:p w:rsidR="00202622" w:rsidRPr="00202622" w:rsidRDefault="00202622" w:rsidP="00202622">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Risk factors</w:t>
      </w:r>
    </w:p>
    <w:p w:rsidR="00202622" w:rsidRPr="00202622" w:rsidRDefault="00202622" w:rsidP="00202622">
      <w:pPr>
        <w:spacing w:after="0"/>
        <w:rPr>
          <w:rFonts w:ascii="Tahoma" w:hAnsi="Tahoma" w:cs="Tahoma"/>
          <w:sz w:val="20"/>
          <w:szCs w:val="20"/>
        </w:rPr>
      </w:pPr>
    </w:p>
    <w:p w:rsidR="00202622" w:rsidRPr="00202622" w:rsidRDefault="00202622" w:rsidP="00202622">
      <w:pPr>
        <w:spacing w:after="0"/>
        <w:rPr>
          <w:rFonts w:ascii="Tahoma" w:hAnsi="Tahoma" w:cs="Tahoma"/>
          <w:sz w:val="20"/>
          <w:szCs w:val="20"/>
        </w:rPr>
      </w:pPr>
      <w:r w:rsidRPr="00202622">
        <w:rPr>
          <w:rFonts w:ascii="Tahoma" w:hAnsi="Tahoma" w:cs="Tahoma"/>
          <w:sz w:val="20"/>
          <w:szCs w:val="20"/>
        </w:rPr>
        <w:t>Table 1. Points of application of measures.</w:t>
      </w:r>
    </w:p>
    <w:p w:rsidR="00202622" w:rsidRPr="00202622" w:rsidRDefault="00202622" w:rsidP="00202622">
      <w:pPr>
        <w:spacing w:after="0"/>
        <w:rPr>
          <w:rFonts w:ascii="Tahoma" w:hAnsi="Tahoma" w:cs="Tahoma"/>
          <w:sz w:val="20"/>
          <w:szCs w:val="20"/>
        </w:rPr>
      </w:pPr>
    </w:p>
    <w:tbl>
      <w:tblPr>
        <w:tblpPr w:leftFromText="141" w:rightFromText="141" w:vertAnchor="text" w:horzAnchor="page" w:tblpX="1607" w:tblpY="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709"/>
        <w:gridCol w:w="1701"/>
        <w:gridCol w:w="709"/>
        <w:gridCol w:w="850"/>
        <w:gridCol w:w="884"/>
        <w:gridCol w:w="993"/>
      </w:tblGrid>
      <w:tr w:rsidR="00202622" w:rsidRPr="00202622" w:rsidTr="004E17FA">
        <w:tc>
          <w:tcPr>
            <w:tcW w:w="1384" w:type="dxa"/>
            <w:vMerge w:val="restart"/>
            <w:shd w:val="clear" w:color="auto" w:fill="FFFFFF"/>
          </w:tcPr>
          <w:p w:rsidR="00202622" w:rsidRPr="00202622" w:rsidRDefault="00202622" w:rsidP="004E17FA">
            <w:pPr>
              <w:spacing w:after="0"/>
              <w:jc w:val="center"/>
              <w:rPr>
                <w:rFonts w:ascii="Tahoma" w:hAnsi="Tahoma" w:cs="Tahoma"/>
                <w:sz w:val="20"/>
                <w:szCs w:val="20"/>
              </w:rPr>
            </w:pPr>
          </w:p>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RROs</w:t>
            </w:r>
          </w:p>
        </w:tc>
        <w:tc>
          <w:tcPr>
            <w:tcW w:w="1843" w:type="dxa"/>
            <w:gridSpan w:val="2"/>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Place of production at origin</w:t>
            </w:r>
          </w:p>
        </w:tc>
        <w:tc>
          <w:tcPr>
            <w:tcW w:w="1701" w:type="dxa"/>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Processing at origin</w:t>
            </w:r>
          </w:p>
        </w:tc>
        <w:tc>
          <w:tcPr>
            <w:tcW w:w="709" w:type="dxa"/>
            <w:vMerge w:val="restart"/>
            <w:shd w:val="clear" w:color="auto" w:fill="FFFFFF"/>
          </w:tcPr>
          <w:p w:rsidR="00202622" w:rsidRPr="00202622" w:rsidRDefault="00202622" w:rsidP="004E17FA">
            <w:pPr>
              <w:jc w:val="center"/>
              <w:rPr>
                <w:rFonts w:ascii="Tahoma" w:hAnsi="Tahoma" w:cs="Tahoma"/>
                <w:sz w:val="20"/>
                <w:szCs w:val="20"/>
              </w:rPr>
            </w:pPr>
          </w:p>
          <w:p w:rsidR="00202622" w:rsidRPr="00202622" w:rsidRDefault="00202622" w:rsidP="004E17FA">
            <w:pPr>
              <w:jc w:val="center"/>
              <w:rPr>
                <w:rFonts w:ascii="Tahoma" w:hAnsi="Tahoma" w:cs="Tahoma"/>
                <w:sz w:val="20"/>
                <w:szCs w:val="20"/>
              </w:rPr>
            </w:pPr>
            <w:r w:rsidRPr="00202622">
              <w:rPr>
                <w:rFonts w:ascii="Tahoma" w:hAnsi="Tahoma" w:cs="Tahoma"/>
                <w:sz w:val="20"/>
                <w:szCs w:val="20"/>
              </w:rPr>
              <w:t>Export</w:t>
            </w:r>
          </w:p>
        </w:tc>
        <w:tc>
          <w:tcPr>
            <w:tcW w:w="850" w:type="dxa"/>
            <w:vMerge w:val="restart"/>
            <w:shd w:val="clear" w:color="auto" w:fill="FFFFFF"/>
          </w:tcPr>
          <w:p w:rsidR="00202622" w:rsidRPr="00202622" w:rsidRDefault="00202622" w:rsidP="004E17FA">
            <w:pPr>
              <w:jc w:val="center"/>
              <w:rPr>
                <w:rFonts w:ascii="Tahoma" w:hAnsi="Tahoma" w:cs="Tahoma"/>
                <w:sz w:val="20"/>
                <w:szCs w:val="20"/>
              </w:rPr>
            </w:pPr>
          </w:p>
          <w:p w:rsidR="00202622" w:rsidRPr="00202622" w:rsidRDefault="00202622" w:rsidP="004E17FA">
            <w:pPr>
              <w:jc w:val="center"/>
              <w:rPr>
                <w:rFonts w:ascii="Tahoma" w:hAnsi="Tahoma" w:cs="Tahoma"/>
                <w:sz w:val="20"/>
                <w:szCs w:val="20"/>
              </w:rPr>
            </w:pPr>
            <w:r w:rsidRPr="00202622">
              <w:rPr>
                <w:rFonts w:ascii="Tahoma" w:hAnsi="Tahoma" w:cs="Tahoma"/>
                <w:sz w:val="20"/>
                <w:szCs w:val="20"/>
              </w:rPr>
              <w:t>Transport</w:t>
            </w:r>
          </w:p>
        </w:tc>
        <w:tc>
          <w:tcPr>
            <w:tcW w:w="884" w:type="dxa"/>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Entry point</w:t>
            </w:r>
          </w:p>
        </w:tc>
        <w:tc>
          <w:tcPr>
            <w:tcW w:w="993" w:type="dxa"/>
            <w:vMerge w:val="restart"/>
            <w:shd w:val="clear" w:color="auto" w:fill="FFFFFF"/>
          </w:tcPr>
          <w:p w:rsidR="00202622" w:rsidRPr="00202622" w:rsidRDefault="00202622" w:rsidP="004E17FA">
            <w:pPr>
              <w:jc w:val="center"/>
              <w:rPr>
                <w:rFonts w:ascii="Tahoma" w:hAnsi="Tahoma" w:cs="Tahoma"/>
                <w:sz w:val="20"/>
                <w:szCs w:val="20"/>
              </w:rPr>
            </w:pPr>
          </w:p>
          <w:p w:rsidR="00202622" w:rsidRPr="00202622" w:rsidRDefault="00202622" w:rsidP="004E17FA">
            <w:pPr>
              <w:jc w:val="center"/>
              <w:rPr>
                <w:rFonts w:ascii="Tahoma" w:hAnsi="Tahoma" w:cs="Tahoma"/>
                <w:sz w:val="20"/>
                <w:szCs w:val="20"/>
              </w:rPr>
            </w:pPr>
            <w:r w:rsidRPr="00202622">
              <w:rPr>
                <w:rFonts w:ascii="Tahoma" w:hAnsi="Tahoma" w:cs="Tahoma"/>
                <w:sz w:val="20"/>
                <w:szCs w:val="20"/>
              </w:rPr>
              <w:t>Destination</w:t>
            </w:r>
          </w:p>
        </w:tc>
      </w:tr>
      <w:tr w:rsidR="00202622" w:rsidRPr="00202622" w:rsidTr="004E17FA">
        <w:trPr>
          <w:trHeight w:val="246"/>
        </w:trPr>
        <w:tc>
          <w:tcPr>
            <w:tcW w:w="1384" w:type="dxa"/>
            <w:vMerge/>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p>
        </w:tc>
        <w:tc>
          <w:tcPr>
            <w:tcW w:w="1134" w:type="dxa"/>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Pre-harvest</w:t>
            </w:r>
          </w:p>
        </w:tc>
        <w:tc>
          <w:tcPr>
            <w:tcW w:w="709" w:type="dxa"/>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Harvest</w:t>
            </w:r>
          </w:p>
        </w:tc>
        <w:tc>
          <w:tcPr>
            <w:tcW w:w="1701" w:type="dxa"/>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Post-harvest</w:t>
            </w:r>
          </w:p>
        </w:tc>
        <w:tc>
          <w:tcPr>
            <w:tcW w:w="709" w:type="dxa"/>
            <w:vMerge/>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p>
        </w:tc>
        <w:tc>
          <w:tcPr>
            <w:tcW w:w="850" w:type="dxa"/>
            <w:vMerge/>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p>
        </w:tc>
        <w:tc>
          <w:tcPr>
            <w:tcW w:w="884" w:type="dxa"/>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Import</w:t>
            </w:r>
          </w:p>
        </w:tc>
        <w:tc>
          <w:tcPr>
            <w:tcW w:w="993" w:type="dxa"/>
            <w:vMerge/>
            <w:tcBorders>
              <w:bottom w:val="single" w:sz="4" w:space="0" w:color="auto"/>
            </w:tcBorders>
            <w:shd w:val="clear" w:color="auto" w:fill="FFFFFF"/>
          </w:tcPr>
          <w:p w:rsidR="00202622" w:rsidRPr="00202622" w:rsidRDefault="00202622" w:rsidP="004E17FA">
            <w:pPr>
              <w:spacing w:after="0"/>
              <w:jc w:val="center"/>
              <w:rPr>
                <w:rFonts w:ascii="Tahoma" w:hAnsi="Tahoma" w:cs="Tahoma"/>
                <w:sz w:val="20"/>
                <w:szCs w:val="20"/>
              </w:rPr>
            </w:pPr>
          </w:p>
        </w:tc>
      </w:tr>
      <w:tr w:rsidR="00202622" w:rsidRPr="00202622" w:rsidTr="004E17FA">
        <w:trPr>
          <w:trHeight w:val="153"/>
        </w:trPr>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Fumigation</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1701"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850" w:type="dxa"/>
            <w:shd w:val="clear" w:color="auto" w:fill="auto"/>
          </w:tcPr>
          <w:p w:rsidR="00202622" w:rsidRPr="00202622" w:rsidRDefault="00202622" w:rsidP="004E17FA">
            <w:pPr>
              <w:spacing w:after="0"/>
              <w:jc w:val="center"/>
              <w:rPr>
                <w:rFonts w:ascii="Tahoma" w:hAnsi="Tahoma" w:cs="Tahoma"/>
                <w:sz w:val="20"/>
                <w:szCs w:val="20"/>
              </w:rPr>
            </w:pPr>
          </w:p>
        </w:tc>
        <w:tc>
          <w:tcPr>
            <w:tcW w:w="88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993"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r>
      <w:tr w:rsidR="00202622" w:rsidRPr="00202622" w:rsidTr="004E17FA">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Heating</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1701"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850"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884"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993"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r>
      <w:tr w:rsidR="00202622" w:rsidRPr="00202622" w:rsidTr="004E17FA">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Solarisation</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1701"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709"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850"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884"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993" w:type="dxa"/>
            <w:shd w:val="clear" w:color="auto" w:fill="auto"/>
          </w:tcPr>
          <w:p w:rsidR="00202622" w:rsidRPr="00202622" w:rsidRDefault="00202622" w:rsidP="004E17FA">
            <w:pPr>
              <w:spacing w:after="0"/>
              <w:jc w:val="center"/>
              <w:rPr>
                <w:rFonts w:ascii="Tahoma" w:hAnsi="Tahoma" w:cs="Tahoma"/>
                <w:sz w:val="20"/>
                <w:szCs w:val="20"/>
              </w:rPr>
            </w:pPr>
          </w:p>
        </w:tc>
      </w:tr>
      <w:tr w:rsidR="00202622" w:rsidRPr="00202622" w:rsidTr="004E17FA">
        <w:trPr>
          <w:trHeight w:val="339"/>
        </w:trPr>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Flooding</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1701"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850" w:type="dxa"/>
            <w:shd w:val="clear" w:color="auto" w:fill="auto"/>
          </w:tcPr>
          <w:p w:rsidR="00202622" w:rsidRPr="00202622" w:rsidRDefault="00202622" w:rsidP="004E17FA">
            <w:pPr>
              <w:spacing w:after="0"/>
              <w:jc w:val="center"/>
              <w:rPr>
                <w:rFonts w:ascii="Tahoma" w:hAnsi="Tahoma" w:cs="Tahoma"/>
                <w:sz w:val="20"/>
                <w:szCs w:val="20"/>
              </w:rPr>
            </w:pPr>
          </w:p>
        </w:tc>
        <w:tc>
          <w:tcPr>
            <w:tcW w:w="88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993"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r>
      <w:tr w:rsidR="00202622" w:rsidRPr="00202622" w:rsidTr="004E17FA">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 suppression</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1701" w:type="dxa"/>
            <w:shd w:val="clear" w:color="auto" w:fill="auto"/>
          </w:tcPr>
          <w:p w:rsidR="00202622" w:rsidRPr="00202622" w:rsidRDefault="00202622" w:rsidP="004E17FA">
            <w:pPr>
              <w:spacing w:after="0"/>
              <w:jc w:val="center"/>
              <w:rPr>
                <w:rFonts w:ascii="Tahoma" w:hAnsi="Tahoma" w:cs="Tahoma"/>
                <w:sz w:val="20"/>
                <w:szCs w:val="20"/>
              </w:rPr>
            </w:pP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850" w:type="dxa"/>
            <w:shd w:val="clear" w:color="auto" w:fill="auto"/>
          </w:tcPr>
          <w:p w:rsidR="00202622" w:rsidRPr="00202622" w:rsidRDefault="00202622" w:rsidP="004E17FA">
            <w:pPr>
              <w:spacing w:after="0"/>
              <w:jc w:val="center"/>
              <w:rPr>
                <w:rFonts w:ascii="Tahoma" w:hAnsi="Tahoma" w:cs="Tahoma"/>
                <w:sz w:val="20"/>
                <w:szCs w:val="20"/>
              </w:rPr>
            </w:pPr>
          </w:p>
        </w:tc>
        <w:tc>
          <w:tcPr>
            <w:tcW w:w="884" w:type="dxa"/>
            <w:shd w:val="clear" w:color="auto" w:fill="auto"/>
          </w:tcPr>
          <w:p w:rsidR="00202622" w:rsidRPr="00202622" w:rsidRDefault="00202622" w:rsidP="004E17FA">
            <w:pPr>
              <w:spacing w:after="0"/>
              <w:jc w:val="center"/>
              <w:rPr>
                <w:rFonts w:ascii="Tahoma" w:hAnsi="Tahoma" w:cs="Tahoma"/>
                <w:sz w:val="20"/>
                <w:szCs w:val="20"/>
              </w:rPr>
            </w:pPr>
          </w:p>
        </w:tc>
        <w:tc>
          <w:tcPr>
            <w:tcW w:w="993" w:type="dxa"/>
            <w:shd w:val="clear" w:color="auto" w:fill="auto"/>
          </w:tcPr>
          <w:p w:rsidR="00202622" w:rsidRPr="00202622" w:rsidRDefault="00202622" w:rsidP="004E17FA">
            <w:pPr>
              <w:spacing w:after="0"/>
              <w:jc w:val="center"/>
              <w:rPr>
                <w:rFonts w:ascii="Tahoma" w:hAnsi="Tahoma" w:cs="Tahoma"/>
                <w:sz w:val="20"/>
                <w:szCs w:val="20"/>
              </w:rPr>
            </w:pPr>
          </w:p>
        </w:tc>
      </w:tr>
      <w:tr w:rsidR="00202622" w:rsidRPr="00202622" w:rsidTr="004E17FA">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Augmentative BC</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1701"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709"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850"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884"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c>
          <w:tcPr>
            <w:tcW w:w="993" w:type="dxa"/>
            <w:tcBorders>
              <w:bottom w:val="single" w:sz="4" w:space="0" w:color="auto"/>
            </w:tcBorders>
            <w:shd w:val="clear" w:color="auto" w:fill="auto"/>
          </w:tcPr>
          <w:p w:rsidR="00202622" w:rsidRPr="00202622" w:rsidRDefault="00202622" w:rsidP="004E17FA">
            <w:pPr>
              <w:spacing w:after="0"/>
              <w:jc w:val="center"/>
              <w:rPr>
                <w:rFonts w:ascii="Tahoma" w:hAnsi="Tahoma" w:cs="Tahoma"/>
                <w:sz w:val="20"/>
                <w:szCs w:val="20"/>
              </w:rPr>
            </w:pPr>
          </w:p>
        </w:tc>
      </w:tr>
      <w:tr w:rsidR="00202622" w:rsidRPr="00202622" w:rsidTr="004E17FA">
        <w:trPr>
          <w:trHeight w:val="244"/>
        </w:trPr>
        <w:tc>
          <w:tcPr>
            <w:tcW w:w="1384"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Biofumigation</w:t>
            </w:r>
          </w:p>
        </w:tc>
        <w:tc>
          <w:tcPr>
            <w:tcW w:w="113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1701"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709" w:type="dxa"/>
            <w:shd w:val="clear" w:color="auto" w:fill="auto"/>
          </w:tcPr>
          <w:p w:rsidR="00202622" w:rsidRPr="00202622" w:rsidRDefault="00202622" w:rsidP="004E17FA">
            <w:pPr>
              <w:spacing w:after="0"/>
              <w:jc w:val="center"/>
              <w:rPr>
                <w:rFonts w:ascii="Tahoma" w:hAnsi="Tahoma" w:cs="Tahoma"/>
                <w:sz w:val="20"/>
                <w:szCs w:val="20"/>
              </w:rPr>
            </w:pPr>
          </w:p>
        </w:tc>
        <w:tc>
          <w:tcPr>
            <w:tcW w:w="850" w:type="dxa"/>
            <w:shd w:val="clear" w:color="auto" w:fill="auto"/>
          </w:tcPr>
          <w:p w:rsidR="00202622" w:rsidRPr="00202622" w:rsidRDefault="00202622" w:rsidP="004E17FA">
            <w:pPr>
              <w:spacing w:after="0"/>
              <w:jc w:val="center"/>
              <w:rPr>
                <w:rFonts w:ascii="Tahoma" w:hAnsi="Tahoma" w:cs="Tahoma"/>
                <w:sz w:val="20"/>
                <w:szCs w:val="20"/>
              </w:rPr>
            </w:pPr>
          </w:p>
        </w:tc>
        <w:tc>
          <w:tcPr>
            <w:tcW w:w="884"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c>
          <w:tcPr>
            <w:tcW w:w="993" w:type="dxa"/>
            <w:shd w:val="clear" w:color="auto" w:fill="auto"/>
          </w:tcPr>
          <w:p w:rsidR="00202622" w:rsidRPr="00202622" w:rsidRDefault="00202622" w:rsidP="004E17FA">
            <w:pPr>
              <w:spacing w:after="0"/>
              <w:jc w:val="center"/>
              <w:rPr>
                <w:rFonts w:ascii="Tahoma" w:hAnsi="Tahoma" w:cs="Tahoma"/>
                <w:sz w:val="20"/>
                <w:szCs w:val="20"/>
              </w:rPr>
            </w:pPr>
            <w:r w:rsidRPr="00202622">
              <w:rPr>
                <w:rFonts w:ascii="Tahoma" w:hAnsi="Tahoma" w:cs="Tahoma"/>
                <w:sz w:val="20"/>
                <w:szCs w:val="20"/>
              </w:rPr>
              <w:t>x</w:t>
            </w:r>
          </w:p>
        </w:tc>
      </w:tr>
    </w:tbl>
    <w:p w:rsidR="00202622" w:rsidRPr="00202622" w:rsidRDefault="00202622" w:rsidP="00202622">
      <w:pPr>
        <w:spacing w:after="0"/>
        <w:rPr>
          <w:rFonts w:ascii="Tahoma" w:hAnsi="Tahoma" w:cs="Tahoma"/>
          <w:b/>
          <w:sz w:val="20"/>
          <w:szCs w:val="20"/>
        </w:rPr>
      </w:pPr>
    </w:p>
    <w:p w:rsidR="00202622" w:rsidRPr="00202622" w:rsidRDefault="00202622" w:rsidP="00202622">
      <w:pPr>
        <w:spacing w:after="0"/>
        <w:rPr>
          <w:rFonts w:ascii="Tahoma" w:hAnsi="Tahoma" w:cs="Tahoma"/>
          <w:b/>
          <w:sz w:val="20"/>
          <w:szCs w:val="20"/>
        </w:rPr>
      </w:pPr>
    </w:p>
    <w:p w:rsidR="00202622" w:rsidRPr="00202622" w:rsidRDefault="00202622" w:rsidP="00202622">
      <w:pPr>
        <w:spacing w:after="0"/>
        <w:rPr>
          <w:rFonts w:ascii="Tahoma" w:hAnsi="Tahoma" w:cs="Tahoma"/>
          <w:b/>
          <w:sz w:val="20"/>
          <w:szCs w:val="20"/>
        </w:rPr>
      </w:pPr>
    </w:p>
    <w:p w:rsidR="00202622" w:rsidRPr="00202622" w:rsidRDefault="00202622" w:rsidP="00202622">
      <w:pPr>
        <w:spacing w:after="0"/>
        <w:rPr>
          <w:rFonts w:ascii="Tahoma" w:hAnsi="Tahoma" w:cs="Tahoma"/>
          <w:sz w:val="20"/>
          <w:szCs w:val="20"/>
        </w:rPr>
      </w:pPr>
    </w:p>
    <w:p w:rsidR="00202622" w:rsidRPr="00202622" w:rsidRDefault="00202622" w:rsidP="00202622">
      <w:pPr>
        <w:spacing w:after="0"/>
        <w:rPr>
          <w:rFonts w:ascii="Tahoma" w:hAnsi="Tahoma" w:cs="Tahoma"/>
          <w:sz w:val="20"/>
          <w:szCs w:val="20"/>
        </w:rPr>
      </w:pPr>
    </w:p>
    <w:p w:rsidR="00202622" w:rsidRPr="00202622" w:rsidRDefault="00202622" w:rsidP="00202622">
      <w:pPr>
        <w:pStyle w:val="Heading1"/>
        <w:ind w:left="360"/>
        <w:rPr>
          <w:rFonts w:ascii="Tahoma" w:hAnsi="Tahoma" w:cs="Tahoma"/>
          <w:sz w:val="20"/>
          <w:szCs w:val="20"/>
        </w:rPr>
      </w:pPr>
    </w:p>
    <w:p w:rsidR="00202622" w:rsidRPr="00202622" w:rsidRDefault="00202622" w:rsidP="00202622">
      <w:pPr>
        <w:pStyle w:val="Heading1"/>
        <w:ind w:left="360"/>
        <w:rPr>
          <w:rFonts w:ascii="Tahoma" w:hAnsi="Tahoma" w:cs="Tahoma"/>
          <w:sz w:val="20"/>
          <w:szCs w:val="20"/>
        </w:rPr>
      </w:pPr>
    </w:p>
    <w:p w:rsidR="00202622" w:rsidRPr="00202622" w:rsidRDefault="00202622" w:rsidP="00202622">
      <w:pPr>
        <w:pStyle w:val="Heading1"/>
        <w:ind w:left="360"/>
        <w:rPr>
          <w:rFonts w:ascii="Tahoma" w:hAnsi="Tahoma" w:cs="Tahoma"/>
          <w:sz w:val="20"/>
          <w:szCs w:val="20"/>
        </w:rPr>
      </w:pPr>
    </w:p>
    <w:p w:rsidR="00202622" w:rsidRPr="00202622" w:rsidRDefault="00202622" w:rsidP="00202622">
      <w:pPr>
        <w:pStyle w:val="Heading1"/>
        <w:ind w:left="360"/>
        <w:rPr>
          <w:rFonts w:ascii="Tahoma" w:hAnsi="Tahoma" w:cs="Tahoma"/>
          <w:sz w:val="20"/>
          <w:szCs w:val="20"/>
        </w:rPr>
      </w:pPr>
    </w:p>
    <w:p w:rsidR="00202622" w:rsidRPr="00202622" w:rsidRDefault="00202622" w:rsidP="00202622">
      <w:pPr>
        <w:rPr>
          <w:rFonts w:ascii="Tahoma" w:hAnsi="Tahoma" w:cs="Tahoma"/>
          <w:sz w:val="20"/>
          <w:szCs w:val="20"/>
        </w:rPr>
      </w:pPr>
    </w:p>
    <w:p w:rsidR="00202622" w:rsidRPr="00202622" w:rsidRDefault="00202622" w:rsidP="00202622">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Parameters to consider regarding effectiveness of the RRO</w:t>
      </w:r>
    </w:p>
    <w:p w:rsidR="00202622" w:rsidRPr="00202622" w:rsidRDefault="00202622" w:rsidP="00202622">
      <w:pPr>
        <w:pStyle w:val="Heading1"/>
        <w:rPr>
          <w:rFonts w:ascii="Tahoma" w:hAnsi="Tahoma" w:cs="Tahoma"/>
          <w:b w:val="0"/>
          <w:color w:val="000000"/>
          <w:sz w:val="20"/>
          <w:szCs w:val="20"/>
        </w:rPr>
      </w:pPr>
    </w:p>
    <w:p w:rsidR="00202622" w:rsidRPr="00202622" w:rsidRDefault="00202622" w:rsidP="00202622">
      <w:pPr>
        <w:pStyle w:val="Heading1"/>
        <w:jc w:val="both"/>
        <w:rPr>
          <w:rFonts w:ascii="Tahoma" w:hAnsi="Tahoma" w:cs="Tahoma"/>
          <w:b w:val="0"/>
          <w:color w:val="000000"/>
          <w:sz w:val="20"/>
          <w:szCs w:val="20"/>
        </w:rPr>
      </w:pPr>
      <w:r w:rsidRPr="00202622">
        <w:rPr>
          <w:rFonts w:ascii="Tahoma" w:hAnsi="Tahoma" w:cs="Tahoma"/>
          <w:b w:val="0"/>
          <w:color w:val="000000"/>
          <w:sz w:val="20"/>
          <w:szCs w:val="20"/>
        </w:rPr>
        <w:t xml:space="preserve">EFSA PHL (2015) extensively reviewed the risks to plant health posed by EU import of soil or growing media. The Panel found that the ‘prohibition of import’ is the only phytosanitary measure with a very high effectiveness and a low uncertainty. The panel considered, though, that several measures included in this RRO could be highly effective (i.e., heating, fumigation). However, their effectiveness depends on several factors, especially on the characteristics of the growing medium, the type of harmful organisms and the procedure of application. Because of the variability in their effects, the effectiveness of these RROs to mitigate risks posed by the import of soil or growing media is highly uncertain. </w:t>
      </w:r>
    </w:p>
    <w:p w:rsidR="00202622" w:rsidRPr="00202622" w:rsidRDefault="00202622" w:rsidP="00202622">
      <w:pPr>
        <w:spacing w:after="0"/>
        <w:rPr>
          <w:rFonts w:ascii="Tahoma" w:hAnsi="Tahoma" w:cs="Tahoma"/>
          <w:color w:val="000000"/>
          <w:sz w:val="20"/>
          <w:szCs w:val="20"/>
        </w:rPr>
      </w:pPr>
    </w:p>
    <w:p w:rsidR="00202622" w:rsidRPr="00202622" w:rsidRDefault="00202622" w:rsidP="00202622">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 xml:space="preserve">Applicability / feasibility of the RRO </w:t>
      </w:r>
    </w:p>
    <w:p w:rsidR="00202622" w:rsidRPr="00202622" w:rsidRDefault="00202622" w:rsidP="00202622">
      <w:pPr>
        <w:spacing w:after="0"/>
        <w:ind w:left="720"/>
        <w:rPr>
          <w:rFonts w:ascii="Tahoma" w:hAnsi="Tahoma" w:cs="Tahoma"/>
          <w:b/>
          <w:sz w:val="20"/>
          <w:szCs w:val="20"/>
          <w:u w:val="single"/>
        </w:rPr>
      </w:pPr>
    </w:p>
    <w:p w:rsidR="00202622" w:rsidRPr="00202622" w:rsidRDefault="00202622" w:rsidP="00202622">
      <w:pPr>
        <w:spacing w:after="0"/>
        <w:jc w:val="both"/>
        <w:rPr>
          <w:rFonts w:ascii="Tahoma" w:hAnsi="Tahoma" w:cs="Tahoma"/>
          <w:color w:val="000000"/>
          <w:sz w:val="20"/>
          <w:szCs w:val="20"/>
        </w:rPr>
      </w:pPr>
      <w:r w:rsidRPr="00202622">
        <w:rPr>
          <w:rFonts w:ascii="Tahoma" w:hAnsi="Tahoma" w:cs="Tahoma"/>
          <w:color w:val="000000"/>
          <w:sz w:val="20"/>
          <w:szCs w:val="20"/>
        </w:rPr>
        <w:t>The main technical limitations for the implementation of these RROs are listed in the synoptic table at the end of this fiche. For instance, presently authorised fumigants (EC, 2016), the methyl isothiocyanate generators Metam sodium, Metam potassium and Dazomet are very effective against nematodes and are widely used. However, although these are broad spectrum biocides, their performance is inconsistent because of inadequate volatility, which results in poor soil distribution and a relatively poor capability to penetrate and kill old woody roots or tubers (Zasada et al., 2010).</w:t>
      </w:r>
    </w:p>
    <w:p w:rsidR="00202622" w:rsidRPr="00202622" w:rsidRDefault="00202622" w:rsidP="00202622">
      <w:pPr>
        <w:spacing w:after="0"/>
        <w:jc w:val="both"/>
        <w:rPr>
          <w:rFonts w:ascii="Tahoma" w:hAnsi="Tahoma" w:cs="Tahoma"/>
          <w:b/>
          <w:sz w:val="20"/>
          <w:szCs w:val="20"/>
          <w:u w:val="single"/>
        </w:rPr>
      </w:pPr>
    </w:p>
    <w:p w:rsidR="00202622" w:rsidRPr="00202622" w:rsidRDefault="00202622" w:rsidP="00202622">
      <w:pPr>
        <w:spacing w:after="240"/>
        <w:jc w:val="both"/>
        <w:rPr>
          <w:rFonts w:ascii="Tahoma" w:hAnsi="Tahoma" w:cs="Tahoma"/>
          <w:sz w:val="20"/>
          <w:szCs w:val="20"/>
        </w:rPr>
      </w:pPr>
      <w:r w:rsidRPr="00202622">
        <w:rPr>
          <w:rFonts w:ascii="Tahoma" w:hAnsi="Tahoma" w:cs="Tahoma"/>
          <w:sz w:val="20"/>
          <w:szCs w:val="20"/>
        </w:rPr>
        <w:t>Some relevant examples for this group of RROs include:</w:t>
      </w:r>
    </w:p>
    <w:p w:rsidR="00202622" w:rsidRPr="00202622" w:rsidRDefault="00202622" w:rsidP="00202622">
      <w:pPr>
        <w:numPr>
          <w:ilvl w:val="0"/>
          <w:numId w:val="40"/>
        </w:numPr>
        <w:spacing w:after="0"/>
        <w:jc w:val="both"/>
        <w:rPr>
          <w:rFonts w:ascii="Tahoma" w:hAnsi="Tahoma" w:cs="Tahoma"/>
          <w:sz w:val="20"/>
          <w:szCs w:val="20"/>
        </w:rPr>
      </w:pPr>
      <w:r w:rsidRPr="00202622">
        <w:rPr>
          <w:rFonts w:ascii="Tahoma" w:hAnsi="Tahoma" w:cs="Tahoma"/>
          <w:sz w:val="20"/>
          <w:szCs w:val="20"/>
          <w:u w:val="single"/>
        </w:rPr>
        <w:t xml:space="preserve">International Standards for Phytosanitary Measures. ISPM 36. </w:t>
      </w:r>
      <w:r w:rsidRPr="00202622">
        <w:rPr>
          <w:rFonts w:ascii="Tahoma" w:hAnsi="Tahoma" w:cs="Tahoma"/>
          <w:sz w:val="20"/>
          <w:szCs w:val="20"/>
        </w:rPr>
        <w:t>Integrated measures for plants for planting (FAO, 2016).</w:t>
      </w:r>
    </w:p>
    <w:p w:rsidR="00202622" w:rsidRPr="00202622" w:rsidRDefault="00202622" w:rsidP="00202622">
      <w:pPr>
        <w:spacing w:after="120"/>
        <w:ind w:left="720"/>
        <w:jc w:val="both"/>
        <w:rPr>
          <w:rFonts w:ascii="Tahoma" w:hAnsi="Tahoma" w:cs="Tahoma"/>
          <w:sz w:val="20"/>
          <w:szCs w:val="20"/>
        </w:rPr>
      </w:pPr>
      <w:r w:rsidRPr="00202622">
        <w:rPr>
          <w:rFonts w:ascii="Tahoma" w:hAnsi="Tahoma" w:cs="Tahoma"/>
          <w:sz w:val="20"/>
          <w:szCs w:val="20"/>
        </w:rPr>
        <w:t>Appendix 1: Examples of pest management measures to reduce the pest risk of plants for planting at a place of production.</w:t>
      </w:r>
    </w:p>
    <w:p w:rsidR="00202622" w:rsidRPr="00202622" w:rsidRDefault="00202622" w:rsidP="00202622">
      <w:pPr>
        <w:spacing w:after="0"/>
        <w:jc w:val="both"/>
        <w:rPr>
          <w:rFonts w:ascii="Tahoma" w:hAnsi="Tahoma" w:cs="Tahoma"/>
          <w:sz w:val="20"/>
          <w:szCs w:val="20"/>
        </w:rPr>
      </w:pPr>
      <w:r w:rsidRPr="00202622">
        <w:rPr>
          <w:rFonts w:ascii="Tahoma" w:hAnsi="Tahoma" w:cs="Tahoma"/>
          <w:sz w:val="20"/>
          <w:szCs w:val="20"/>
        </w:rPr>
        <w:t>Examples of measures that may be applied to reduce the pest risk of plants for planting at a place of production categorized by pest 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6693"/>
      </w:tblGrid>
      <w:tr w:rsidR="00202622" w:rsidRPr="00202622" w:rsidTr="004E17FA">
        <w:tc>
          <w:tcPr>
            <w:tcW w:w="2093" w:type="dxa"/>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Pest Group</w:t>
            </w:r>
          </w:p>
        </w:tc>
        <w:tc>
          <w:tcPr>
            <w:tcW w:w="6693" w:type="dxa"/>
            <w:shd w:val="clear" w:color="auto" w:fill="auto"/>
          </w:tcPr>
          <w:p w:rsidR="00202622" w:rsidRPr="00202622" w:rsidRDefault="00202622" w:rsidP="004E17FA">
            <w:pPr>
              <w:spacing w:after="0" w:line="240" w:lineRule="auto"/>
              <w:rPr>
                <w:rFonts w:ascii="Tahoma" w:hAnsi="Tahoma" w:cs="Tahoma"/>
                <w:sz w:val="20"/>
                <w:szCs w:val="20"/>
              </w:rPr>
            </w:pPr>
            <w:r w:rsidRPr="00202622">
              <w:rPr>
                <w:rFonts w:ascii="Tahoma" w:hAnsi="Tahoma" w:cs="Tahoma"/>
                <w:sz w:val="20"/>
                <w:szCs w:val="20"/>
              </w:rPr>
              <w:t>Available measures</w:t>
            </w:r>
          </w:p>
        </w:tc>
      </w:tr>
      <w:tr w:rsidR="00202622" w:rsidRPr="00202622" w:rsidTr="004E17FA">
        <w:trPr>
          <w:trHeight w:val="1891"/>
        </w:trPr>
        <w:tc>
          <w:tcPr>
            <w:tcW w:w="2093" w:type="dxa"/>
            <w:shd w:val="clear" w:color="auto" w:fill="auto"/>
            <w:vAlign w:val="center"/>
          </w:tcPr>
          <w:p w:rsidR="00202622" w:rsidRPr="00202622" w:rsidRDefault="00202622" w:rsidP="004E17FA">
            <w:pPr>
              <w:rPr>
                <w:rFonts w:ascii="Tahoma" w:hAnsi="Tahoma" w:cs="Tahoma"/>
                <w:b/>
                <w:sz w:val="20"/>
                <w:szCs w:val="20"/>
              </w:rPr>
            </w:pPr>
            <w:r w:rsidRPr="00202622">
              <w:rPr>
                <w:rFonts w:ascii="Tahoma" w:hAnsi="Tahoma" w:cs="Tahoma"/>
                <w:b/>
                <w:sz w:val="20"/>
                <w:szCs w:val="20"/>
              </w:rPr>
              <w:t>Soil-borne pests able to colonize the plant</w:t>
            </w:r>
          </w:p>
        </w:tc>
        <w:tc>
          <w:tcPr>
            <w:tcW w:w="6693" w:type="dxa"/>
            <w:shd w:val="clear" w:color="auto" w:fill="auto"/>
            <w:vAlign w:val="center"/>
          </w:tcPr>
          <w:p w:rsidR="00202622" w:rsidRPr="00202622" w:rsidRDefault="00202622" w:rsidP="00202622">
            <w:pPr>
              <w:numPr>
                <w:ilvl w:val="0"/>
                <w:numId w:val="41"/>
              </w:numPr>
              <w:tabs>
                <w:tab w:val="clear" w:pos="720"/>
              </w:tabs>
              <w:spacing w:after="0" w:line="240" w:lineRule="auto"/>
              <w:ind w:left="283" w:hanging="141"/>
              <w:rPr>
                <w:rFonts w:ascii="Tahoma" w:hAnsi="Tahoma" w:cs="Tahoma"/>
                <w:sz w:val="20"/>
                <w:szCs w:val="20"/>
              </w:rPr>
            </w:pPr>
            <w:r w:rsidRPr="00202622">
              <w:rPr>
                <w:rFonts w:ascii="Tahoma" w:hAnsi="Tahoma" w:cs="Tahoma"/>
                <w:sz w:val="20"/>
                <w:szCs w:val="20"/>
              </w:rPr>
              <w:t xml:space="preserve">Isolation from sources of infestation (e.g. buffer zone or geographical distance from other host plants, physical isolation using a glasshouse or polytunnel, growth of plants on raised benches, temporal isolation) </w:t>
            </w:r>
          </w:p>
          <w:p w:rsidR="00202622" w:rsidRPr="00202622" w:rsidRDefault="00202622" w:rsidP="00202622">
            <w:pPr>
              <w:numPr>
                <w:ilvl w:val="0"/>
                <w:numId w:val="41"/>
              </w:numPr>
              <w:tabs>
                <w:tab w:val="clear" w:pos="720"/>
              </w:tabs>
              <w:spacing w:after="0" w:line="240" w:lineRule="auto"/>
              <w:ind w:left="283" w:hanging="141"/>
              <w:rPr>
                <w:rFonts w:ascii="Tahoma" w:hAnsi="Tahoma" w:cs="Tahoma"/>
                <w:sz w:val="20"/>
                <w:szCs w:val="20"/>
              </w:rPr>
            </w:pPr>
            <w:r w:rsidRPr="00202622">
              <w:rPr>
                <w:rFonts w:ascii="Tahoma" w:hAnsi="Tahoma" w:cs="Tahoma"/>
                <w:sz w:val="20"/>
                <w:szCs w:val="20"/>
              </w:rPr>
              <w:t xml:space="preserve">Derivation from mother plants that have been tested and found free from the relevant pest </w:t>
            </w:r>
          </w:p>
          <w:p w:rsidR="00202622" w:rsidRPr="00202622" w:rsidRDefault="00202622" w:rsidP="00202622">
            <w:pPr>
              <w:numPr>
                <w:ilvl w:val="0"/>
                <w:numId w:val="41"/>
              </w:numPr>
              <w:spacing w:after="0" w:line="240" w:lineRule="auto"/>
              <w:ind w:left="283" w:hanging="141"/>
              <w:rPr>
                <w:rFonts w:ascii="Tahoma" w:hAnsi="Tahoma" w:cs="Tahoma"/>
                <w:sz w:val="20"/>
                <w:szCs w:val="20"/>
              </w:rPr>
            </w:pPr>
            <w:r w:rsidRPr="00202622">
              <w:rPr>
                <w:rFonts w:ascii="Tahoma" w:hAnsi="Tahoma" w:cs="Tahoma"/>
                <w:sz w:val="20"/>
                <w:szCs w:val="20"/>
              </w:rPr>
              <w:t xml:space="preserve">Production within a specified certification scheme or clean stock programme </w:t>
            </w:r>
          </w:p>
          <w:p w:rsidR="00202622" w:rsidRPr="00202622" w:rsidRDefault="00202622" w:rsidP="00202622">
            <w:pPr>
              <w:numPr>
                <w:ilvl w:val="0"/>
                <w:numId w:val="41"/>
              </w:numPr>
              <w:spacing w:after="0" w:line="240" w:lineRule="auto"/>
              <w:ind w:left="283" w:hanging="141"/>
              <w:rPr>
                <w:rFonts w:ascii="Tahoma" w:hAnsi="Tahoma" w:cs="Tahoma"/>
                <w:sz w:val="20"/>
                <w:szCs w:val="20"/>
              </w:rPr>
            </w:pPr>
            <w:r w:rsidRPr="00202622">
              <w:rPr>
                <w:rFonts w:ascii="Tahoma" w:hAnsi="Tahoma" w:cs="Tahoma"/>
                <w:sz w:val="20"/>
                <w:szCs w:val="20"/>
              </w:rPr>
              <w:t xml:space="preserve">Testing of samples of the plants for freedom from pests </w:t>
            </w:r>
          </w:p>
          <w:p w:rsidR="00202622" w:rsidRPr="00202622" w:rsidRDefault="00202622" w:rsidP="00202622">
            <w:pPr>
              <w:numPr>
                <w:ilvl w:val="0"/>
                <w:numId w:val="41"/>
              </w:numPr>
              <w:spacing w:after="0" w:line="240" w:lineRule="auto"/>
              <w:ind w:left="283" w:hanging="141"/>
              <w:rPr>
                <w:rFonts w:ascii="Tahoma" w:hAnsi="Tahoma" w:cs="Tahoma"/>
                <w:sz w:val="20"/>
                <w:szCs w:val="20"/>
              </w:rPr>
            </w:pPr>
            <w:r w:rsidRPr="00202622">
              <w:rPr>
                <w:rFonts w:ascii="Tahoma" w:hAnsi="Tahoma" w:cs="Tahoma"/>
                <w:b/>
                <w:sz w:val="20"/>
                <w:szCs w:val="20"/>
              </w:rPr>
              <w:t>Pre-planting soil treatment</w:t>
            </w:r>
            <w:r w:rsidRPr="00202622">
              <w:rPr>
                <w:rFonts w:ascii="Tahoma" w:hAnsi="Tahoma" w:cs="Tahoma"/>
                <w:sz w:val="20"/>
                <w:szCs w:val="20"/>
              </w:rPr>
              <w:t xml:space="preserve"> or testing for freedom from pests such as fungi, nematodes, viruses transmissible by nematodes </w:t>
            </w:r>
          </w:p>
          <w:p w:rsidR="00202622" w:rsidRPr="00202622" w:rsidRDefault="00202622" w:rsidP="00202622">
            <w:pPr>
              <w:numPr>
                <w:ilvl w:val="0"/>
                <w:numId w:val="41"/>
              </w:numPr>
              <w:spacing w:after="0" w:line="240" w:lineRule="auto"/>
              <w:ind w:left="283" w:hanging="141"/>
              <w:rPr>
                <w:rFonts w:ascii="Tahoma" w:hAnsi="Tahoma" w:cs="Tahoma"/>
                <w:sz w:val="20"/>
                <w:szCs w:val="20"/>
              </w:rPr>
            </w:pPr>
            <w:r w:rsidRPr="00202622">
              <w:rPr>
                <w:rFonts w:ascii="Tahoma" w:hAnsi="Tahoma" w:cs="Tahoma"/>
                <w:sz w:val="20"/>
                <w:szCs w:val="20"/>
              </w:rPr>
              <w:t xml:space="preserve">Use of soil-less growing media. </w:t>
            </w:r>
          </w:p>
        </w:tc>
      </w:tr>
      <w:tr w:rsidR="00202622" w:rsidRPr="00202622" w:rsidTr="004E17FA">
        <w:tc>
          <w:tcPr>
            <w:tcW w:w="2093" w:type="dxa"/>
            <w:shd w:val="clear" w:color="auto" w:fill="auto"/>
            <w:vAlign w:val="center"/>
          </w:tcPr>
          <w:p w:rsidR="00202622" w:rsidRPr="00202622" w:rsidRDefault="00202622" w:rsidP="004E17FA">
            <w:pPr>
              <w:rPr>
                <w:rFonts w:ascii="Tahoma" w:hAnsi="Tahoma" w:cs="Tahoma"/>
                <w:b/>
                <w:sz w:val="20"/>
                <w:szCs w:val="20"/>
              </w:rPr>
            </w:pPr>
            <w:r w:rsidRPr="00202622">
              <w:rPr>
                <w:rFonts w:ascii="Tahoma" w:hAnsi="Tahoma" w:cs="Tahoma"/>
                <w:b/>
                <w:sz w:val="20"/>
                <w:szCs w:val="20"/>
              </w:rPr>
              <w:t xml:space="preserve">Soil-borne pests in soil attached to plants </w:t>
            </w:r>
          </w:p>
        </w:tc>
        <w:tc>
          <w:tcPr>
            <w:tcW w:w="6693" w:type="dxa"/>
            <w:shd w:val="clear" w:color="auto" w:fill="auto"/>
            <w:vAlign w:val="center"/>
          </w:tcPr>
          <w:p w:rsidR="00202622" w:rsidRPr="00202622" w:rsidRDefault="00202622" w:rsidP="00202622">
            <w:pPr>
              <w:numPr>
                <w:ilvl w:val="0"/>
                <w:numId w:val="41"/>
              </w:numPr>
              <w:tabs>
                <w:tab w:val="clear" w:pos="720"/>
              </w:tabs>
              <w:spacing w:after="0" w:line="240" w:lineRule="auto"/>
              <w:ind w:left="283" w:hanging="141"/>
              <w:rPr>
                <w:rFonts w:ascii="Tahoma" w:hAnsi="Tahoma" w:cs="Tahoma"/>
                <w:sz w:val="20"/>
                <w:szCs w:val="20"/>
              </w:rPr>
            </w:pPr>
            <w:r w:rsidRPr="00202622">
              <w:rPr>
                <w:rFonts w:ascii="Tahoma" w:hAnsi="Tahoma" w:cs="Tahoma"/>
                <w:sz w:val="20"/>
                <w:szCs w:val="20"/>
              </w:rPr>
              <w:t xml:space="preserve">Isolation from sources of infestation (e.g. buffer zone or geographical distance from other host plants, temporal isolation) </w:t>
            </w:r>
          </w:p>
          <w:p w:rsidR="00202622" w:rsidRPr="00202622" w:rsidRDefault="00202622" w:rsidP="00202622">
            <w:pPr>
              <w:numPr>
                <w:ilvl w:val="0"/>
                <w:numId w:val="41"/>
              </w:numPr>
              <w:tabs>
                <w:tab w:val="clear" w:pos="720"/>
              </w:tabs>
              <w:spacing w:after="0" w:line="240" w:lineRule="auto"/>
              <w:ind w:left="283" w:hanging="141"/>
              <w:rPr>
                <w:rFonts w:ascii="Tahoma" w:hAnsi="Tahoma" w:cs="Tahoma"/>
                <w:sz w:val="20"/>
                <w:szCs w:val="20"/>
              </w:rPr>
            </w:pPr>
            <w:r w:rsidRPr="00202622">
              <w:rPr>
                <w:rFonts w:ascii="Tahoma" w:hAnsi="Tahoma" w:cs="Tahoma"/>
                <w:b/>
                <w:sz w:val="20"/>
                <w:szCs w:val="20"/>
              </w:rPr>
              <w:t>Pre-planting soil treatment</w:t>
            </w:r>
            <w:r w:rsidRPr="00202622">
              <w:rPr>
                <w:rFonts w:ascii="Tahoma" w:hAnsi="Tahoma" w:cs="Tahoma"/>
                <w:sz w:val="20"/>
                <w:szCs w:val="20"/>
              </w:rPr>
              <w:t xml:space="preserve"> or testing for freedom from pests (especially nematodes, fungi) </w:t>
            </w:r>
          </w:p>
          <w:p w:rsidR="00202622" w:rsidRPr="00202622" w:rsidRDefault="00202622" w:rsidP="00202622">
            <w:pPr>
              <w:numPr>
                <w:ilvl w:val="0"/>
                <w:numId w:val="41"/>
              </w:numPr>
              <w:tabs>
                <w:tab w:val="clear" w:pos="720"/>
              </w:tabs>
              <w:spacing w:after="0" w:line="240" w:lineRule="auto"/>
              <w:ind w:left="283" w:hanging="141"/>
              <w:rPr>
                <w:rFonts w:ascii="Tahoma" w:hAnsi="Tahoma" w:cs="Tahoma"/>
                <w:sz w:val="20"/>
                <w:szCs w:val="20"/>
              </w:rPr>
            </w:pPr>
            <w:r w:rsidRPr="00202622">
              <w:rPr>
                <w:rFonts w:ascii="Tahoma" w:hAnsi="Tahoma" w:cs="Tahoma"/>
                <w:sz w:val="20"/>
                <w:szCs w:val="20"/>
              </w:rPr>
              <w:t xml:space="preserve">Pesticide treatment (e.g. drench or fumigation) prior to export </w:t>
            </w:r>
          </w:p>
          <w:p w:rsidR="00202622" w:rsidRPr="00202622" w:rsidRDefault="00202622" w:rsidP="00202622">
            <w:pPr>
              <w:numPr>
                <w:ilvl w:val="0"/>
                <w:numId w:val="41"/>
              </w:numPr>
              <w:tabs>
                <w:tab w:val="clear" w:pos="720"/>
              </w:tabs>
              <w:spacing w:after="0" w:line="240" w:lineRule="auto"/>
              <w:ind w:left="283" w:hanging="141"/>
              <w:rPr>
                <w:rFonts w:ascii="Tahoma" w:hAnsi="Tahoma" w:cs="Tahoma"/>
                <w:sz w:val="20"/>
                <w:szCs w:val="20"/>
              </w:rPr>
            </w:pPr>
            <w:r w:rsidRPr="00202622">
              <w:rPr>
                <w:rFonts w:ascii="Tahoma" w:hAnsi="Tahoma" w:cs="Tahoma"/>
                <w:sz w:val="20"/>
                <w:szCs w:val="20"/>
              </w:rPr>
              <w:t xml:space="preserve">Roots washed free from soil (and repotted in </w:t>
            </w:r>
            <w:r w:rsidRPr="00202622">
              <w:rPr>
                <w:rFonts w:ascii="Tahoma" w:hAnsi="Tahoma" w:cs="Tahoma"/>
                <w:b/>
                <w:sz w:val="20"/>
                <w:szCs w:val="20"/>
              </w:rPr>
              <w:t>sterile growing medium</w:t>
            </w:r>
            <w:r w:rsidRPr="00202622">
              <w:rPr>
                <w:rFonts w:ascii="Tahoma" w:hAnsi="Tahoma" w:cs="Tahoma"/>
                <w:sz w:val="20"/>
                <w:szCs w:val="20"/>
              </w:rPr>
              <w:t xml:space="preserve"> in a sterile container). </w:t>
            </w:r>
          </w:p>
        </w:tc>
      </w:tr>
    </w:tbl>
    <w:p w:rsidR="00202622" w:rsidRPr="00202622" w:rsidRDefault="00202622" w:rsidP="00202622">
      <w:pPr>
        <w:spacing w:after="0"/>
        <w:rPr>
          <w:rFonts w:ascii="Tahoma" w:hAnsi="Tahoma" w:cs="Tahoma"/>
          <w:sz w:val="20"/>
          <w:szCs w:val="20"/>
        </w:rPr>
      </w:pPr>
    </w:p>
    <w:p w:rsidR="00202622" w:rsidRPr="00202622" w:rsidRDefault="00202622" w:rsidP="00202622">
      <w:pPr>
        <w:pStyle w:val="ListParagraph"/>
        <w:numPr>
          <w:ilvl w:val="0"/>
          <w:numId w:val="40"/>
        </w:numPr>
        <w:spacing w:after="120"/>
        <w:ind w:left="714" w:hanging="357"/>
        <w:jc w:val="both"/>
        <w:rPr>
          <w:rFonts w:ascii="Tahoma" w:hAnsi="Tahoma" w:cs="Tahoma"/>
          <w:sz w:val="20"/>
          <w:szCs w:val="20"/>
        </w:rPr>
      </w:pPr>
      <w:r w:rsidRPr="00202622">
        <w:rPr>
          <w:rFonts w:ascii="Tahoma" w:hAnsi="Tahoma" w:cs="Tahoma"/>
          <w:sz w:val="20"/>
          <w:szCs w:val="20"/>
          <w:u w:val="single"/>
        </w:rPr>
        <w:lastRenderedPageBreak/>
        <w:t>Council Directive 2000/29/EC</w:t>
      </w:r>
      <w:r w:rsidRPr="00202622">
        <w:rPr>
          <w:rStyle w:val="FootnoteReference"/>
          <w:rFonts w:ascii="Tahoma" w:hAnsi="Tahoma" w:cs="Tahoma"/>
          <w:sz w:val="20"/>
          <w:szCs w:val="20"/>
          <w:u w:val="single"/>
        </w:rPr>
        <w:footnoteReference w:id="1"/>
      </w:r>
      <w:r w:rsidRPr="00202622">
        <w:rPr>
          <w:rFonts w:ascii="Tahoma" w:hAnsi="Tahoma" w:cs="Tahoma"/>
          <w:sz w:val="20"/>
          <w:szCs w:val="20"/>
        </w:rPr>
        <w:t xml:space="preserve"> on protective measures against the introduction and spread into the European Union territory of organisms harmful to plants or plant products.</w:t>
      </w:r>
    </w:p>
    <w:p w:rsidR="00202622" w:rsidRPr="00202622" w:rsidRDefault="00202622" w:rsidP="00202622">
      <w:pPr>
        <w:spacing w:after="120"/>
        <w:ind w:left="357"/>
        <w:jc w:val="both"/>
        <w:rPr>
          <w:rFonts w:ascii="Tahoma" w:hAnsi="Tahoma" w:cs="Tahoma"/>
          <w:sz w:val="20"/>
          <w:szCs w:val="20"/>
        </w:rPr>
      </w:pPr>
      <w:r w:rsidRPr="00202622">
        <w:rPr>
          <w:rFonts w:ascii="Tahoma" w:hAnsi="Tahoma" w:cs="Tahoma"/>
          <w:sz w:val="20"/>
          <w:szCs w:val="20"/>
        </w:rPr>
        <w:t>Annex IV. Part a. Special requirements which must be laid down by all Member States for the introduction and movement of plants, plant products and other objects into and within all member states. Section I. Plants, plant products and other objects originating outside the Community.</w:t>
      </w:r>
    </w:p>
    <w:p w:rsidR="00202622" w:rsidRPr="00202622" w:rsidRDefault="00202622" w:rsidP="00202622">
      <w:pPr>
        <w:spacing w:after="0"/>
        <w:jc w:val="center"/>
        <w:rPr>
          <w:rFonts w:ascii="Tahoma" w:hAnsi="Tahoma" w:cs="Tahoma"/>
          <w:sz w:val="20"/>
          <w:szCs w:val="20"/>
        </w:rPr>
      </w:pPr>
      <w:r w:rsidRPr="00202622">
        <w:rPr>
          <w:rFonts w:ascii="Tahoma" w:hAnsi="Tahoma" w:cs="Tahoma"/>
          <w:noProof/>
          <w:sz w:val="20"/>
          <w:szCs w:val="20"/>
          <w:lang w:eastAsia="en-GB"/>
        </w:rPr>
        <w:drawing>
          <wp:inline distT="0" distB="0" distL="0" distR="0" wp14:anchorId="4B07F3CE" wp14:editId="0B210F7D">
            <wp:extent cx="5552686" cy="3255770"/>
            <wp:effectExtent l="0" t="0" r="10160" b="0"/>
            <wp:docPr id="2" name="Imagen 1"/>
            <wp:cNvGraphicFramePr/>
            <a:graphic xmlns:a="http://schemas.openxmlformats.org/drawingml/2006/main">
              <a:graphicData uri="http://schemas.openxmlformats.org/drawingml/2006/picture">
                <pic:pic xmlns:pic="http://schemas.openxmlformats.org/drawingml/2006/picture">
                  <pic:nvPicPr>
                    <pic:cNvPr id="2" name="Imagen 1"/>
                    <pic:cNvPicPr/>
                  </pic:nvPicPr>
                  <pic:blipFill rotWithShape="1">
                    <a:blip r:embed="rId8"/>
                    <a:srcRect l="3868" t="8355" r="5929" b="3781"/>
                    <a:stretch/>
                  </pic:blipFill>
                  <pic:spPr bwMode="auto">
                    <a:xfrm>
                      <a:off x="0" y="0"/>
                      <a:ext cx="5563739" cy="3262251"/>
                    </a:xfrm>
                    <a:prstGeom prst="rect">
                      <a:avLst/>
                    </a:prstGeom>
                    <a:ln>
                      <a:noFill/>
                    </a:ln>
                    <a:extLst>
                      <a:ext uri="{53640926-AAD7-44D8-BBD7-CCE9431645EC}">
                        <a14:shadowObscured xmlns:a14="http://schemas.microsoft.com/office/drawing/2010/main"/>
                      </a:ext>
                    </a:extLst>
                  </pic:spPr>
                </pic:pic>
              </a:graphicData>
            </a:graphic>
          </wp:inline>
        </w:drawing>
      </w:r>
    </w:p>
    <w:p w:rsidR="00202622" w:rsidRPr="00202622" w:rsidRDefault="00202622" w:rsidP="00202622">
      <w:pPr>
        <w:spacing w:after="0"/>
        <w:ind w:left="1418"/>
        <w:rPr>
          <w:rFonts w:ascii="Tahoma" w:hAnsi="Tahoma" w:cs="Tahoma"/>
          <w:sz w:val="20"/>
          <w:szCs w:val="20"/>
        </w:rPr>
      </w:pPr>
    </w:p>
    <w:p w:rsidR="00202622" w:rsidRPr="00202622" w:rsidRDefault="00202622" w:rsidP="00202622">
      <w:pPr>
        <w:spacing w:after="0"/>
        <w:rPr>
          <w:rFonts w:ascii="Tahoma" w:hAnsi="Tahoma" w:cs="Tahoma"/>
          <w:sz w:val="20"/>
          <w:szCs w:val="20"/>
        </w:rPr>
      </w:pPr>
    </w:p>
    <w:p w:rsidR="00202622" w:rsidRPr="00202622" w:rsidRDefault="00202622" w:rsidP="00202622">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 xml:space="preserve">Other RROs that may lead to similar effects </w:t>
      </w:r>
    </w:p>
    <w:p w:rsidR="00202622" w:rsidRPr="00202622" w:rsidRDefault="00202622" w:rsidP="00202622">
      <w:pPr>
        <w:spacing w:after="0"/>
        <w:ind w:left="720"/>
        <w:rPr>
          <w:rFonts w:ascii="Tahoma" w:hAnsi="Tahoma" w:cs="Tahoma"/>
          <w:b/>
          <w:sz w:val="20"/>
          <w:szCs w:val="20"/>
          <w:u w:val="single"/>
        </w:rPr>
      </w:pPr>
    </w:p>
    <w:p w:rsidR="00202622" w:rsidRPr="00202622" w:rsidRDefault="00202622" w:rsidP="00202622">
      <w:pPr>
        <w:spacing w:after="0"/>
        <w:rPr>
          <w:rFonts w:ascii="Tahoma" w:hAnsi="Tahoma" w:cs="Tahoma"/>
          <w:b/>
          <w:color w:val="000000"/>
          <w:sz w:val="20"/>
          <w:szCs w:val="20"/>
          <w:u w:val="single"/>
        </w:rPr>
      </w:pPr>
      <w:r w:rsidRPr="00202622">
        <w:rPr>
          <w:rFonts w:ascii="Tahoma" w:hAnsi="Tahoma" w:cs="Tahoma"/>
          <w:color w:val="000000"/>
          <w:sz w:val="20"/>
          <w:szCs w:val="20"/>
        </w:rPr>
        <w:t>Any RRO aimed at reducing the pest prevalence at origin (field treatments, e.g., use of resistant cultivars) or in the consignment (post-harvest, e.g., irradiation) may lead to similar results.</w:t>
      </w:r>
    </w:p>
    <w:p w:rsidR="00202622" w:rsidRPr="00202622" w:rsidRDefault="00202622" w:rsidP="00202622">
      <w:pPr>
        <w:pStyle w:val="ListParagraph1"/>
        <w:spacing w:after="0"/>
        <w:jc w:val="both"/>
        <w:rPr>
          <w:rFonts w:ascii="Tahoma" w:hAnsi="Tahoma" w:cs="Tahoma"/>
          <w:b/>
          <w:sz w:val="20"/>
          <w:szCs w:val="20"/>
          <w:lang w:val="en-GB"/>
        </w:rPr>
      </w:pPr>
    </w:p>
    <w:p w:rsidR="00202622" w:rsidRPr="00202622" w:rsidRDefault="00202622" w:rsidP="00202622">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Combinations of RROs that include this RRO</w:t>
      </w:r>
    </w:p>
    <w:p w:rsidR="00202622" w:rsidRPr="00202622" w:rsidRDefault="00202622" w:rsidP="00202622">
      <w:pPr>
        <w:pStyle w:val="ListParagraph1"/>
        <w:spacing w:after="0"/>
        <w:ind w:left="0"/>
        <w:rPr>
          <w:rFonts w:ascii="Tahoma" w:hAnsi="Tahoma" w:cs="Tahoma"/>
          <w:i/>
          <w:strike/>
          <w:color w:val="00B0F0"/>
          <w:sz w:val="20"/>
          <w:szCs w:val="20"/>
          <w:lang w:val="en-GB"/>
        </w:rPr>
      </w:pPr>
      <w:r w:rsidRPr="00202622">
        <w:rPr>
          <w:rFonts w:ascii="Tahoma" w:hAnsi="Tahoma" w:cs="Tahoma"/>
          <w:i/>
          <w:strike/>
          <w:color w:val="00B0F0"/>
          <w:sz w:val="20"/>
          <w:szCs w:val="20"/>
          <w:lang w:val="en-GB"/>
        </w:rPr>
        <w:t xml:space="preserve"> </w:t>
      </w:r>
    </w:p>
    <w:p w:rsidR="00202622" w:rsidRPr="00202622" w:rsidRDefault="00202622" w:rsidP="00202622">
      <w:pPr>
        <w:pStyle w:val="ListParagraph1"/>
        <w:spacing w:after="0"/>
        <w:ind w:left="0"/>
        <w:rPr>
          <w:rFonts w:ascii="Tahoma" w:hAnsi="Tahoma" w:cs="Tahoma"/>
          <w:color w:val="000000"/>
          <w:sz w:val="20"/>
          <w:szCs w:val="20"/>
          <w:lang w:val="en-GB"/>
        </w:rPr>
      </w:pPr>
      <w:r w:rsidRPr="00202622">
        <w:rPr>
          <w:rFonts w:ascii="Tahoma" w:hAnsi="Tahoma" w:cs="Tahoma"/>
          <w:color w:val="000000"/>
          <w:sz w:val="20"/>
          <w:szCs w:val="20"/>
          <w:lang w:val="en-GB"/>
        </w:rPr>
        <w:t>Depending on the type of pest and commodity under scrutiny, a soil treatment can be a “stand-alone” measure. However, it may be combined with many other RROs, and should be combined with supporting measures such as visual inspection and/or laboratory testing.</w:t>
      </w:r>
    </w:p>
    <w:p w:rsidR="00202622" w:rsidRPr="00202622" w:rsidRDefault="00202622" w:rsidP="00202622">
      <w:pPr>
        <w:pStyle w:val="ListParagraph1"/>
        <w:spacing w:after="0"/>
        <w:ind w:left="0"/>
        <w:rPr>
          <w:rFonts w:ascii="Tahoma" w:hAnsi="Tahoma" w:cs="Tahoma"/>
          <w:sz w:val="20"/>
          <w:szCs w:val="20"/>
          <w:lang w:val="en-GB"/>
        </w:rPr>
      </w:pPr>
    </w:p>
    <w:p w:rsidR="00202622" w:rsidRPr="00202622" w:rsidRDefault="00202622" w:rsidP="00202622">
      <w:pPr>
        <w:pStyle w:val="ListParagraph1"/>
        <w:spacing w:after="0"/>
        <w:ind w:left="0"/>
        <w:rPr>
          <w:rFonts w:ascii="Tahoma" w:hAnsi="Tahoma" w:cs="Tahoma"/>
          <w:sz w:val="20"/>
          <w:szCs w:val="20"/>
          <w:lang w:val="en-GB"/>
        </w:rPr>
      </w:pPr>
    </w:p>
    <w:p w:rsidR="00202622" w:rsidRPr="00202622" w:rsidRDefault="00202622" w:rsidP="00202622">
      <w:pPr>
        <w:pStyle w:val="ListParagraph1"/>
        <w:spacing w:after="0"/>
        <w:ind w:left="0"/>
        <w:rPr>
          <w:rFonts w:ascii="Tahoma" w:hAnsi="Tahoma" w:cs="Tahoma"/>
          <w:sz w:val="20"/>
          <w:szCs w:val="20"/>
          <w:lang w:val="en-GB"/>
        </w:rPr>
      </w:pPr>
    </w:p>
    <w:p w:rsidR="00202622" w:rsidRPr="00202622" w:rsidRDefault="00202622" w:rsidP="00202622">
      <w:pPr>
        <w:pStyle w:val="ListParagraph1"/>
        <w:numPr>
          <w:ilvl w:val="0"/>
          <w:numId w:val="35"/>
        </w:numPr>
        <w:spacing w:after="0" w:line="276" w:lineRule="auto"/>
        <w:ind w:left="360"/>
        <w:jc w:val="both"/>
        <w:rPr>
          <w:rFonts w:ascii="Tahoma" w:hAnsi="Tahoma" w:cs="Tahoma"/>
          <w:b/>
          <w:sz w:val="20"/>
          <w:szCs w:val="20"/>
          <w:lang w:val="en-GB"/>
        </w:rPr>
      </w:pPr>
      <w:r w:rsidRPr="00202622">
        <w:rPr>
          <w:rFonts w:ascii="Tahoma" w:hAnsi="Tahoma" w:cs="Tahoma"/>
          <w:b/>
          <w:sz w:val="20"/>
          <w:szCs w:val="20"/>
          <w:lang w:val="en-GB"/>
        </w:rPr>
        <w:t xml:space="preserve">Conclusion </w:t>
      </w:r>
    </w:p>
    <w:p w:rsidR="00202622" w:rsidRPr="00202622" w:rsidRDefault="00202622" w:rsidP="00202622">
      <w:pPr>
        <w:pStyle w:val="ListParagraph1"/>
        <w:spacing w:after="0"/>
        <w:ind w:left="0"/>
        <w:rPr>
          <w:rFonts w:ascii="Tahoma" w:hAnsi="Tahoma" w:cs="Tahoma"/>
          <w:sz w:val="20"/>
          <w:szCs w:val="20"/>
          <w:lang w:val="en-GB"/>
        </w:rPr>
      </w:pPr>
    </w:p>
    <w:p w:rsidR="00202622" w:rsidRPr="00202622" w:rsidRDefault="00202622" w:rsidP="00202622">
      <w:pPr>
        <w:spacing w:after="0"/>
        <w:jc w:val="both"/>
        <w:rPr>
          <w:rFonts w:ascii="Tahoma" w:hAnsi="Tahoma" w:cs="Tahoma"/>
          <w:color w:val="000000"/>
          <w:sz w:val="20"/>
          <w:szCs w:val="20"/>
        </w:rPr>
      </w:pPr>
      <w:r w:rsidRPr="00202622">
        <w:rPr>
          <w:rFonts w:ascii="Tahoma" w:hAnsi="Tahoma" w:cs="Tahoma"/>
          <w:color w:val="000000"/>
          <w:sz w:val="20"/>
          <w:szCs w:val="20"/>
        </w:rPr>
        <w:t xml:space="preserve">This family of RROs may have a direct effect at origin on the prevalence of the pest in the crop (in field treatments) but also in tare-soil (post-harvest treatments). The main technical limitations for the measures included in this RRO may be related to the availability of authorised products (fumigants, suppressive soil, biological control agents), inadequate volatility (fumigants), soil accessibility, temperature and moisture (fumigants, heating), compatible weather conditions (solarisation), and water </w:t>
      </w:r>
      <w:r w:rsidRPr="00202622">
        <w:rPr>
          <w:rFonts w:ascii="Tahoma" w:hAnsi="Tahoma" w:cs="Tahoma"/>
          <w:color w:val="000000"/>
          <w:sz w:val="20"/>
          <w:szCs w:val="20"/>
        </w:rPr>
        <w:lastRenderedPageBreak/>
        <w:t>availability and crop tolerance (flooding). One of the main advantages of this RRO family lays on its compatibility with many other RROs.</w:t>
      </w:r>
    </w:p>
    <w:p w:rsidR="00202622" w:rsidRPr="00202622" w:rsidRDefault="00202622" w:rsidP="00202622">
      <w:pPr>
        <w:spacing w:after="0"/>
        <w:rPr>
          <w:rFonts w:ascii="Tahoma" w:hAnsi="Tahoma" w:cs="Tahoma"/>
          <w:color w:val="000000"/>
          <w:sz w:val="20"/>
          <w:szCs w:val="20"/>
        </w:rPr>
      </w:pPr>
    </w:p>
    <w:p w:rsidR="00202622" w:rsidRPr="00202622" w:rsidRDefault="00202622" w:rsidP="00202622">
      <w:pPr>
        <w:spacing w:after="0"/>
        <w:rPr>
          <w:rFonts w:ascii="Tahoma" w:hAnsi="Tahoma" w:cs="Tahoma"/>
          <w:sz w:val="20"/>
          <w:szCs w:val="20"/>
        </w:rPr>
      </w:pPr>
      <w:r w:rsidRPr="00202622">
        <w:rPr>
          <w:rFonts w:ascii="Tahoma" w:hAnsi="Tahoma" w:cs="Tahoma"/>
          <w:sz w:val="20"/>
          <w:szCs w:val="20"/>
        </w:rPr>
        <w:t>Synoptic table for the RRO.</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447"/>
        <w:gridCol w:w="906"/>
        <w:gridCol w:w="1523"/>
        <w:gridCol w:w="1455"/>
        <w:gridCol w:w="2071"/>
        <w:gridCol w:w="1648"/>
      </w:tblGrid>
      <w:tr w:rsidR="00202622" w:rsidRPr="00202622" w:rsidTr="004E17FA">
        <w:tc>
          <w:tcPr>
            <w:tcW w:w="0" w:type="auto"/>
            <w:shd w:val="clear" w:color="auto" w:fill="000000"/>
          </w:tcPr>
          <w:p w:rsidR="00202622" w:rsidRPr="00202622" w:rsidRDefault="00202622" w:rsidP="004E17FA">
            <w:pPr>
              <w:spacing w:after="0"/>
              <w:jc w:val="center"/>
              <w:rPr>
                <w:rFonts w:ascii="Tahoma" w:hAnsi="Tahoma" w:cs="Tahoma"/>
                <w:b/>
                <w:bCs/>
                <w:color w:val="FFFFFF"/>
                <w:sz w:val="20"/>
                <w:szCs w:val="20"/>
              </w:rPr>
            </w:pPr>
            <w:r w:rsidRPr="00202622">
              <w:rPr>
                <w:rFonts w:ascii="Tahoma" w:hAnsi="Tahoma" w:cs="Tahoma"/>
                <w:b/>
                <w:bCs/>
                <w:color w:val="FFFFFF"/>
                <w:sz w:val="20"/>
                <w:szCs w:val="20"/>
              </w:rPr>
              <w:t>Measure</w:t>
            </w:r>
          </w:p>
        </w:tc>
        <w:tc>
          <w:tcPr>
            <w:tcW w:w="0" w:type="auto"/>
            <w:shd w:val="clear" w:color="auto" w:fill="000000"/>
          </w:tcPr>
          <w:p w:rsidR="00202622" w:rsidRPr="00202622" w:rsidRDefault="00202622" w:rsidP="004E17FA">
            <w:pPr>
              <w:spacing w:after="0"/>
              <w:jc w:val="center"/>
              <w:rPr>
                <w:rFonts w:ascii="Tahoma" w:hAnsi="Tahoma" w:cs="Tahoma"/>
                <w:b/>
                <w:bCs/>
                <w:color w:val="FFFFFF"/>
                <w:sz w:val="20"/>
                <w:szCs w:val="20"/>
              </w:rPr>
            </w:pPr>
            <w:r w:rsidRPr="00202622">
              <w:rPr>
                <w:rFonts w:ascii="Tahoma" w:hAnsi="Tahoma" w:cs="Tahoma"/>
                <w:b/>
                <w:bCs/>
                <w:color w:val="FFFFFF"/>
                <w:sz w:val="20"/>
                <w:szCs w:val="20"/>
              </w:rPr>
              <w:t>Target</w:t>
            </w:r>
          </w:p>
        </w:tc>
        <w:tc>
          <w:tcPr>
            <w:tcW w:w="0" w:type="auto"/>
            <w:shd w:val="clear" w:color="auto" w:fill="000000"/>
          </w:tcPr>
          <w:p w:rsidR="00202622" w:rsidRPr="00202622" w:rsidRDefault="00202622" w:rsidP="004E17FA">
            <w:pPr>
              <w:spacing w:after="0"/>
              <w:jc w:val="center"/>
              <w:rPr>
                <w:rFonts w:ascii="Tahoma" w:hAnsi="Tahoma" w:cs="Tahoma"/>
                <w:b/>
                <w:bCs/>
                <w:color w:val="FFFFFF"/>
                <w:sz w:val="20"/>
                <w:szCs w:val="20"/>
              </w:rPr>
            </w:pPr>
            <w:r w:rsidRPr="00202622">
              <w:rPr>
                <w:rFonts w:ascii="Tahoma" w:hAnsi="Tahoma" w:cs="Tahoma"/>
                <w:b/>
                <w:bCs/>
                <w:color w:val="FFFFFF"/>
                <w:sz w:val="20"/>
                <w:szCs w:val="20"/>
              </w:rPr>
              <w:t>Area of application</w:t>
            </w:r>
          </w:p>
        </w:tc>
        <w:tc>
          <w:tcPr>
            <w:tcW w:w="0" w:type="auto"/>
            <w:shd w:val="clear" w:color="auto" w:fill="000000"/>
          </w:tcPr>
          <w:p w:rsidR="00202622" w:rsidRPr="00202622" w:rsidRDefault="00202622" w:rsidP="004E17FA">
            <w:pPr>
              <w:spacing w:after="0"/>
              <w:jc w:val="center"/>
              <w:rPr>
                <w:rFonts w:ascii="Tahoma" w:hAnsi="Tahoma" w:cs="Tahoma"/>
                <w:b/>
                <w:bCs/>
                <w:color w:val="FFFFFF"/>
                <w:sz w:val="20"/>
                <w:szCs w:val="20"/>
              </w:rPr>
            </w:pPr>
            <w:r w:rsidRPr="00202622">
              <w:rPr>
                <w:rFonts w:ascii="Tahoma" w:hAnsi="Tahoma" w:cs="Tahoma"/>
                <w:b/>
                <w:bCs/>
                <w:color w:val="FFFFFF"/>
                <w:sz w:val="20"/>
                <w:szCs w:val="20"/>
              </w:rPr>
              <w:t>Expected effect</w:t>
            </w:r>
          </w:p>
        </w:tc>
        <w:tc>
          <w:tcPr>
            <w:tcW w:w="0" w:type="auto"/>
            <w:shd w:val="clear" w:color="auto" w:fill="000000"/>
          </w:tcPr>
          <w:p w:rsidR="00202622" w:rsidRPr="00202622" w:rsidRDefault="00202622" w:rsidP="004E17FA">
            <w:pPr>
              <w:spacing w:after="0"/>
              <w:jc w:val="center"/>
              <w:rPr>
                <w:rFonts w:ascii="Tahoma" w:hAnsi="Tahoma" w:cs="Tahoma"/>
                <w:b/>
                <w:bCs/>
                <w:color w:val="FFFFFF"/>
                <w:sz w:val="20"/>
                <w:szCs w:val="20"/>
              </w:rPr>
            </w:pPr>
            <w:r w:rsidRPr="00202622">
              <w:rPr>
                <w:rFonts w:ascii="Tahoma" w:hAnsi="Tahoma" w:cs="Tahoma"/>
                <w:b/>
                <w:bCs/>
                <w:color w:val="FFFFFF"/>
                <w:sz w:val="20"/>
                <w:szCs w:val="20"/>
              </w:rPr>
              <w:t>Main technical limitations of use</w:t>
            </w:r>
          </w:p>
        </w:tc>
        <w:tc>
          <w:tcPr>
            <w:tcW w:w="0" w:type="auto"/>
            <w:shd w:val="clear" w:color="auto" w:fill="000000"/>
          </w:tcPr>
          <w:p w:rsidR="00202622" w:rsidRPr="00202622" w:rsidRDefault="00202622" w:rsidP="004E17FA">
            <w:pPr>
              <w:spacing w:after="0"/>
              <w:jc w:val="center"/>
              <w:rPr>
                <w:rFonts w:ascii="Tahoma" w:hAnsi="Tahoma" w:cs="Tahoma"/>
                <w:b/>
                <w:bCs/>
                <w:color w:val="FFFFFF"/>
                <w:sz w:val="20"/>
                <w:szCs w:val="20"/>
              </w:rPr>
            </w:pPr>
            <w:r w:rsidRPr="00202622">
              <w:rPr>
                <w:rFonts w:ascii="Tahoma" w:hAnsi="Tahoma" w:cs="Tahoma"/>
                <w:b/>
                <w:bCs/>
                <w:color w:val="FFFFFF"/>
                <w:sz w:val="20"/>
                <w:szCs w:val="20"/>
              </w:rPr>
              <w:t>RROs with similar effects / most often in combination</w:t>
            </w:r>
          </w:p>
        </w:tc>
      </w:tr>
      <w:tr w:rsidR="00202622" w:rsidRPr="00202622" w:rsidTr="004E17FA">
        <w:tc>
          <w:tcPr>
            <w:tcW w:w="0" w:type="auto"/>
            <w:tcBorders>
              <w:top w:val="single" w:sz="8" w:space="0" w:color="000000"/>
              <w:left w:val="single" w:sz="8" w:space="0" w:color="000000"/>
              <w:bottom w:val="single" w:sz="8" w:space="0" w:color="000000"/>
            </w:tcBorders>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t>Fumigation</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 xml:space="preserve">Soil-borne pests </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 and in post-harvest.</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Reduction of the prevalence of the pest or of its vector in the soil, including tare soil.</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Availability of authorized active substances. Inadequate volatility.</w:t>
            </w:r>
          </w:p>
        </w:tc>
        <w:tc>
          <w:tcPr>
            <w:tcW w:w="0" w:type="auto"/>
            <w:tcBorders>
              <w:top w:val="single" w:sz="8" w:space="0" w:color="000000"/>
              <w:bottom w:val="single" w:sz="8" w:space="0" w:color="000000"/>
              <w:right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r w:rsidR="00202622" w:rsidRPr="00202622" w:rsidTr="004E17FA">
        <w:tc>
          <w:tcPr>
            <w:tcW w:w="0" w:type="auto"/>
            <w:tcBorders>
              <w:top w:val="single" w:sz="8" w:space="0" w:color="000000"/>
              <w:left w:val="single" w:sz="8" w:space="0" w:color="000000"/>
              <w:bottom w:val="single" w:sz="8" w:space="0" w:color="000000"/>
            </w:tcBorders>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t>Heating</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Soil-borne pests</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 and in post-harvest.</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Reduction of the prevalence of the pest or of its vector in the soil, including tare soil.</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 accessibility, soil temperature and moisture.</w:t>
            </w:r>
          </w:p>
        </w:tc>
        <w:tc>
          <w:tcPr>
            <w:tcW w:w="0" w:type="auto"/>
            <w:tcBorders>
              <w:top w:val="single" w:sz="8" w:space="0" w:color="000000"/>
              <w:bottom w:val="single" w:sz="8" w:space="0" w:color="000000"/>
              <w:right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r w:rsidR="00202622" w:rsidRPr="00202622" w:rsidTr="004E17FA">
        <w:tc>
          <w:tcPr>
            <w:tcW w:w="0" w:type="auto"/>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t>Solarisation</w:t>
            </w:r>
          </w:p>
        </w:tc>
        <w:tc>
          <w:tcPr>
            <w:tcW w:w="0" w:type="auto"/>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Soil-borne pests</w:t>
            </w:r>
          </w:p>
        </w:tc>
        <w:tc>
          <w:tcPr>
            <w:tcW w:w="0" w:type="auto"/>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w:t>
            </w:r>
          </w:p>
        </w:tc>
        <w:tc>
          <w:tcPr>
            <w:tcW w:w="0" w:type="auto"/>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Reduction of the prevalence of the pest or of its vector in the soil.</w:t>
            </w:r>
          </w:p>
        </w:tc>
        <w:tc>
          <w:tcPr>
            <w:tcW w:w="0" w:type="auto"/>
            <w:shd w:val="clear" w:color="auto" w:fill="auto"/>
          </w:tcPr>
          <w:p w:rsidR="00202622" w:rsidRPr="00202622" w:rsidRDefault="00202622" w:rsidP="004E17FA">
            <w:pPr>
              <w:spacing w:after="0"/>
              <w:rPr>
                <w:rFonts w:ascii="Tahoma" w:hAnsi="Tahoma" w:cs="Tahoma"/>
                <w:color w:val="FF0000"/>
                <w:sz w:val="20"/>
                <w:szCs w:val="20"/>
              </w:rPr>
            </w:pPr>
            <w:r w:rsidRPr="00202622">
              <w:rPr>
                <w:rFonts w:ascii="Tahoma" w:hAnsi="Tahoma" w:cs="Tahoma"/>
                <w:sz w:val="20"/>
                <w:szCs w:val="20"/>
              </w:rPr>
              <w:t>Coincidence of warm periods with sunny days. Congruence with cropping calendar/rotation.</w:t>
            </w:r>
          </w:p>
        </w:tc>
        <w:tc>
          <w:tcPr>
            <w:tcW w:w="0" w:type="auto"/>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r w:rsidR="00202622" w:rsidRPr="00202622" w:rsidTr="004E17FA">
        <w:tc>
          <w:tcPr>
            <w:tcW w:w="0" w:type="auto"/>
            <w:tcBorders>
              <w:top w:val="single" w:sz="8" w:space="0" w:color="000000"/>
              <w:left w:val="single" w:sz="8" w:space="0" w:color="000000"/>
              <w:bottom w:val="single" w:sz="8" w:space="0" w:color="000000"/>
            </w:tcBorders>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t>Flooding</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Soil-borne pests</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 and in post-harvest.</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Reduction of the prevalence of the pest or of its vector in the soil, including tare soil.</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Water availability. Crop tolerance to flooding.</w:t>
            </w:r>
          </w:p>
        </w:tc>
        <w:tc>
          <w:tcPr>
            <w:tcW w:w="0" w:type="auto"/>
            <w:tcBorders>
              <w:top w:val="single" w:sz="8" w:space="0" w:color="000000"/>
              <w:bottom w:val="single" w:sz="8" w:space="0" w:color="000000"/>
              <w:right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r w:rsidR="00202622" w:rsidRPr="00202622" w:rsidTr="004E17FA">
        <w:tc>
          <w:tcPr>
            <w:tcW w:w="0" w:type="auto"/>
            <w:tcBorders>
              <w:top w:val="single" w:sz="4" w:space="0" w:color="auto"/>
              <w:bottom w:val="single" w:sz="4" w:space="0" w:color="auto"/>
            </w:tcBorders>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t>Soil suppression</w:t>
            </w:r>
          </w:p>
        </w:tc>
        <w:tc>
          <w:tcPr>
            <w:tcW w:w="0" w:type="auto"/>
            <w:tcBorders>
              <w:top w:val="single" w:sz="4" w:space="0" w:color="auto"/>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Soil-borne pests</w:t>
            </w:r>
          </w:p>
        </w:tc>
        <w:tc>
          <w:tcPr>
            <w:tcW w:w="0" w:type="auto"/>
            <w:tcBorders>
              <w:top w:val="single" w:sz="4" w:space="0" w:color="auto"/>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w:t>
            </w:r>
          </w:p>
        </w:tc>
        <w:tc>
          <w:tcPr>
            <w:tcW w:w="0" w:type="auto"/>
            <w:tcBorders>
              <w:top w:val="single" w:sz="4" w:space="0" w:color="auto"/>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Reduction of the prevalence of the pest or of its vector in the soil.</w:t>
            </w:r>
          </w:p>
        </w:tc>
        <w:tc>
          <w:tcPr>
            <w:tcW w:w="0" w:type="auto"/>
            <w:tcBorders>
              <w:top w:val="single" w:sz="4" w:space="0" w:color="auto"/>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Availability of suppressive soils.</w:t>
            </w:r>
          </w:p>
        </w:tc>
        <w:tc>
          <w:tcPr>
            <w:tcW w:w="0" w:type="auto"/>
            <w:tcBorders>
              <w:top w:val="single" w:sz="4" w:space="0" w:color="auto"/>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r w:rsidR="00202622" w:rsidRPr="00202622" w:rsidTr="004E17FA">
        <w:tc>
          <w:tcPr>
            <w:tcW w:w="0" w:type="auto"/>
            <w:tcBorders>
              <w:top w:val="single" w:sz="8" w:space="0" w:color="000000"/>
              <w:bottom w:val="single" w:sz="8" w:space="0" w:color="000000"/>
            </w:tcBorders>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t>Augmentative BC</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Soil-borne pests</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 xml:space="preserve">Reduction of the prevalence of the pest or of </w:t>
            </w:r>
            <w:r w:rsidRPr="00202622">
              <w:rPr>
                <w:rFonts w:ascii="Tahoma" w:hAnsi="Tahoma" w:cs="Tahoma"/>
                <w:sz w:val="20"/>
                <w:szCs w:val="20"/>
              </w:rPr>
              <w:lastRenderedPageBreak/>
              <w:t xml:space="preserve">its vector in the soil </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lastRenderedPageBreak/>
              <w:t>Availability of registered biological control agents.</w:t>
            </w:r>
          </w:p>
        </w:tc>
        <w:tc>
          <w:tcPr>
            <w:tcW w:w="0" w:type="auto"/>
            <w:tcBorders>
              <w:top w:val="single" w:sz="8" w:space="0" w:color="000000"/>
              <w:bottom w:val="single" w:sz="8" w:space="0" w:color="000000"/>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r w:rsidR="00202622" w:rsidRPr="00202622" w:rsidTr="004E17FA">
        <w:tc>
          <w:tcPr>
            <w:tcW w:w="0" w:type="auto"/>
            <w:tcBorders>
              <w:top w:val="single" w:sz="8" w:space="0" w:color="000000"/>
              <w:bottom w:val="single" w:sz="4" w:space="0" w:color="auto"/>
            </w:tcBorders>
            <w:shd w:val="clear" w:color="auto" w:fill="auto"/>
          </w:tcPr>
          <w:p w:rsidR="00202622" w:rsidRPr="00202622" w:rsidRDefault="00202622" w:rsidP="004E17FA">
            <w:pPr>
              <w:rPr>
                <w:rFonts w:ascii="Tahoma" w:hAnsi="Tahoma" w:cs="Tahoma"/>
                <w:sz w:val="20"/>
                <w:szCs w:val="20"/>
              </w:rPr>
            </w:pPr>
            <w:r w:rsidRPr="00202622">
              <w:rPr>
                <w:rFonts w:ascii="Tahoma" w:hAnsi="Tahoma" w:cs="Tahoma"/>
                <w:sz w:val="20"/>
                <w:szCs w:val="20"/>
              </w:rPr>
              <w:lastRenderedPageBreak/>
              <w:t>Biofumigation</w:t>
            </w:r>
          </w:p>
        </w:tc>
        <w:tc>
          <w:tcPr>
            <w:tcW w:w="0" w:type="auto"/>
            <w:tcBorders>
              <w:top w:val="single" w:sz="8" w:space="0" w:color="000000"/>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Soil-borne pests</w:t>
            </w:r>
          </w:p>
        </w:tc>
        <w:tc>
          <w:tcPr>
            <w:tcW w:w="0" w:type="auto"/>
            <w:tcBorders>
              <w:top w:val="single" w:sz="8" w:space="0" w:color="000000"/>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In the field (open or protected cultivation) and in post-harvest.</w:t>
            </w:r>
          </w:p>
        </w:tc>
        <w:tc>
          <w:tcPr>
            <w:tcW w:w="0" w:type="auto"/>
            <w:tcBorders>
              <w:top w:val="single" w:sz="8" w:space="0" w:color="000000"/>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Reduction of the prevalence of the pest or of its vector in the soil, including tare soil.</w:t>
            </w:r>
          </w:p>
        </w:tc>
        <w:tc>
          <w:tcPr>
            <w:tcW w:w="0" w:type="auto"/>
            <w:tcBorders>
              <w:top w:val="single" w:sz="8" w:space="0" w:color="000000"/>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Congruence of brassica cultivation with existing crop rotation.</w:t>
            </w:r>
          </w:p>
        </w:tc>
        <w:tc>
          <w:tcPr>
            <w:tcW w:w="0" w:type="auto"/>
            <w:tcBorders>
              <w:top w:val="single" w:sz="8" w:space="0" w:color="000000"/>
              <w:bottom w:val="single" w:sz="4" w:space="0" w:color="auto"/>
            </w:tcBorders>
            <w:shd w:val="clear" w:color="auto" w:fill="auto"/>
          </w:tcPr>
          <w:p w:rsidR="00202622" w:rsidRPr="00202622" w:rsidRDefault="00202622" w:rsidP="004E17FA">
            <w:pPr>
              <w:spacing w:after="0"/>
              <w:rPr>
                <w:rFonts w:ascii="Tahoma" w:hAnsi="Tahoma" w:cs="Tahoma"/>
                <w:sz w:val="20"/>
                <w:szCs w:val="20"/>
              </w:rPr>
            </w:pPr>
            <w:r w:rsidRPr="00202622">
              <w:rPr>
                <w:rFonts w:ascii="Tahoma" w:hAnsi="Tahoma" w:cs="Tahoma"/>
                <w:sz w:val="20"/>
                <w:szCs w:val="20"/>
              </w:rPr>
              <w:t>Any other measure in this table.</w:t>
            </w:r>
          </w:p>
        </w:tc>
      </w:tr>
    </w:tbl>
    <w:p w:rsidR="00202622" w:rsidRPr="00202622" w:rsidRDefault="00202622" w:rsidP="00202622">
      <w:pPr>
        <w:spacing w:after="0"/>
        <w:rPr>
          <w:rFonts w:ascii="Tahoma" w:hAnsi="Tahoma" w:cs="Tahoma"/>
          <w:sz w:val="20"/>
          <w:szCs w:val="20"/>
        </w:rPr>
      </w:pPr>
    </w:p>
    <w:p w:rsidR="00202622" w:rsidRPr="00202622" w:rsidRDefault="00202622" w:rsidP="00202622">
      <w:pPr>
        <w:spacing w:after="0"/>
        <w:rPr>
          <w:rFonts w:ascii="Tahoma" w:hAnsi="Tahoma" w:cs="Tahoma"/>
          <w:sz w:val="20"/>
          <w:szCs w:val="20"/>
        </w:rPr>
      </w:pPr>
    </w:p>
    <w:p w:rsidR="00202622" w:rsidRPr="00202622" w:rsidRDefault="00202622" w:rsidP="00202622">
      <w:pPr>
        <w:spacing w:after="0"/>
        <w:rPr>
          <w:rFonts w:ascii="Tahoma" w:hAnsi="Tahoma" w:cs="Tahoma"/>
          <w:sz w:val="20"/>
          <w:szCs w:val="20"/>
        </w:rPr>
      </w:pPr>
    </w:p>
    <w:p w:rsidR="00202622" w:rsidRPr="00202622" w:rsidRDefault="00202622" w:rsidP="00202622">
      <w:pPr>
        <w:spacing w:after="0"/>
        <w:rPr>
          <w:rFonts w:ascii="Tahoma" w:hAnsi="Tahoma" w:cs="Tahoma"/>
          <w:sz w:val="20"/>
          <w:szCs w:val="20"/>
        </w:rPr>
      </w:pPr>
    </w:p>
    <w:p w:rsidR="00202622" w:rsidRPr="00202622" w:rsidRDefault="00202622" w:rsidP="00202622">
      <w:pPr>
        <w:spacing w:after="0"/>
        <w:ind w:left="360"/>
        <w:rPr>
          <w:rFonts w:ascii="Tahoma" w:hAnsi="Tahoma" w:cs="Tahoma"/>
          <w:b/>
          <w:sz w:val="20"/>
          <w:szCs w:val="20"/>
          <w:u w:val="single"/>
        </w:rPr>
      </w:pPr>
      <w:r w:rsidRPr="00202622">
        <w:rPr>
          <w:rFonts w:ascii="Tahoma" w:hAnsi="Tahoma" w:cs="Tahoma"/>
          <w:b/>
          <w:sz w:val="20"/>
          <w:szCs w:val="20"/>
          <w:u w:val="single"/>
        </w:rPr>
        <w:t>References</w:t>
      </w:r>
    </w:p>
    <w:p w:rsidR="00202622" w:rsidRPr="00202622" w:rsidRDefault="00202622" w:rsidP="00202622">
      <w:pPr>
        <w:spacing w:after="0"/>
        <w:ind w:left="360"/>
        <w:rPr>
          <w:rFonts w:ascii="Tahoma" w:hAnsi="Tahoma" w:cs="Tahoma"/>
          <w:sz w:val="20"/>
          <w:szCs w:val="20"/>
          <w:u w:val="single"/>
        </w:rPr>
      </w:pP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Agrios GN, 2005. Plant pathology. Elsevier Academic Press Burlington,  pp.</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Borneman J and Becker JO, 2007. Identifying microorganisms involved in specific pathogen suppression in soil.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45, 153/172.</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Duncan LW, 1991. Current options for nematode management. Annual Review of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29, 469-490.</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 xml:space="preserve">Ebrahimi N, Viaene N, Aerts J, Debode J and Moens M, 2016. Agricultural waste amendments improve inundation treatment of soil contaminated with potato cyst nematodes, </w:t>
      </w:r>
      <w:r w:rsidRPr="00202622">
        <w:rPr>
          <w:rFonts w:ascii="Tahoma" w:hAnsi="Tahoma" w:cs="Tahoma"/>
          <w:i/>
          <w:sz w:val="20"/>
          <w:szCs w:val="20"/>
          <w:lang w:eastAsia="en-GB"/>
        </w:rPr>
        <w:t>Globodera rostochiensis</w:t>
      </w:r>
      <w:r w:rsidRPr="00202622">
        <w:rPr>
          <w:rFonts w:ascii="Tahoma" w:hAnsi="Tahoma" w:cs="Tahoma"/>
          <w:sz w:val="20"/>
          <w:szCs w:val="20"/>
          <w:lang w:eastAsia="en-GB"/>
        </w:rPr>
        <w:t xml:space="preserve"> and </w:t>
      </w:r>
      <w:r w:rsidRPr="00202622">
        <w:rPr>
          <w:rFonts w:ascii="Tahoma" w:hAnsi="Tahoma" w:cs="Tahoma"/>
          <w:i/>
          <w:sz w:val="20"/>
          <w:szCs w:val="20"/>
          <w:lang w:eastAsia="en-GB"/>
        </w:rPr>
        <w:t>G. pallida</w:t>
      </w:r>
      <w:r w:rsidRPr="00202622">
        <w:rPr>
          <w:rFonts w:ascii="Tahoma" w:hAnsi="Tahoma" w:cs="Tahoma"/>
          <w:sz w:val="20"/>
          <w:szCs w:val="20"/>
          <w:lang w:eastAsia="en-GB"/>
        </w:rPr>
        <w:t>. European Journal of Plant Pathology, 145, 755–775.</w:t>
      </w:r>
    </w:p>
    <w:p w:rsidR="00202622" w:rsidRPr="00202622" w:rsidRDefault="00202622" w:rsidP="00202622">
      <w:pPr>
        <w:autoSpaceDE w:val="0"/>
        <w:autoSpaceDN w:val="0"/>
        <w:adjustRightInd w:val="0"/>
        <w:spacing w:after="0" w:line="240" w:lineRule="auto"/>
        <w:ind w:left="720" w:hanging="720"/>
        <w:rPr>
          <w:rFonts w:ascii="Tahoma" w:hAnsi="Tahoma" w:cs="Tahoma"/>
          <w:sz w:val="20"/>
          <w:szCs w:val="20"/>
          <w:lang w:eastAsia="en-GB"/>
        </w:rPr>
      </w:pPr>
      <w:r w:rsidRPr="00202622">
        <w:rPr>
          <w:rFonts w:ascii="Tahoma" w:hAnsi="Tahoma" w:cs="Tahoma"/>
          <w:sz w:val="20"/>
          <w:szCs w:val="20"/>
        </w:rPr>
        <w:t xml:space="preserve">EC (European Commission), 2016. EU - Pesticides database (April 2016). Available online: </w:t>
      </w:r>
      <w:hyperlink r:id="rId9" w:history="1">
        <w:r w:rsidRPr="00202622">
          <w:rPr>
            <w:rStyle w:val="Hyperlink"/>
            <w:rFonts w:ascii="Tahoma" w:hAnsi="Tahoma" w:cs="Tahoma"/>
            <w:sz w:val="20"/>
            <w:szCs w:val="20"/>
          </w:rPr>
          <w:t>http://ec.europa.eu/food/plant/pesticides/eu-pesticides-database/public/?event=homepage&amp;language=EN</w:t>
        </w:r>
      </w:hyperlink>
      <w:r w:rsidRPr="00202622">
        <w:rPr>
          <w:rFonts w:ascii="Tahoma" w:hAnsi="Tahoma" w:cs="Tahoma"/>
          <w:sz w:val="20"/>
          <w:szCs w:val="20"/>
        </w:rPr>
        <w:t>.</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Granett J, Walker MA, Kocsis L and Omer AD, 2001. Biology and management of grape phylloxera. Annual review of entomology,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46, 387-412.</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EFSA PLH Panel (EFSA Plant Health Panel), 2015. Scientiﬁc Opinion on the risks to plant health posed by EU import of soil or growing media. EFSA Journal 2015; 13 (6):4132, 133 pp. doi:10.2903/j.efsa.2015.4132.</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ISPM 36, 2012. Integrated measures for plants for planting. International Plant Protection Convention (IPPC), FAO, Rome.</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 xml:space="preserve">Klosterman SJ, Atallah ZK, Vallad GE and Subbarao KV, 2009. Diversity, pathogenicity, and management of </w:t>
      </w:r>
      <w:r w:rsidRPr="00202622">
        <w:rPr>
          <w:rFonts w:ascii="Tahoma" w:hAnsi="Tahoma" w:cs="Tahoma"/>
          <w:i/>
          <w:sz w:val="20"/>
          <w:szCs w:val="20"/>
          <w:lang w:eastAsia="en-GB"/>
        </w:rPr>
        <w:t>Verticillium</w:t>
      </w:r>
      <w:r w:rsidRPr="00202622">
        <w:rPr>
          <w:rFonts w:ascii="Tahoma" w:hAnsi="Tahoma" w:cs="Tahoma"/>
          <w:sz w:val="20"/>
          <w:szCs w:val="20"/>
          <w:lang w:eastAsia="en-GB"/>
        </w:rPr>
        <w:t xml:space="preserve"> species. Annual Review of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47, 39-62.</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Larkin RP, 2015. Soil Health Paradigms and Implications for Disease Management. Annual Review of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53, 199-221.</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Martin FN, 2003. Development of Alternative Strategies for Management of Soilborne Pathogens Currently Controlled with Methyl Bromide 1. Annual Review of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41, 325-350.</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 xml:space="preserve">Muller P and van Aartrijk J, 1988. Flooding reduces the soil population of the stem nematode </w:t>
      </w:r>
      <w:r w:rsidRPr="00202622">
        <w:rPr>
          <w:rFonts w:ascii="Tahoma" w:hAnsi="Tahoma" w:cs="Tahoma"/>
          <w:i/>
          <w:sz w:val="20"/>
          <w:szCs w:val="20"/>
          <w:lang w:eastAsia="en-GB"/>
        </w:rPr>
        <w:t>Ditylenchus dipsaci</w:t>
      </w:r>
      <w:r w:rsidRPr="00202622">
        <w:rPr>
          <w:rFonts w:ascii="Tahoma" w:hAnsi="Tahoma" w:cs="Tahoma"/>
          <w:sz w:val="20"/>
          <w:szCs w:val="20"/>
          <w:lang w:eastAsia="en-GB"/>
        </w:rPr>
        <w:t xml:space="preserve"> (Kühn) in sandy soils. Proceedings of the III International Symposium on Soil Desinfestation 255, 261-264.</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 xml:space="preserve">van Overbeek L, Runia W, Kastelein P and Molendijk L, 2014. Anaerobic disinfestation of tare soils contaminated with </w:t>
      </w:r>
      <w:r w:rsidRPr="00202622">
        <w:rPr>
          <w:rFonts w:ascii="Tahoma" w:hAnsi="Tahoma" w:cs="Tahoma"/>
          <w:i/>
          <w:sz w:val="20"/>
          <w:szCs w:val="20"/>
          <w:lang w:eastAsia="en-GB"/>
        </w:rPr>
        <w:t>Ralstonia solanacearum</w:t>
      </w:r>
      <w:r w:rsidRPr="00202622">
        <w:rPr>
          <w:rFonts w:ascii="Tahoma" w:hAnsi="Tahoma" w:cs="Tahoma"/>
          <w:sz w:val="20"/>
          <w:szCs w:val="20"/>
          <w:lang w:eastAsia="en-GB"/>
        </w:rPr>
        <w:t xml:space="preserve"> biovar 2 and </w:t>
      </w:r>
      <w:r w:rsidRPr="00202622">
        <w:rPr>
          <w:rFonts w:ascii="Tahoma" w:hAnsi="Tahoma" w:cs="Tahoma"/>
          <w:i/>
          <w:sz w:val="20"/>
          <w:szCs w:val="20"/>
          <w:lang w:eastAsia="en-GB"/>
        </w:rPr>
        <w:t>Globodera pallida.</w:t>
      </w:r>
      <w:r w:rsidRPr="00202622">
        <w:rPr>
          <w:rFonts w:ascii="Tahoma" w:hAnsi="Tahoma" w:cs="Tahoma"/>
          <w:sz w:val="20"/>
          <w:szCs w:val="20"/>
          <w:lang w:eastAsia="en-GB"/>
        </w:rPr>
        <w:t xml:space="preserve"> European Journal of Plant 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138, 323-330.</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 xml:space="preserve">Pennstate Extension, 2016. Heat Treatments to Control Soil-Borne Pests. The Pennsylvania State University. Available online: </w:t>
      </w:r>
      <w:hyperlink r:id="rId10" w:history="1">
        <w:r w:rsidRPr="00202622">
          <w:rPr>
            <w:rStyle w:val="Hyperlink"/>
            <w:rFonts w:ascii="Tahoma" w:hAnsi="Tahoma" w:cs="Tahoma"/>
            <w:sz w:val="20"/>
            <w:szCs w:val="20"/>
          </w:rPr>
          <w:t>http://extension.psu.edu/pests/plant-diseases/all-fact-sheets/heat-treatment-of-soil</w:t>
        </w:r>
      </w:hyperlink>
      <w:r w:rsidRPr="00202622">
        <w:rPr>
          <w:rFonts w:ascii="Tahoma" w:hAnsi="Tahoma" w:cs="Tahoma"/>
          <w:sz w:val="20"/>
          <w:szCs w:val="20"/>
          <w:lang w:eastAsia="en-GB"/>
        </w:rPr>
        <w:t>.</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 xml:space="preserve">Spaull A, Trudgill D and Batey T, 1992. Effects of anaerobiosis on the survival of </w:t>
      </w:r>
      <w:r w:rsidRPr="00202622">
        <w:rPr>
          <w:rFonts w:ascii="Tahoma" w:hAnsi="Tahoma" w:cs="Tahoma"/>
          <w:i/>
          <w:sz w:val="20"/>
          <w:szCs w:val="20"/>
          <w:lang w:eastAsia="en-GB"/>
        </w:rPr>
        <w:t>Globodera pallida</w:t>
      </w:r>
      <w:r w:rsidRPr="00202622">
        <w:rPr>
          <w:rFonts w:ascii="Tahoma" w:hAnsi="Tahoma" w:cs="Tahoma"/>
          <w:sz w:val="20"/>
          <w:szCs w:val="20"/>
          <w:lang w:eastAsia="en-GB"/>
        </w:rPr>
        <w:t xml:space="preserve"> and possibilities for control. Nematologica,</w:t>
      </w:r>
      <w:r w:rsidRPr="00202622">
        <w:rPr>
          <w:rFonts w:ascii="Tahoma" w:hAnsi="Tahoma" w:cs="Tahoma"/>
          <w:i/>
          <w:iCs/>
          <w:sz w:val="20"/>
          <w:szCs w:val="20"/>
          <w:lang w:eastAsia="en-GB"/>
        </w:rPr>
        <w:t xml:space="preserve"> </w:t>
      </w:r>
      <w:r w:rsidRPr="00202622">
        <w:rPr>
          <w:rFonts w:ascii="Tahoma" w:hAnsi="Tahoma" w:cs="Tahoma"/>
          <w:sz w:val="20"/>
          <w:szCs w:val="20"/>
          <w:lang w:eastAsia="en-GB"/>
        </w:rPr>
        <w:t>38, 88-97.</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Stover R, 1979. Flooding of soil for disease control. Soil disinfestation, 19-28.</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Vincent C, Hallman G, Panneton B and Fleurat-Lessard F, 2003. Management of Agricultural Insects with Physical Control Methods*. Annual review of entomology,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48, 261-281.</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lastRenderedPageBreak/>
        <w:t xml:space="preserve">Wei F, Passey T and Xu X, 2016. Effects of individual and combined use of bio-fumigation-derived products on the viability of </w:t>
      </w:r>
      <w:r w:rsidRPr="00202622">
        <w:rPr>
          <w:rFonts w:ascii="Tahoma" w:hAnsi="Tahoma" w:cs="Tahoma"/>
          <w:i/>
          <w:sz w:val="20"/>
          <w:szCs w:val="20"/>
          <w:lang w:eastAsia="en-GB"/>
        </w:rPr>
        <w:t>Verticillium dahliae</w:t>
      </w:r>
      <w:r w:rsidRPr="00202622">
        <w:rPr>
          <w:rFonts w:ascii="Tahoma" w:hAnsi="Tahoma" w:cs="Tahoma"/>
          <w:sz w:val="20"/>
          <w:szCs w:val="20"/>
          <w:lang w:eastAsia="en-GB"/>
        </w:rPr>
        <w:t xml:space="preserve"> microsclerotia in soil. Crop Protection,</w:t>
      </w:r>
      <w:r w:rsidRPr="00202622">
        <w:rPr>
          <w:rFonts w:ascii="Tahoma" w:hAnsi="Tahoma" w:cs="Tahoma"/>
          <w:i/>
          <w:iCs/>
          <w:sz w:val="20"/>
          <w:szCs w:val="20"/>
          <w:lang w:eastAsia="en-GB"/>
        </w:rPr>
        <w:t xml:space="preserve"> </w:t>
      </w:r>
      <w:r w:rsidRPr="00202622">
        <w:rPr>
          <w:rFonts w:ascii="Tahoma" w:hAnsi="Tahoma" w:cs="Tahoma"/>
          <w:sz w:val="20"/>
          <w:szCs w:val="20"/>
          <w:lang w:eastAsia="en-GB"/>
        </w:rPr>
        <w:t>79, 170-176.</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Weller DM, Raaijmakers JM, Gardener BBM and Thomashow LS, 2002. Microbial populations responsible for specific soil suppressiveness to plant pathogens. Annual Review of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40, 309-348.</w:t>
      </w:r>
    </w:p>
    <w:p w:rsidR="00202622" w:rsidRPr="00202622" w:rsidRDefault="00202622" w:rsidP="00202622">
      <w:pPr>
        <w:autoSpaceDE w:val="0"/>
        <w:autoSpaceDN w:val="0"/>
        <w:adjustRightInd w:val="0"/>
        <w:spacing w:after="0" w:line="240" w:lineRule="auto"/>
        <w:ind w:left="720" w:hanging="720"/>
        <w:jc w:val="both"/>
        <w:rPr>
          <w:rFonts w:ascii="Tahoma" w:hAnsi="Tahoma" w:cs="Tahoma"/>
          <w:sz w:val="20"/>
          <w:szCs w:val="20"/>
          <w:lang w:eastAsia="en-GB"/>
        </w:rPr>
      </w:pPr>
      <w:r w:rsidRPr="00202622">
        <w:rPr>
          <w:rFonts w:ascii="Tahoma" w:hAnsi="Tahoma" w:cs="Tahoma"/>
          <w:sz w:val="20"/>
          <w:szCs w:val="20"/>
          <w:lang w:eastAsia="en-GB"/>
        </w:rPr>
        <w:t>Zasada IA, Halbrendt JM, Kokalis-Burelle N, LaMondia J, McKenry MV and Noling JW, 2010. Managing nematodes without methyl bromide. Annual Review of Phytopathology,</w:t>
      </w:r>
      <w:r w:rsidRPr="00202622">
        <w:rPr>
          <w:rFonts w:ascii="Tahoma" w:hAnsi="Tahoma" w:cs="Tahoma"/>
          <w:i/>
          <w:iCs/>
          <w:sz w:val="20"/>
          <w:szCs w:val="20"/>
          <w:lang w:eastAsia="en-GB"/>
        </w:rPr>
        <w:t xml:space="preserve"> </w:t>
      </w:r>
      <w:r w:rsidRPr="00202622">
        <w:rPr>
          <w:rFonts w:ascii="Tahoma" w:hAnsi="Tahoma" w:cs="Tahoma"/>
          <w:sz w:val="20"/>
          <w:szCs w:val="20"/>
          <w:lang w:eastAsia="en-GB"/>
        </w:rPr>
        <w:t>48, 311-328.</w:t>
      </w:r>
    </w:p>
    <w:p w:rsidR="00202622" w:rsidRPr="00202622" w:rsidRDefault="00202622" w:rsidP="00202622">
      <w:pPr>
        <w:spacing w:after="0"/>
        <w:rPr>
          <w:rFonts w:ascii="Tahoma" w:hAnsi="Tahoma" w:cs="Tahoma"/>
          <w:color w:val="000000"/>
          <w:sz w:val="20"/>
          <w:szCs w:val="20"/>
        </w:rPr>
      </w:pPr>
    </w:p>
    <w:p w:rsidR="00E55CDE" w:rsidRPr="00202622" w:rsidRDefault="00E55CDE" w:rsidP="00E55CDE">
      <w:pPr>
        <w:pStyle w:val="ListParagraph1"/>
        <w:spacing w:after="0"/>
        <w:ind w:left="360"/>
        <w:jc w:val="both"/>
        <w:rPr>
          <w:rFonts w:ascii="Tahoma" w:hAnsi="Tahoma" w:cs="Tahoma"/>
          <w:b/>
          <w:sz w:val="20"/>
          <w:szCs w:val="20"/>
          <w:u w:val="single"/>
          <w:lang w:val="en-GB"/>
        </w:rPr>
      </w:pPr>
    </w:p>
    <w:sectPr w:rsidR="00E55CDE" w:rsidRPr="00202622" w:rsidSect="00633AFB">
      <w:headerReference w:type="even" r:id="rId11"/>
      <w:headerReference w:type="default" r:id="rId12"/>
      <w:footerReference w:type="even" r:id="rId13"/>
      <w:footerReference w:type="default" r:id="rId14"/>
      <w:headerReference w:type="first" r:id="rId15"/>
      <w:pgSz w:w="11906" w:h="16838"/>
      <w:pgMar w:top="1418" w:right="1418" w:bottom="1418" w:left="1418" w:header="709" w:footer="709" w:gutter="0"/>
      <w:cols w:space="720"/>
      <w:docGrid w:linePitch="360" w:charSpace="2047"/>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2BE3" w:rsidRDefault="00AC2BE3" w:rsidP="00214C6C">
      <w:pPr>
        <w:spacing w:after="0" w:line="240" w:lineRule="auto"/>
      </w:pPr>
      <w:r>
        <w:separator/>
      </w:r>
    </w:p>
  </w:endnote>
  <w:endnote w:type="continuationSeparator" w:id="0">
    <w:p w:rsidR="00AC2BE3" w:rsidRDefault="00AC2BE3" w:rsidP="00214C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3F4" w:rsidRDefault="009903F4">
    <w:pPr>
      <w:pStyle w:val="EFSAFooter"/>
    </w:pPr>
    <w:r>
      <w:t>www.efsa.europa.eu/efsajournal</w:t>
    </w:r>
    <w:r>
      <w:tab/>
    </w:r>
    <w:r>
      <w:fldChar w:fldCharType="begin"/>
    </w:r>
    <w:r>
      <w:instrText xml:space="preserve"> PAGE </w:instrText>
    </w:r>
    <w:r>
      <w:fldChar w:fldCharType="separate"/>
    </w:r>
    <w:r>
      <w:rPr>
        <w:noProof/>
      </w:rPr>
      <w:t>10</w:t>
    </w:r>
    <w:r>
      <w:fldChar w:fldCharType="end"/>
    </w:r>
    <w:r>
      <w:tab/>
      <w:t xml:space="preserve">EFSA Journal </w:t>
    </w:r>
    <w:r>
      <w:rPr>
        <w:shd w:val="clear" w:color="auto" w:fill="FFFF00"/>
      </w:rPr>
      <w:t>20XX: volume(issue):xxxx</w:t>
    </w:r>
    <w:r>
      <w:rPr>
        <w:noProof/>
        <w:lang w:eastAsia="en-GB"/>
      </w:rPr>
      <w:drawing>
        <wp:inline distT="0" distB="0" distL="0" distR="0" wp14:anchorId="0D56FCAB" wp14:editId="5D27D900">
          <wp:extent cx="8277225" cy="381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5CBCCDA2" wp14:editId="5229AAA0">
          <wp:extent cx="8277225" cy="381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23838FBF" wp14:editId="092E6124">
          <wp:extent cx="8277225" cy="381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535151E2" wp14:editId="71BF2098">
          <wp:extent cx="8277225" cy="381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4C524AB9" wp14:editId="0C097D71">
          <wp:extent cx="8277225" cy="3810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631E108B" wp14:editId="136DA30E">
          <wp:extent cx="8277225" cy="381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7014FB8B" wp14:editId="7002EAD2">
          <wp:extent cx="8277225" cy="381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3AF766B6" wp14:editId="402C27AA">
          <wp:extent cx="8277225" cy="3810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78FA6C89" wp14:editId="3A22C46C">
          <wp:extent cx="8277225" cy="3810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62D6386D" wp14:editId="4F3F9B97">
          <wp:extent cx="8277225" cy="381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5640E292" wp14:editId="1240D867">
          <wp:extent cx="8277225" cy="381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5CBAA755" wp14:editId="7FB23F64">
          <wp:extent cx="8277225" cy="381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7436E586" wp14:editId="79102BCE">
          <wp:extent cx="8277225" cy="381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7C6D6DDA" wp14:editId="0D1C3351">
          <wp:extent cx="8277225" cy="381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0DE96C4B" wp14:editId="4EEC1FC2">
          <wp:extent cx="8277225" cy="3810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inline distT="0" distB="0" distL="0" distR="0" wp14:anchorId="538B3D40" wp14:editId="1FB9B00C">
          <wp:extent cx="8277225" cy="38100"/>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eastAsia="en-GB"/>
      </w:rPr>
      <w:drawing>
        <wp:anchor distT="0" distB="0" distL="114300" distR="114300" simplePos="0" relativeHeight="251656192" behindDoc="0" locked="0" layoutInCell="1" allowOverlap="1" wp14:anchorId="31A37023" wp14:editId="6611B5E5">
          <wp:simplePos x="0" y="0"/>
          <wp:positionH relativeFrom="column">
            <wp:posOffset>-722630</wp:posOffset>
          </wp:positionH>
          <wp:positionV relativeFrom="paragraph">
            <wp:posOffset>-44450</wp:posOffset>
          </wp:positionV>
          <wp:extent cx="7559675" cy="35560"/>
          <wp:effectExtent l="0" t="0" r="3175" b="2540"/>
          <wp:wrapNone/>
          <wp:docPr id="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355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903F4" w:rsidRDefault="009903F4"/>
  <w:p w:rsidR="009903F4" w:rsidRDefault="009903F4"/>
  <w:p w:rsidR="009903F4" w:rsidRDefault="009903F4"/>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2"/>
      <w:gridCol w:w="3025"/>
    </w:tblGrid>
    <w:tr w:rsidR="009903F4" w:rsidRPr="00EA0C60" w:rsidTr="00CB13F3">
      <w:trPr>
        <w:trHeight w:val="98"/>
      </w:trPr>
      <w:tc>
        <w:tcPr>
          <w:tcW w:w="5000" w:type="pct"/>
          <w:gridSpan w:val="3"/>
        </w:tcPr>
        <w:p w:rsidR="009903F4" w:rsidRPr="002623C1" w:rsidRDefault="009903F4" w:rsidP="00CB13F3">
          <w:pPr>
            <w:pStyle w:val="EFSAFooter"/>
            <w:rPr>
              <w:rFonts w:asciiTheme="minorHAnsi" w:hAnsiTheme="minorHAnsi"/>
            </w:rPr>
          </w:pPr>
          <w:r w:rsidRPr="002623C1">
            <w:rPr>
              <w:noProof/>
            </w:rPr>
            <w:drawing>
              <wp:inline distT="0" distB="0" distL="0" distR="0" wp14:anchorId="6E23D9F6" wp14:editId="706DA528">
                <wp:extent cx="5760000" cy="32400"/>
                <wp:effectExtent l="0" t="0" r="0" b="571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footer-landscape-02.jpg"/>
                        <pic:cNvPicPr/>
                      </pic:nvPicPr>
                      <pic:blipFill>
                        <a:blip r:embed="rId1">
                          <a:extLst>
                            <a:ext uri="{28A0092B-C50C-407E-A947-70E740481C1C}">
                              <a14:useLocalDpi xmlns:a14="http://schemas.microsoft.com/office/drawing/2010/main" val="0"/>
                            </a:ext>
                          </a:extLst>
                        </a:blip>
                        <a:stretch>
                          <a:fillRect/>
                        </a:stretch>
                      </pic:blipFill>
                      <pic:spPr>
                        <a:xfrm>
                          <a:off x="0" y="0"/>
                          <a:ext cx="5760000" cy="32400"/>
                        </a:xfrm>
                        <a:prstGeom prst="rect">
                          <a:avLst/>
                        </a:prstGeom>
                      </pic:spPr>
                    </pic:pic>
                  </a:graphicData>
                </a:graphic>
              </wp:inline>
            </w:drawing>
          </w:r>
        </w:p>
      </w:tc>
    </w:tr>
    <w:tr w:rsidR="009903F4" w:rsidRPr="00CA330F" w:rsidTr="00CB13F3">
      <w:trPr>
        <w:trHeight w:val="97"/>
      </w:trPr>
      <w:tc>
        <w:tcPr>
          <w:tcW w:w="1666" w:type="pct"/>
        </w:tcPr>
        <w:p w:rsidR="009903F4" w:rsidRPr="002623C1" w:rsidRDefault="009903F4" w:rsidP="00CB13F3">
          <w:pPr>
            <w:pStyle w:val="EFSAFooter"/>
          </w:pPr>
          <w:r w:rsidRPr="002623C1">
            <w:rPr>
              <w:rFonts w:asciiTheme="minorHAnsi" w:hAnsiTheme="minorHAnsi"/>
            </w:rPr>
            <w:t>www.efsa.europa.eu/</w:t>
          </w:r>
          <w:r>
            <w:rPr>
              <w:rFonts w:asciiTheme="minorHAnsi" w:hAnsiTheme="minorHAnsi"/>
            </w:rPr>
            <w:t>publications</w:t>
          </w:r>
        </w:p>
      </w:tc>
      <w:tc>
        <w:tcPr>
          <w:tcW w:w="1666" w:type="pct"/>
        </w:tcPr>
        <w:p w:rsidR="009903F4" w:rsidRPr="00EA0C60" w:rsidRDefault="009903F4" w:rsidP="00CB13F3">
          <w:pPr>
            <w:pStyle w:val="EFSAFooter"/>
            <w:jc w:val="center"/>
            <w:rPr>
              <w:rFonts w:asciiTheme="minorHAnsi" w:hAnsiTheme="minorHAnsi"/>
            </w:rPr>
          </w:pPr>
          <w:r w:rsidRPr="00EA0C60">
            <w:fldChar w:fldCharType="begin"/>
          </w:r>
          <w:r w:rsidRPr="00EA0C60">
            <w:rPr>
              <w:rFonts w:asciiTheme="minorHAnsi" w:hAnsiTheme="minorHAnsi"/>
            </w:rPr>
            <w:instrText xml:space="preserve"> PAGE   \* MERGEFORMAT </w:instrText>
          </w:r>
          <w:r w:rsidRPr="00EA0C60">
            <w:fldChar w:fldCharType="separate"/>
          </w:r>
          <w:r w:rsidR="00202622">
            <w:rPr>
              <w:rFonts w:asciiTheme="minorHAnsi" w:hAnsiTheme="minorHAnsi"/>
              <w:noProof/>
            </w:rPr>
            <w:t>1</w:t>
          </w:r>
          <w:r w:rsidRPr="00EA0C60">
            <w:rPr>
              <w:noProof/>
            </w:rPr>
            <w:fldChar w:fldCharType="end"/>
          </w:r>
        </w:p>
      </w:tc>
      <w:tc>
        <w:tcPr>
          <w:tcW w:w="1668" w:type="pct"/>
        </w:tcPr>
        <w:p w:rsidR="009903F4" w:rsidRPr="004701A8" w:rsidRDefault="009903F4" w:rsidP="004701A8">
          <w:pPr>
            <w:pStyle w:val="EFSAFooter"/>
            <w:rPr>
              <w:sz w:val="14"/>
              <w:lang w:val="fr-BE"/>
            </w:rPr>
          </w:pPr>
          <w:r w:rsidRPr="004701A8">
            <w:rPr>
              <w:rFonts w:asciiTheme="minorHAnsi" w:hAnsiTheme="minorHAnsi"/>
              <w:sz w:val="14"/>
              <w:lang w:val="fr-BE"/>
            </w:rPr>
            <w:t>EFSA Supporting publication 20</w:t>
          </w:r>
          <w:r w:rsidRPr="004701A8">
            <w:rPr>
              <w:rFonts w:asciiTheme="minorHAnsi" w:hAnsiTheme="minorHAnsi"/>
              <w:sz w:val="14"/>
              <w:highlight w:val="yellow"/>
              <w:lang w:val="fr-BE"/>
            </w:rPr>
            <w:t>YY</w:t>
          </w:r>
          <w:r w:rsidRPr="004701A8">
            <w:rPr>
              <w:rFonts w:asciiTheme="minorHAnsi" w:hAnsiTheme="minorHAnsi"/>
              <w:sz w:val="14"/>
              <w:lang w:val="fr-BE"/>
            </w:rPr>
            <w:t>:EN-</w:t>
          </w:r>
          <w:r w:rsidRPr="004701A8">
            <w:rPr>
              <w:rFonts w:asciiTheme="minorHAnsi" w:hAnsiTheme="minorHAnsi"/>
              <w:sz w:val="14"/>
              <w:highlight w:val="yellow"/>
              <w:lang w:val="fr-BE"/>
            </w:rPr>
            <w:t>NNNN</w:t>
          </w:r>
        </w:p>
      </w:tc>
    </w:tr>
  </w:tbl>
  <w:p w:rsidR="009903F4" w:rsidRPr="00CA330F" w:rsidRDefault="009903F4" w:rsidP="00633AFB">
    <w:pPr>
      <w:pStyle w:val="Footer"/>
      <w:rPr>
        <w:sz w:val="2"/>
        <w:szCs w:val="2"/>
        <w:lang w:val="fr-BE"/>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2BE3" w:rsidRDefault="00AC2BE3" w:rsidP="00214C6C">
      <w:pPr>
        <w:spacing w:after="0" w:line="240" w:lineRule="auto"/>
      </w:pPr>
      <w:r>
        <w:separator/>
      </w:r>
    </w:p>
  </w:footnote>
  <w:footnote w:type="continuationSeparator" w:id="0">
    <w:p w:rsidR="00AC2BE3" w:rsidRDefault="00AC2BE3" w:rsidP="00214C6C">
      <w:pPr>
        <w:spacing w:after="0" w:line="240" w:lineRule="auto"/>
      </w:pPr>
      <w:r>
        <w:continuationSeparator/>
      </w:r>
    </w:p>
  </w:footnote>
  <w:footnote w:id="1">
    <w:p w:rsidR="00202622" w:rsidRPr="00E3396C" w:rsidRDefault="00202622" w:rsidP="00202622">
      <w:pPr>
        <w:pStyle w:val="FootnoteText"/>
        <w:jc w:val="both"/>
      </w:pPr>
      <w:r>
        <w:rPr>
          <w:rStyle w:val="FootnoteReference"/>
        </w:rPr>
        <w:footnoteRef/>
      </w:r>
      <w:r w:rsidRPr="00E3396C">
        <w:t xml:space="preserve"> Council Directive 2000/29/EC of 8 May 2000 on protective measures against the introduction into the Community of organism harmful to plants or plant products and against their spread within the Community.</w:t>
      </w:r>
    </w:p>
    <w:p w:rsidR="00202622" w:rsidRPr="00E3396C" w:rsidRDefault="00202622" w:rsidP="00202622">
      <w:pPr>
        <w:pStyle w:val="FootnoteText"/>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3F4" w:rsidRDefault="00AC2BE3">
    <w:pPr>
      <w:pStyle w:val="EFSAShorttitl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8691" o:spid="_x0000_s2065" type="#_x0000_t136" style="position:absolute;margin-left:0;margin-top:0;width:399.6pt;height:239.75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9903F4">
      <w:rPr>
        <w:shd w:val="clear" w:color="auto" w:fill="FFFF00"/>
      </w:rPr>
      <w:t>Short title</w:t>
    </w:r>
    <w:r w:rsidR="009903F4">
      <w:t xml:space="preserve"> </w:t>
    </w:r>
    <w:r w:rsidR="009903F4">
      <w:rPr>
        <w:noProof/>
        <w:lang w:eastAsia="en-GB"/>
      </w:rPr>
      <w:drawing>
        <wp:anchor distT="0" distB="0" distL="114300" distR="114300" simplePos="0" relativeHeight="251651072" behindDoc="1" locked="0" layoutInCell="1" allowOverlap="1" wp14:anchorId="2FB83543" wp14:editId="48E01FB5">
          <wp:simplePos x="0" y="0"/>
          <wp:positionH relativeFrom="column">
            <wp:posOffset>5688965</wp:posOffset>
          </wp:positionH>
          <wp:positionV relativeFrom="paragraph">
            <wp:posOffset>-323850</wp:posOffset>
          </wp:positionV>
          <wp:extent cx="805815" cy="417195"/>
          <wp:effectExtent l="0" t="0" r="0" b="1905"/>
          <wp:wrapTight wrapText="bothSides">
            <wp:wrapPolygon edited="0">
              <wp:start x="0" y="0"/>
              <wp:lineTo x="0" y="20712"/>
              <wp:lineTo x="20936" y="20712"/>
              <wp:lineTo x="20936" y="0"/>
              <wp:lineTo x="0" y="0"/>
            </wp:wrapPolygon>
          </wp:wrapTight>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5815" cy="417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903F4">
      <w:rPr>
        <w:noProof/>
        <w:lang w:eastAsia="en-GB"/>
      </w:rPr>
      <w:drawing>
        <wp:anchor distT="0" distB="0" distL="114300" distR="114300" simplePos="0" relativeHeight="251653120" behindDoc="1" locked="0" layoutInCell="1" allowOverlap="1" wp14:anchorId="592D50D3" wp14:editId="3A8281F9">
          <wp:simplePos x="0" y="0"/>
          <wp:positionH relativeFrom="column">
            <wp:posOffset>-360045</wp:posOffset>
          </wp:positionH>
          <wp:positionV relativeFrom="paragraph">
            <wp:posOffset>144145</wp:posOffset>
          </wp:positionV>
          <wp:extent cx="7559675" cy="35560"/>
          <wp:effectExtent l="0" t="0" r="3175" b="2540"/>
          <wp:wrapSquare wrapText="bothSides"/>
          <wp:docPr id="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675" cy="355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903F4" w:rsidRDefault="009903F4"/>
  <w:p w:rsidR="009903F4" w:rsidRDefault="009903F4"/>
  <w:p w:rsidR="009903F4" w:rsidRDefault="009903F4"/>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1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4"/>
    </w:tblGrid>
    <w:tr w:rsidR="009903F4" w:rsidRPr="00EA0C60" w:rsidTr="00476213">
      <w:trPr>
        <w:trHeight w:val="109"/>
      </w:trPr>
      <w:tc>
        <w:tcPr>
          <w:tcW w:w="5000" w:type="pct"/>
        </w:tcPr>
        <w:p w:rsidR="009903F4" w:rsidRPr="005A2FD9" w:rsidRDefault="009903F4" w:rsidP="009F1DF7">
          <w:pPr>
            <w:pStyle w:val="EFSAShorttitle"/>
          </w:pPr>
          <w:r w:rsidRPr="005A2FD9">
            <w:rPr>
              <w:noProof/>
              <w:sz w:val="2"/>
              <w:szCs w:val="2"/>
            </w:rPr>
            <w:drawing>
              <wp:anchor distT="0" distB="0" distL="114300" distR="114300" simplePos="0" relativeHeight="251660288" behindDoc="0" locked="0" layoutInCell="1" allowOverlap="1" wp14:anchorId="109220B2" wp14:editId="50FD02C3">
                <wp:simplePos x="0" y="0"/>
                <wp:positionH relativeFrom="column">
                  <wp:posOffset>5125449</wp:posOffset>
                </wp:positionH>
                <wp:positionV relativeFrom="paragraph">
                  <wp:posOffset>-194310</wp:posOffset>
                </wp:positionV>
                <wp:extent cx="608088" cy="340348"/>
                <wp:effectExtent l="0" t="0" r="1905" b="317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SA supportingPublications logo.png"/>
                        <pic:cNvPicPr/>
                      </pic:nvPicPr>
                      <pic:blipFill rotWithShape="1">
                        <a:blip r:embed="rId1" cstate="print">
                          <a:extLst>
                            <a:ext uri="{28A0092B-C50C-407E-A947-70E740481C1C}">
                              <a14:useLocalDpi xmlns:a14="http://schemas.microsoft.com/office/drawing/2010/main" val="0"/>
                            </a:ext>
                          </a:extLst>
                        </a:blip>
                        <a:srcRect t="-1" b="5528"/>
                        <a:stretch/>
                      </pic:blipFill>
                      <pic:spPr bwMode="auto">
                        <a:xfrm>
                          <a:off x="0" y="0"/>
                          <a:ext cx="608088" cy="3403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1F23">
            <w:t xml:space="preserve">Annex C </w:t>
          </w:r>
          <w:r w:rsidR="00E55CDE">
            <w:t>Information sheet 1.0</w:t>
          </w:r>
          <w:r w:rsidR="009F1DF7">
            <w:t>6</w:t>
          </w:r>
          <w:r w:rsidR="00E55CDE">
            <w:t xml:space="preserve"> </w:t>
          </w:r>
          <w:r w:rsidR="009F1DF7">
            <w:t>Soil treatment</w:t>
          </w:r>
        </w:p>
      </w:tc>
    </w:tr>
    <w:tr w:rsidR="009903F4" w:rsidRPr="00EA0C60" w:rsidTr="00476213">
      <w:trPr>
        <w:trHeight w:val="109"/>
      </w:trPr>
      <w:tc>
        <w:tcPr>
          <w:tcW w:w="5000" w:type="pct"/>
        </w:tcPr>
        <w:p w:rsidR="009903F4" w:rsidRPr="00EA0C60" w:rsidRDefault="009903F4" w:rsidP="00476213">
          <w:pPr>
            <w:pStyle w:val="EFSAShorttitle"/>
            <w:rPr>
              <w:noProof/>
              <w:sz w:val="2"/>
              <w:szCs w:val="2"/>
            </w:rPr>
          </w:pPr>
          <w:r w:rsidRPr="00EA0C60">
            <w:rPr>
              <w:noProof/>
              <w:sz w:val="2"/>
              <w:szCs w:val="2"/>
            </w:rPr>
            <w:drawing>
              <wp:anchor distT="0" distB="0" distL="114300" distR="114300" simplePos="0" relativeHeight="251658240" behindDoc="0" locked="0" layoutInCell="1" allowOverlap="1" wp14:anchorId="3DAFFC81" wp14:editId="2376B4A3">
                <wp:simplePos x="0" y="0"/>
                <wp:positionH relativeFrom="margin">
                  <wp:posOffset>76</wp:posOffset>
                </wp:positionH>
                <wp:positionV relativeFrom="paragraph">
                  <wp:posOffset>15875</wp:posOffset>
                </wp:positionV>
                <wp:extent cx="5759450" cy="35560"/>
                <wp:effectExtent l="0" t="0" r="0" b="254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footer-portrait-01.jpg"/>
                        <pic:cNvPicPr/>
                      </pic:nvPicPr>
                      <pic:blipFill>
                        <a:blip r:embed="rId2">
                          <a:extLst>
                            <a:ext uri="{28A0092B-C50C-407E-A947-70E740481C1C}">
                              <a14:useLocalDpi xmlns:a14="http://schemas.microsoft.com/office/drawing/2010/main" val="0"/>
                            </a:ext>
                          </a:extLst>
                        </a:blip>
                        <a:stretch>
                          <a:fillRect/>
                        </a:stretch>
                      </pic:blipFill>
                      <pic:spPr>
                        <a:xfrm>
                          <a:off x="0" y="0"/>
                          <a:ext cx="5759450" cy="35560"/>
                        </a:xfrm>
                        <a:prstGeom prst="rect">
                          <a:avLst/>
                        </a:prstGeom>
                      </pic:spPr>
                    </pic:pic>
                  </a:graphicData>
                </a:graphic>
                <wp14:sizeRelH relativeFrom="margin">
                  <wp14:pctWidth>0</wp14:pctWidth>
                </wp14:sizeRelH>
                <wp14:sizeRelV relativeFrom="margin">
                  <wp14:pctHeight>0</wp14:pctHeight>
                </wp14:sizeRelV>
              </wp:anchor>
            </w:drawing>
          </w:r>
        </w:p>
      </w:tc>
    </w:tr>
  </w:tbl>
  <w:p w:rsidR="009903F4" w:rsidRPr="002623C1" w:rsidRDefault="00AC2BE3" w:rsidP="00EA0C60">
    <w:pPr>
      <w:pStyle w:val="Header"/>
      <w:suppressLineNumbers w:val="0"/>
      <w:suppressAutoHyphens w:val="0"/>
      <w:rPr>
        <w:sz w:val="2"/>
        <w:szCs w:val="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8692" o:spid="_x0000_s2067" type="#_x0000_t136" style="position:absolute;margin-left:0;margin-top:0;width:399.6pt;height:239.75pt;rotation:315;z-index:-2516500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3F4" w:rsidRDefault="00AC2BE3">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8690" o:spid="_x0000_s2064" type="#_x0000_t136" style="position:absolute;margin-left:0;margin-top:0;width:399.6pt;height:239.75pt;rotation:315;z-index:-2516520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C40FFE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40B74"/>
    <w:multiLevelType w:val="hybridMultilevel"/>
    <w:tmpl w:val="226605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3C7734"/>
    <w:multiLevelType w:val="multilevel"/>
    <w:tmpl w:val="74207EA0"/>
    <w:styleLink w:val="EFSAheadinglist"/>
    <w:lvl w:ilvl="0">
      <w:start w:val="1"/>
      <w:numFmt w:val="decimal"/>
      <w:pStyle w:val="EFSAHeading1"/>
      <w:lvlText w:val="%1."/>
      <w:lvlJc w:val="left"/>
      <w:pPr>
        <w:ind w:left="1021" w:hanging="1021"/>
      </w:pPr>
      <w:rPr>
        <w:rFonts w:hint="default"/>
      </w:rPr>
    </w:lvl>
    <w:lvl w:ilvl="1">
      <w:start w:val="1"/>
      <w:numFmt w:val="decimal"/>
      <w:pStyle w:val="EFSAHeading2"/>
      <w:lvlText w:val="%1.%2."/>
      <w:lvlJc w:val="left"/>
      <w:pPr>
        <w:ind w:left="1021" w:hanging="1021"/>
      </w:pPr>
      <w:rPr>
        <w:rFonts w:hint="default"/>
      </w:rPr>
    </w:lvl>
    <w:lvl w:ilvl="2">
      <w:start w:val="1"/>
      <w:numFmt w:val="decimal"/>
      <w:pStyle w:val="EFSAHeading3"/>
      <w:lvlText w:val="%1.%2.%3."/>
      <w:lvlJc w:val="left"/>
      <w:pPr>
        <w:ind w:left="1021" w:hanging="1021"/>
      </w:pPr>
      <w:rPr>
        <w:rFonts w:hint="default"/>
      </w:rPr>
    </w:lvl>
    <w:lvl w:ilvl="3">
      <w:start w:val="1"/>
      <w:numFmt w:val="decimal"/>
      <w:pStyle w:val="EFSAHeading4"/>
      <w:lvlText w:val="%1.%2.%3.%4."/>
      <w:lvlJc w:val="left"/>
      <w:pPr>
        <w:ind w:left="1021" w:hanging="1021"/>
      </w:pPr>
      <w:rPr>
        <w:rFonts w:hint="default"/>
      </w:rPr>
    </w:lvl>
    <w:lvl w:ilvl="4">
      <w:start w:val="1"/>
      <w:numFmt w:val="none"/>
      <w:pStyle w:val="EFSAHeading5"/>
      <w:suff w:val="nothing"/>
      <w:lvlText w:val=""/>
      <w:lvlJc w:val="left"/>
      <w:pPr>
        <w:ind w:left="0" w:firstLine="0"/>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3" w15:restartNumberingAfterBreak="0">
    <w:nsid w:val="14AD5D46"/>
    <w:multiLevelType w:val="hybridMultilevel"/>
    <w:tmpl w:val="22F8D150"/>
    <w:lvl w:ilvl="0" w:tplc="06288DF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E76A47"/>
    <w:multiLevelType w:val="multilevel"/>
    <w:tmpl w:val="A0CEA056"/>
    <w:lvl w:ilvl="0">
      <w:start w:val="1"/>
      <w:numFmt w:val="decimal"/>
      <w:lvlText w:val="%1."/>
      <w:lvlJc w:val="left"/>
      <w:pPr>
        <w:ind w:left="1021" w:hanging="1021"/>
      </w:pPr>
      <w:rPr>
        <w:rFonts w:hint="default"/>
      </w:rPr>
    </w:lvl>
    <w:lvl w:ilvl="1">
      <w:start w:val="1"/>
      <w:numFmt w:val="decimal"/>
      <w:lvlText w:val="%1.%2."/>
      <w:lvlJc w:val="left"/>
      <w:pPr>
        <w:ind w:left="1021" w:hanging="1021"/>
      </w:pPr>
      <w:rPr>
        <w:rFonts w:hint="default"/>
      </w:rPr>
    </w:lvl>
    <w:lvl w:ilvl="2">
      <w:start w:val="1"/>
      <w:numFmt w:val="decimal"/>
      <w:lvlText w:val="%1.%2.%3."/>
      <w:lvlJc w:val="left"/>
      <w:pPr>
        <w:ind w:left="1021" w:hanging="1021"/>
      </w:pPr>
      <w:rPr>
        <w:rFonts w:hint="default"/>
      </w:rPr>
    </w:lvl>
    <w:lvl w:ilvl="3">
      <w:start w:val="1"/>
      <w:numFmt w:val="decimal"/>
      <w:lvlText w:val="%1.%2.%3.%4."/>
      <w:lvlJc w:val="left"/>
      <w:pPr>
        <w:ind w:left="1021" w:hanging="1021"/>
      </w:pPr>
      <w:rPr>
        <w:rFonts w:hint="default"/>
      </w:rPr>
    </w:lvl>
    <w:lvl w:ilvl="4">
      <w:start w:val="1"/>
      <w:numFmt w:val="none"/>
      <w:suff w:val="nothing"/>
      <w:lvlText w:val=""/>
      <w:lvlJc w:val="left"/>
      <w:pPr>
        <w:ind w:left="0" w:firstLine="0"/>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5" w15:restartNumberingAfterBreak="0">
    <w:nsid w:val="2B8E26FC"/>
    <w:multiLevelType w:val="multilevel"/>
    <w:tmpl w:val="B422F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9970DE6"/>
    <w:multiLevelType w:val="hybridMultilevel"/>
    <w:tmpl w:val="F5AC5DE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3CDE628E"/>
    <w:multiLevelType w:val="multilevel"/>
    <w:tmpl w:val="8EEEE2FE"/>
    <w:styleLink w:val="EFSAListbullets"/>
    <w:lvl w:ilvl="0">
      <w:start w:val="1"/>
      <w:numFmt w:val="bullet"/>
      <w:lvlText w:val=""/>
      <w:lvlJc w:val="left"/>
      <w:pPr>
        <w:tabs>
          <w:tab w:val="num" w:pos="0"/>
        </w:tabs>
        <w:ind w:left="720" w:hanging="363"/>
      </w:pPr>
      <w:rPr>
        <w:rFonts w:ascii="Symbol" w:hAnsi="Symbol" w:hint="default"/>
      </w:rPr>
    </w:lvl>
    <w:lvl w:ilvl="1">
      <w:start w:val="1"/>
      <w:numFmt w:val="bullet"/>
      <w:lvlText w:val="–"/>
      <w:lvlJc w:val="left"/>
      <w:pPr>
        <w:tabs>
          <w:tab w:val="num" w:pos="357"/>
        </w:tabs>
        <w:ind w:left="1077" w:hanging="363"/>
      </w:pPr>
      <w:rPr>
        <w:rFonts w:ascii="Tahoma" w:hAnsi="Tahoma" w:hint="default"/>
        <w:caps w:val="0"/>
        <w:strike w:val="0"/>
        <w:dstrike w:val="0"/>
        <w:vanish w:val="0"/>
        <w:color w:val="auto"/>
        <w:sz w:val="20"/>
        <w:vertAlign w:val="baseline"/>
      </w:rPr>
    </w:lvl>
    <w:lvl w:ilvl="2">
      <w:start w:val="1"/>
      <w:numFmt w:val="bullet"/>
      <w:lvlText w:val="–"/>
      <w:lvlJc w:val="left"/>
      <w:pPr>
        <w:tabs>
          <w:tab w:val="num" w:pos="714"/>
        </w:tabs>
        <w:ind w:left="1434" w:hanging="363"/>
      </w:pPr>
      <w:rPr>
        <w:rFonts w:ascii="Tahoma" w:hAnsi="Tahoma" w:hint="default"/>
        <w:color w:val="auto"/>
        <w:sz w:val="20"/>
      </w:rPr>
    </w:lvl>
    <w:lvl w:ilvl="3">
      <w:start w:val="1"/>
      <w:numFmt w:val="bullet"/>
      <w:lvlText w:val="–"/>
      <w:lvlJc w:val="left"/>
      <w:pPr>
        <w:tabs>
          <w:tab w:val="num" w:pos="1071"/>
        </w:tabs>
        <w:ind w:left="1791" w:hanging="363"/>
      </w:pPr>
      <w:rPr>
        <w:rFonts w:ascii="Tahoma" w:hAnsi="Tahoma" w:hint="default"/>
        <w:color w:val="auto"/>
        <w:sz w:val="20"/>
      </w:rPr>
    </w:lvl>
    <w:lvl w:ilvl="4">
      <w:start w:val="1"/>
      <w:numFmt w:val="bullet"/>
      <w:lvlText w:val="–"/>
      <w:lvlJc w:val="left"/>
      <w:pPr>
        <w:tabs>
          <w:tab w:val="num" w:pos="1428"/>
        </w:tabs>
        <w:ind w:left="2148" w:hanging="363"/>
      </w:pPr>
      <w:rPr>
        <w:rFonts w:ascii="Tahoma" w:hAnsi="Tahoma" w:hint="default"/>
        <w:color w:val="auto"/>
        <w:sz w:val="20"/>
      </w:rPr>
    </w:lvl>
    <w:lvl w:ilvl="5">
      <w:start w:val="1"/>
      <w:numFmt w:val="bullet"/>
      <w:lvlText w:val="–"/>
      <w:lvlJc w:val="left"/>
      <w:pPr>
        <w:tabs>
          <w:tab w:val="num" w:pos="1785"/>
        </w:tabs>
        <w:ind w:left="2505" w:hanging="363"/>
      </w:pPr>
      <w:rPr>
        <w:rFonts w:ascii="Tahoma" w:hAnsi="Tahoma" w:hint="default"/>
        <w:color w:val="auto"/>
        <w:sz w:val="20"/>
      </w:rPr>
    </w:lvl>
    <w:lvl w:ilvl="6">
      <w:start w:val="1"/>
      <w:numFmt w:val="bullet"/>
      <w:lvlText w:val="–"/>
      <w:lvlJc w:val="left"/>
      <w:pPr>
        <w:tabs>
          <w:tab w:val="num" w:pos="2142"/>
        </w:tabs>
        <w:ind w:left="2862" w:hanging="363"/>
      </w:pPr>
      <w:rPr>
        <w:rFonts w:ascii="Tahoma" w:hAnsi="Tahoma" w:hint="default"/>
        <w:color w:val="auto"/>
        <w:sz w:val="20"/>
      </w:rPr>
    </w:lvl>
    <w:lvl w:ilvl="7">
      <w:start w:val="1"/>
      <w:numFmt w:val="bullet"/>
      <w:lvlText w:val="–"/>
      <w:lvlJc w:val="left"/>
      <w:pPr>
        <w:tabs>
          <w:tab w:val="num" w:pos="2499"/>
        </w:tabs>
        <w:ind w:left="3219" w:hanging="363"/>
      </w:pPr>
      <w:rPr>
        <w:rFonts w:ascii="Tahoma" w:hAnsi="Tahoma" w:hint="default"/>
        <w:color w:val="auto"/>
        <w:sz w:val="20"/>
      </w:rPr>
    </w:lvl>
    <w:lvl w:ilvl="8">
      <w:start w:val="1"/>
      <w:numFmt w:val="bullet"/>
      <w:lvlText w:val="–"/>
      <w:lvlJc w:val="left"/>
      <w:pPr>
        <w:tabs>
          <w:tab w:val="num" w:pos="2856"/>
        </w:tabs>
        <w:ind w:left="3576" w:hanging="363"/>
      </w:pPr>
      <w:rPr>
        <w:rFonts w:ascii="Tahoma" w:hAnsi="Tahoma" w:hint="default"/>
        <w:color w:val="auto"/>
        <w:sz w:val="20"/>
      </w:rPr>
    </w:lvl>
  </w:abstractNum>
  <w:abstractNum w:abstractNumId="8" w15:restartNumberingAfterBreak="0">
    <w:nsid w:val="42F912B8"/>
    <w:multiLevelType w:val="hybridMultilevel"/>
    <w:tmpl w:val="85487E1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6D21CDC"/>
    <w:multiLevelType w:val="hybridMultilevel"/>
    <w:tmpl w:val="FA10ED66"/>
    <w:lvl w:ilvl="0" w:tplc="EA8C86D6">
      <w:start w:val="1"/>
      <w:numFmt w:val="decimal"/>
      <w:pStyle w:val="EFSADocsprovided"/>
      <w:lvlText w:val="%1."/>
      <w:lvlJc w:val="left"/>
      <w:pPr>
        <w:tabs>
          <w:tab w:val="num" w:pos="567"/>
        </w:tabs>
        <w:ind w:left="567" w:hanging="56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4BBD6523"/>
    <w:multiLevelType w:val="hybridMultilevel"/>
    <w:tmpl w:val="0FBE2ED4"/>
    <w:lvl w:ilvl="0" w:tplc="AE06941E">
      <w:start w:val="1"/>
      <w:numFmt w:val="upperLetter"/>
      <w:lvlText w:val="Appendix %1 –"/>
      <w:lvlJc w:val="left"/>
      <w:pPr>
        <w:ind w:left="360" w:hanging="360"/>
      </w:pPr>
      <w:rPr>
        <w:rFonts w:ascii="Tahoma" w:hAnsi="Tahoma" w:hint="default"/>
        <w:b/>
        <w:i w:val="0"/>
        <w:sz w:val="24"/>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1" w15:restartNumberingAfterBreak="0">
    <w:nsid w:val="4D307082"/>
    <w:multiLevelType w:val="multilevel"/>
    <w:tmpl w:val="9EA212F4"/>
    <w:lvl w:ilvl="0">
      <w:start w:val="1"/>
      <w:numFmt w:val="upperLetter"/>
      <w:pStyle w:val="EFSAAppendixtitle"/>
      <w:lvlText w:val="Appendix %1 –"/>
      <w:lvlJc w:val="left"/>
      <w:pPr>
        <w:ind w:left="0" w:firstLine="0"/>
      </w:pPr>
      <w:rPr>
        <w:rFonts w:ascii="Tahoma" w:hAnsi="Tahoma" w:hint="default"/>
        <w:b/>
      </w:rPr>
    </w:lvl>
    <w:lvl w:ilvl="1">
      <w:start w:val="1"/>
      <w:numFmt w:val="decimal"/>
      <w:pStyle w:val="EFSAAppendixlevel1"/>
      <w:lvlText w:val="%1.%2."/>
      <w:lvlJc w:val="left"/>
      <w:pPr>
        <w:ind w:left="0" w:firstLine="0"/>
      </w:pPr>
      <w:rPr>
        <w:rFonts w:hint="default"/>
      </w:rPr>
    </w:lvl>
    <w:lvl w:ilvl="2">
      <w:start w:val="1"/>
      <w:numFmt w:val="decimal"/>
      <w:pStyle w:val="EFSAAppendixlevel2"/>
      <w:lvlText w:val="%1.%2.%3."/>
      <w:lvlJc w:val="left"/>
      <w:pPr>
        <w:ind w:left="0" w:firstLine="0"/>
      </w:pPr>
      <w:rPr>
        <w:rFonts w:hint="default"/>
      </w:rPr>
    </w:lvl>
    <w:lvl w:ilvl="3">
      <w:start w:val="1"/>
      <w:numFmt w:val="decimal"/>
      <w:pStyle w:val="EFSAAppendixlevel3"/>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50C734B1"/>
    <w:multiLevelType w:val="multilevel"/>
    <w:tmpl w:val="E06ACB7E"/>
    <w:lvl w:ilvl="0">
      <w:start w:val="1"/>
      <w:numFmt w:val="decimal"/>
      <w:lvlText w:val="%1."/>
      <w:lvlJc w:val="left"/>
      <w:pPr>
        <w:ind w:left="360" w:hanging="360"/>
      </w:pPr>
      <w:rPr>
        <w:rFonts w:hint="default"/>
        <w:b/>
        <w:i w:val="0"/>
        <w:color w:val="auto"/>
        <w:sz w:val="24"/>
      </w:rPr>
    </w:lvl>
    <w:lvl w:ilvl="1">
      <w:start w:val="1"/>
      <w:numFmt w:val="decimal"/>
      <w:lvlText w:val="%1.%2."/>
      <w:lvlJc w:val="left"/>
      <w:pPr>
        <w:ind w:left="1163" w:hanging="102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304" w:hanging="1304"/>
      </w:pPr>
      <w:rPr>
        <w:rFonts w:ascii="Tahoma" w:hAnsi="Tahoma" w:cs="Tahoma" w:hint="default"/>
        <w:b/>
        <w:i w:val="0"/>
        <w:color w:val="7F7F7F" w:themeColor="text1" w:themeTint="80"/>
        <w:sz w:val="22"/>
      </w:rPr>
    </w:lvl>
    <w:lvl w:ilvl="3">
      <w:start w:val="1"/>
      <w:numFmt w:val="decimal"/>
      <w:isLgl/>
      <w:lvlText w:val="%1.%2.%3.%4"/>
      <w:lvlJc w:val="left"/>
      <w:pPr>
        <w:ind w:left="1588" w:hanging="1588"/>
      </w:pPr>
      <w:rPr>
        <w:rFonts w:ascii="Verdana" w:hAnsi="Verdana" w:hint="default"/>
        <w:b w:val="0"/>
        <w:i w:val="0"/>
        <w:color w:val="auto"/>
        <w:sz w:val="20"/>
      </w:rPr>
    </w:lvl>
    <w:lvl w:ilvl="4">
      <w:start w:val="1"/>
      <w:numFmt w:val="decimal"/>
      <w:isLgl/>
      <w:lvlText w:val="%1.%2.%3.%4.%5"/>
      <w:lvlJc w:val="left"/>
      <w:pPr>
        <w:ind w:left="567" w:hanging="567"/>
      </w:pPr>
      <w:rPr>
        <w:rFonts w:hint="default"/>
      </w:rPr>
    </w:lvl>
    <w:lvl w:ilvl="5">
      <w:start w:val="1"/>
      <w:numFmt w:val="decimal"/>
      <w:isLgl/>
      <w:lvlText w:val="%1.%2.%3.%4.%5.%6"/>
      <w:lvlJc w:val="left"/>
      <w:pPr>
        <w:ind w:left="567" w:hanging="567"/>
      </w:pPr>
      <w:rPr>
        <w:rFonts w:hint="default"/>
      </w:rPr>
    </w:lvl>
    <w:lvl w:ilvl="6">
      <w:start w:val="1"/>
      <w:numFmt w:val="decimal"/>
      <w:isLgl/>
      <w:lvlText w:val="%1.%2.%3.%4.%5.%6.%7"/>
      <w:lvlJc w:val="left"/>
      <w:pPr>
        <w:ind w:left="567" w:hanging="567"/>
      </w:pPr>
      <w:rPr>
        <w:rFonts w:hint="default"/>
      </w:rPr>
    </w:lvl>
    <w:lvl w:ilvl="7">
      <w:start w:val="1"/>
      <w:numFmt w:val="decimal"/>
      <w:isLgl/>
      <w:lvlText w:val="%1.%2.%3.%4.%5.%6.%7.%8"/>
      <w:lvlJc w:val="left"/>
      <w:pPr>
        <w:ind w:left="567" w:hanging="567"/>
      </w:pPr>
      <w:rPr>
        <w:rFonts w:hint="default"/>
      </w:rPr>
    </w:lvl>
    <w:lvl w:ilvl="8">
      <w:start w:val="1"/>
      <w:numFmt w:val="decimal"/>
      <w:isLgl/>
      <w:lvlText w:val="%1.%2.%3.%4.%5.%6.%7.%8.%9"/>
      <w:lvlJc w:val="left"/>
      <w:pPr>
        <w:ind w:left="567" w:hanging="567"/>
      </w:pPr>
      <w:rPr>
        <w:rFonts w:hint="default"/>
      </w:rPr>
    </w:lvl>
  </w:abstractNum>
  <w:abstractNum w:abstractNumId="13" w15:restartNumberingAfterBreak="0">
    <w:nsid w:val="5741341D"/>
    <w:multiLevelType w:val="hybridMultilevel"/>
    <w:tmpl w:val="E2DCB8EA"/>
    <w:lvl w:ilvl="0" w:tplc="9C50387C">
      <w:start w:val="1"/>
      <w:numFmt w:val="decimal"/>
      <w:pStyle w:val="EFSAFiguretitle"/>
      <w:lvlText w:val="Figure %1: "/>
      <w:lvlJc w:val="left"/>
      <w:pPr>
        <w:ind w:left="720" w:hanging="360"/>
      </w:pPr>
      <w:rPr>
        <w:rFonts w:ascii="Tahoma" w:hAnsi="Tahoma" w:cs="Tahoma"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45278CB"/>
    <w:multiLevelType w:val="hybridMultilevel"/>
    <w:tmpl w:val="C680AB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55002F8"/>
    <w:multiLevelType w:val="hybridMultilevel"/>
    <w:tmpl w:val="1F4038FE"/>
    <w:lvl w:ilvl="0" w:tplc="56BE284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6157E15"/>
    <w:multiLevelType w:val="hybridMultilevel"/>
    <w:tmpl w:val="8054B7A4"/>
    <w:lvl w:ilvl="0" w:tplc="B748C7F6">
      <w:start w:val="1"/>
      <w:numFmt w:val="decimal"/>
      <w:pStyle w:val="EFSAListnumbere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829379E"/>
    <w:multiLevelType w:val="hybridMultilevel"/>
    <w:tmpl w:val="2156513E"/>
    <w:lvl w:ilvl="0" w:tplc="448035BE">
      <w:start w:val="1"/>
      <w:numFmt w:val="upperLetter"/>
      <w:pStyle w:val="EFSAAnnextitle"/>
      <w:lvlText w:val="Annex %1 –"/>
      <w:lvlJc w:val="left"/>
      <w:pPr>
        <w:ind w:left="360" w:hanging="360"/>
      </w:pPr>
      <w:rPr>
        <w:rFonts w:ascii="Tahoma" w:hAnsi="Tahoma" w:hint="default"/>
        <w:b/>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97A1D3C"/>
    <w:multiLevelType w:val="multilevel"/>
    <w:tmpl w:val="4BC06B12"/>
    <w:lvl w:ilvl="0">
      <w:start w:val="1"/>
      <w:numFmt w:val="upperLetter"/>
      <w:lvlText w:val="Appendix %1 –"/>
      <w:lvlJc w:val="left"/>
      <w:pPr>
        <w:ind w:left="0" w:firstLine="0"/>
      </w:pPr>
      <w:rPr>
        <w:rFonts w:ascii="Tahoma" w:hAnsi="Tahoma" w:hint="default"/>
        <w: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pStyle w:val="EFSAAppendixlevel4"/>
      <w:lvlText w:val="%1.%2.%3.%4.%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9" w15:restartNumberingAfterBreak="0">
    <w:nsid w:val="79C24798"/>
    <w:multiLevelType w:val="hybridMultilevel"/>
    <w:tmpl w:val="64DA7824"/>
    <w:lvl w:ilvl="0" w:tplc="9D60DA34">
      <w:start w:val="1"/>
      <w:numFmt w:val="decimal"/>
      <w:pStyle w:val="EFSATabletitle"/>
      <w:lvlText w:val="Table %1: "/>
      <w:lvlJc w:val="left"/>
      <w:pPr>
        <w:ind w:left="786" w:hanging="360"/>
      </w:pPr>
      <w:rPr>
        <w:rFonts w:ascii="Tahoma" w:hAnsi="Tahoma" w:cs="Tahoma"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0" w15:restartNumberingAfterBreak="0">
    <w:nsid w:val="7D34036A"/>
    <w:multiLevelType w:val="multilevel"/>
    <w:tmpl w:val="756C11F0"/>
    <w:lvl w:ilvl="0">
      <w:start w:val="1"/>
      <w:numFmt w:val="bullet"/>
      <w:pStyle w:val="EFSABullet1"/>
      <w:lvlText w:val=""/>
      <w:lvlJc w:val="left"/>
      <w:pPr>
        <w:tabs>
          <w:tab w:val="num" w:pos="0"/>
        </w:tabs>
        <w:ind w:left="720" w:hanging="360"/>
      </w:pPr>
      <w:rPr>
        <w:rFonts w:ascii="Symbol" w:hAnsi="Symbol" w:hint="default"/>
      </w:rPr>
    </w:lvl>
    <w:lvl w:ilvl="1">
      <w:start w:val="1"/>
      <w:numFmt w:val="bullet"/>
      <w:pStyle w:val="EFSABullet2"/>
      <w:lvlText w:val="–"/>
      <w:lvlJc w:val="left"/>
      <w:pPr>
        <w:tabs>
          <w:tab w:val="num" w:pos="0"/>
        </w:tabs>
        <w:ind w:left="1440" w:hanging="360"/>
      </w:pPr>
      <w:rPr>
        <w:rFonts w:ascii="Tahoma" w:hAnsi="Tahoma" w:hint="default"/>
        <w:color w:val="auto"/>
        <w:sz w:val="20"/>
      </w:rPr>
    </w:lvl>
    <w:lvl w:ilvl="2">
      <w:start w:val="1"/>
      <w:numFmt w:val="bullet"/>
      <w:lvlText w:val="–"/>
      <w:lvlJc w:val="left"/>
      <w:pPr>
        <w:tabs>
          <w:tab w:val="num" w:pos="0"/>
        </w:tabs>
        <w:ind w:left="2160" w:hanging="360"/>
      </w:pPr>
      <w:rPr>
        <w:rFonts w:ascii="Tahoma" w:hAnsi="Tahoma" w:hint="default"/>
        <w:color w:val="auto"/>
        <w:sz w:val="20"/>
      </w:rPr>
    </w:lvl>
    <w:lvl w:ilvl="3">
      <w:start w:val="1"/>
      <w:numFmt w:val="bullet"/>
      <w:lvlText w:val="–"/>
      <w:lvlJc w:val="left"/>
      <w:pPr>
        <w:tabs>
          <w:tab w:val="num" w:pos="0"/>
        </w:tabs>
        <w:ind w:left="2880" w:hanging="360"/>
      </w:pPr>
      <w:rPr>
        <w:rFonts w:ascii="Tahoma" w:hAnsi="Tahoma" w:hint="default"/>
        <w:color w:val="auto"/>
        <w:sz w:val="20"/>
      </w:rPr>
    </w:lvl>
    <w:lvl w:ilvl="4">
      <w:start w:val="1"/>
      <w:numFmt w:val="bullet"/>
      <w:lvlText w:val="–"/>
      <w:lvlJc w:val="left"/>
      <w:pPr>
        <w:tabs>
          <w:tab w:val="num" w:pos="0"/>
        </w:tabs>
        <w:ind w:left="3600" w:hanging="360"/>
      </w:pPr>
      <w:rPr>
        <w:rFonts w:ascii="Tahoma" w:hAnsi="Tahoma" w:hint="default"/>
        <w:color w:val="auto"/>
        <w:sz w:val="20"/>
      </w:rPr>
    </w:lvl>
    <w:lvl w:ilvl="5">
      <w:start w:val="1"/>
      <w:numFmt w:val="bullet"/>
      <w:lvlText w:val="–"/>
      <w:lvlJc w:val="left"/>
      <w:pPr>
        <w:tabs>
          <w:tab w:val="num" w:pos="0"/>
        </w:tabs>
        <w:ind w:left="4320" w:hanging="360"/>
      </w:pPr>
      <w:rPr>
        <w:rFonts w:ascii="Tahoma" w:hAnsi="Tahoma" w:hint="default"/>
        <w:color w:val="auto"/>
        <w:sz w:val="20"/>
      </w:rPr>
    </w:lvl>
    <w:lvl w:ilvl="6">
      <w:start w:val="1"/>
      <w:numFmt w:val="bullet"/>
      <w:lvlText w:val="–"/>
      <w:lvlJc w:val="left"/>
      <w:pPr>
        <w:tabs>
          <w:tab w:val="num" w:pos="0"/>
        </w:tabs>
        <w:ind w:left="5040" w:hanging="360"/>
      </w:pPr>
      <w:rPr>
        <w:rFonts w:ascii="Tahoma" w:hAnsi="Tahoma" w:hint="default"/>
        <w:color w:val="auto"/>
        <w:sz w:val="20"/>
      </w:rPr>
    </w:lvl>
    <w:lvl w:ilvl="7">
      <w:start w:val="1"/>
      <w:numFmt w:val="bullet"/>
      <w:lvlText w:val="–"/>
      <w:lvlJc w:val="left"/>
      <w:pPr>
        <w:tabs>
          <w:tab w:val="num" w:pos="0"/>
        </w:tabs>
        <w:ind w:left="5760" w:hanging="360"/>
      </w:pPr>
      <w:rPr>
        <w:rFonts w:ascii="Tahoma" w:hAnsi="Tahoma" w:cs="Courier New" w:hint="default"/>
        <w:color w:val="auto"/>
        <w:sz w:val="20"/>
      </w:rPr>
    </w:lvl>
    <w:lvl w:ilvl="8">
      <w:start w:val="1"/>
      <w:numFmt w:val="bullet"/>
      <w:lvlText w:val="–"/>
      <w:lvlJc w:val="left"/>
      <w:pPr>
        <w:tabs>
          <w:tab w:val="num" w:pos="0"/>
        </w:tabs>
        <w:ind w:left="6480" w:hanging="360"/>
      </w:pPr>
      <w:rPr>
        <w:rFonts w:ascii="Tahoma" w:hAnsi="Tahoma" w:hint="default"/>
        <w:color w:val="auto"/>
        <w:sz w:val="20"/>
      </w:rPr>
    </w:lvl>
  </w:abstractNum>
  <w:abstractNum w:abstractNumId="21" w15:restartNumberingAfterBreak="0">
    <w:nsid w:val="7E6D7BD3"/>
    <w:multiLevelType w:val="hybridMultilevel"/>
    <w:tmpl w:val="3BCE9EB8"/>
    <w:lvl w:ilvl="0" w:tplc="BF8E3CD6">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20"/>
  </w:num>
  <w:num w:numId="3">
    <w:abstractNumId w:val="20"/>
  </w:num>
  <w:num w:numId="4">
    <w:abstractNumId w:val="9"/>
  </w:num>
  <w:num w:numId="5">
    <w:abstractNumId w:val="15"/>
  </w:num>
  <w:num w:numId="6">
    <w:abstractNumId w:val="13"/>
  </w:num>
  <w:num w:numId="7">
    <w:abstractNumId w:val="12"/>
  </w:num>
  <w:num w:numId="8">
    <w:abstractNumId w:val="12"/>
  </w:num>
  <w:num w:numId="9">
    <w:abstractNumId w:val="12"/>
  </w:num>
  <w:num w:numId="10">
    <w:abstractNumId w:val="7"/>
  </w:num>
  <w:num w:numId="11">
    <w:abstractNumId w:val="16"/>
  </w:num>
  <w:num w:numId="12">
    <w:abstractNumId w:val="19"/>
  </w:num>
  <w:num w:numId="13">
    <w:abstractNumId w:val="15"/>
    <w:lvlOverride w:ilvl="0">
      <w:startOverride w:val="1"/>
    </w:lvlOverride>
  </w:num>
  <w:num w:numId="14">
    <w:abstractNumId w:val="17"/>
  </w:num>
  <w:num w:numId="15">
    <w:abstractNumId w:val="17"/>
  </w:num>
  <w:num w:numId="16">
    <w:abstractNumId w:val="11"/>
  </w:num>
  <w:num w:numId="17">
    <w:abstractNumId w:val="11"/>
  </w:num>
  <w:num w:numId="18">
    <w:abstractNumId w:val="11"/>
  </w:num>
  <w:num w:numId="19">
    <w:abstractNumId w:val="18"/>
  </w:num>
  <w:num w:numId="20">
    <w:abstractNumId w:val="11"/>
  </w:num>
  <w:num w:numId="21">
    <w:abstractNumId w:val="20"/>
  </w:num>
  <w:num w:numId="22">
    <w:abstractNumId w:val="20"/>
  </w:num>
  <w:num w:numId="23">
    <w:abstractNumId w:val="9"/>
  </w:num>
  <w:num w:numId="24">
    <w:abstractNumId w:val="13"/>
  </w:num>
  <w:num w:numId="25">
    <w:abstractNumId w:val="4"/>
  </w:num>
  <w:num w:numId="26">
    <w:abstractNumId w:val="4"/>
  </w:num>
  <w:num w:numId="27">
    <w:abstractNumId w:val="4"/>
  </w:num>
  <w:num w:numId="28">
    <w:abstractNumId w:val="4"/>
  </w:num>
  <w:num w:numId="29">
    <w:abstractNumId w:val="4"/>
  </w:num>
  <w:num w:numId="30">
    <w:abstractNumId w:val="2"/>
  </w:num>
  <w:num w:numId="31">
    <w:abstractNumId w:val="7"/>
  </w:num>
  <w:num w:numId="32">
    <w:abstractNumId w:val="16"/>
  </w:num>
  <w:num w:numId="33">
    <w:abstractNumId w:val="19"/>
  </w:num>
  <w:num w:numId="34">
    <w:abstractNumId w:val="3"/>
  </w:num>
  <w:num w:numId="35">
    <w:abstractNumId w:val="8"/>
  </w:num>
  <w:num w:numId="36">
    <w:abstractNumId w:val="0"/>
  </w:num>
  <w:num w:numId="37">
    <w:abstractNumId w:val="1"/>
  </w:num>
  <w:num w:numId="38">
    <w:abstractNumId w:val="14"/>
  </w:num>
  <w:num w:numId="39">
    <w:abstractNumId w:val="21"/>
  </w:num>
  <w:num w:numId="40">
    <w:abstractNumId w:val="6"/>
  </w:num>
  <w:num w:numId="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stylePaneSortMethod w:val="0000"/>
  <w:defaultTabStop w:val="720"/>
  <w:characterSpacingControl w:val="doNotCompress"/>
  <w:hdrShapeDefaults>
    <o:shapedefaults v:ext="edit" spidmax="206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EC6"/>
    <w:rsid w:val="000061DA"/>
    <w:rsid w:val="00070BDC"/>
    <w:rsid w:val="0007363C"/>
    <w:rsid w:val="00076956"/>
    <w:rsid w:val="000A44D1"/>
    <w:rsid w:val="001219D4"/>
    <w:rsid w:val="00136FF5"/>
    <w:rsid w:val="00173032"/>
    <w:rsid w:val="001A04E6"/>
    <w:rsid w:val="001D1EB5"/>
    <w:rsid w:val="001D7465"/>
    <w:rsid w:val="00202622"/>
    <w:rsid w:val="00214C6C"/>
    <w:rsid w:val="00244EC6"/>
    <w:rsid w:val="002623C1"/>
    <w:rsid w:val="00291899"/>
    <w:rsid w:val="003234E9"/>
    <w:rsid w:val="00324631"/>
    <w:rsid w:val="00347022"/>
    <w:rsid w:val="00357734"/>
    <w:rsid w:val="003C67FB"/>
    <w:rsid w:val="003F5C9D"/>
    <w:rsid w:val="00416E18"/>
    <w:rsid w:val="004701A8"/>
    <w:rsid w:val="004733E6"/>
    <w:rsid w:val="00476213"/>
    <w:rsid w:val="004C0DDD"/>
    <w:rsid w:val="004C252B"/>
    <w:rsid w:val="004E2764"/>
    <w:rsid w:val="004F4B41"/>
    <w:rsid w:val="0053143B"/>
    <w:rsid w:val="0054686C"/>
    <w:rsid w:val="005A2FD9"/>
    <w:rsid w:val="005A67A2"/>
    <w:rsid w:val="005C6921"/>
    <w:rsid w:val="005D60FF"/>
    <w:rsid w:val="00623E9C"/>
    <w:rsid w:val="00630088"/>
    <w:rsid w:val="00633AFB"/>
    <w:rsid w:val="00646303"/>
    <w:rsid w:val="006B1602"/>
    <w:rsid w:val="006B50C2"/>
    <w:rsid w:val="00742BAA"/>
    <w:rsid w:val="00752B9F"/>
    <w:rsid w:val="007A3AFE"/>
    <w:rsid w:val="007D4655"/>
    <w:rsid w:val="007F265F"/>
    <w:rsid w:val="00856117"/>
    <w:rsid w:val="00876D6E"/>
    <w:rsid w:val="008C6AEA"/>
    <w:rsid w:val="008E25A3"/>
    <w:rsid w:val="008F4828"/>
    <w:rsid w:val="009454DA"/>
    <w:rsid w:val="00971365"/>
    <w:rsid w:val="00973582"/>
    <w:rsid w:val="009903F4"/>
    <w:rsid w:val="009943D4"/>
    <w:rsid w:val="009A09AC"/>
    <w:rsid w:val="009A4CAC"/>
    <w:rsid w:val="009F1DF7"/>
    <w:rsid w:val="00A0306B"/>
    <w:rsid w:val="00A70542"/>
    <w:rsid w:val="00A9448C"/>
    <w:rsid w:val="00AA0540"/>
    <w:rsid w:val="00AB5291"/>
    <w:rsid w:val="00AC2BE3"/>
    <w:rsid w:val="00AD5912"/>
    <w:rsid w:val="00B15380"/>
    <w:rsid w:val="00B453C5"/>
    <w:rsid w:val="00B75051"/>
    <w:rsid w:val="00B83166"/>
    <w:rsid w:val="00B926E4"/>
    <w:rsid w:val="00BA5593"/>
    <w:rsid w:val="00C107A0"/>
    <w:rsid w:val="00C22BD4"/>
    <w:rsid w:val="00C35B74"/>
    <w:rsid w:val="00C630A5"/>
    <w:rsid w:val="00C775FE"/>
    <w:rsid w:val="00CA330F"/>
    <w:rsid w:val="00CB13F3"/>
    <w:rsid w:val="00D22CAF"/>
    <w:rsid w:val="00D4470D"/>
    <w:rsid w:val="00D70A8C"/>
    <w:rsid w:val="00D72DE6"/>
    <w:rsid w:val="00DA3EC3"/>
    <w:rsid w:val="00DC027A"/>
    <w:rsid w:val="00DF33E3"/>
    <w:rsid w:val="00E55CDE"/>
    <w:rsid w:val="00E90D88"/>
    <w:rsid w:val="00E96646"/>
    <w:rsid w:val="00EA0C60"/>
    <w:rsid w:val="00EB032C"/>
    <w:rsid w:val="00EB3D7A"/>
    <w:rsid w:val="00EE15C9"/>
    <w:rsid w:val="00F3500B"/>
    <w:rsid w:val="00FA5CBB"/>
    <w:rsid w:val="00FB384F"/>
    <w:rsid w:val="00FE1F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1"/>
    </o:shapelayout>
  </w:shapeDefaults>
  <w:decimalSymbol w:val="."/>
  <w:listSeparator w:val=","/>
  <w14:docId w14:val="38160D0D"/>
  <w15:docId w15:val="{91B52CE7-9097-4E75-A434-B68EFBBA9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99"/>
    <w:semiHidden/>
    <w:qFormat/>
    <w:rsid w:val="00416E18"/>
  </w:style>
  <w:style w:type="paragraph" w:styleId="Heading1">
    <w:name w:val="heading 1"/>
    <w:basedOn w:val="Normal"/>
    <w:next w:val="Normal"/>
    <w:link w:val="Heading1Char"/>
    <w:uiPriority w:val="9"/>
    <w:semiHidden/>
    <w:qFormat/>
    <w:rsid w:val="00416E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qFormat/>
    <w:rsid w:val="00416E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qFormat/>
    <w:rsid w:val="00416E1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qFormat/>
    <w:rsid w:val="00416E1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FSAAppendixtitle">
    <w:name w:val="EFSA_Appendix title"/>
    <w:next w:val="EFSABodytext"/>
    <w:link w:val="EFSAAppendixtitleChar"/>
    <w:qFormat/>
    <w:rsid w:val="00416E18"/>
    <w:pPr>
      <w:keepNext/>
      <w:numPr>
        <w:numId w:val="20"/>
      </w:numPr>
      <w:suppressLineNumbers/>
      <w:suppressAutoHyphens/>
      <w:spacing w:before="240" w:after="120" w:line="240" w:lineRule="auto"/>
      <w:jc w:val="both"/>
      <w:outlineLvl w:val="0"/>
    </w:pPr>
    <w:rPr>
      <w:rFonts w:ascii="Tahoma" w:eastAsia="Times New Roman" w:hAnsi="Tahoma" w:cs="Mangal"/>
      <w:b/>
      <w:iCs/>
      <w:sz w:val="24"/>
      <w:szCs w:val="24"/>
      <w:lang w:eastAsia="en-GB"/>
    </w:rPr>
  </w:style>
  <w:style w:type="character" w:customStyle="1" w:styleId="EFSAAppendixtitleChar">
    <w:name w:val="EFSA_Appendix title Char"/>
    <w:basedOn w:val="DefaultParagraphFont"/>
    <w:link w:val="EFSAAppendixtitle"/>
    <w:rsid w:val="00416E18"/>
    <w:rPr>
      <w:rFonts w:ascii="Tahoma" w:eastAsia="Times New Roman" w:hAnsi="Tahoma" w:cs="Mangal"/>
      <w:b/>
      <w:iCs/>
      <w:sz w:val="24"/>
      <w:szCs w:val="24"/>
      <w:lang w:eastAsia="en-GB"/>
    </w:rPr>
  </w:style>
  <w:style w:type="paragraph" w:styleId="Caption">
    <w:name w:val="caption"/>
    <w:basedOn w:val="Normal"/>
    <w:next w:val="Normal"/>
    <w:uiPriority w:val="35"/>
    <w:semiHidden/>
    <w:qFormat/>
    <w:rsid w:val="00416E18"/>
    <w:pPr>
      <w:spacing w:line="240" w:lineRule="auto"/>
    </w:pPr>
    <w:rPr>
      <w:b/>
      <w:bCs/>
      <w:color w:val="4F81BD" w:themeColor="accent1"/>
      <w:sz w:val="18"/>
      <w:szCs w:val="18"/>
    </w:rPr>
  </w:style>
  <w:style w:type="paragraph" w:customStyle="1" w:styleId="EFSAHeading1nonumber">
    <w:name w:val="EFSA_Heading 1 (no number)"/>
    <w:next w:val="EFSABodytext"/>
    <w:link w:val="EFSAHeading1nonumberChar"/>
    <w:qFormat/>
    <w:rsid w:val="00416E18"/>
    <w:pPr>
      <w:keepNext/>
      <w:spacing w:before="240" w:after="120" w:line="240" w:lineRule="auto"/>
      <w:outlineLvl w:val="0"/>
    </w:pPr>
    <w:rPr>
      <w:rFonts w:ascii="Tahoma" w:hAnsi="Tahoma"/>
      <w:b/>
      <w:sz w:val="24"/>
      <w:szCs w:val="24"/>
    </w:rPr>
  </w:style>
  <w:style w:type="character" w:customStyle="1" w:styleId="EFSAHeading1nonumberChar">
    <w:name w:val="EFSA_Heading 1 (no number) Char"/>
    <w:basedOn w:val="DefaultParagraphFont"/>
    <w:link w:val="EFSAHeading1nonumber"/>
    <w:rsid w:val="00416E18"/>
    <w:rPr>
      <w:rFonts w:ascii="Tahoma" w:hAnsi="Tahoma"/>
      <w:b/>
      <w:sz w:val="24"/>
      <w:szCs w:val="24"/>
    </w:rPr>
  </w:style>
  <w:style w:type="paragraph" w:customStyle="1" w:styleId="EFSAAuthor">
    <w:name w:val="EFSA_Author"/>
    <w:next w:val="EFSABodytext"/>
    <w:link w:val="EFSAAuthorChar"/>
    <w:qFormat/>
    <w:rsid w:val="00C35B74"/>
    <w:pPr>
      <w:spacing w:before="240" w:after="120" w:line="240" w:lineRule="auto"/>
      <w:jc w:val="center"/>
    </w:pPr>
    <w:rPr>
      <w:rFonts w:ascii="Tahoma" w:hAnsi="Tahoma"/>
      <w:b/>
      <w:sz w:val="24"/>
      <w:szCs w:val="24"/>
    </w:rPr>
  </w:style>
  <w:style w:type="character" w:customStyle="1" w:styleId="EFSAAuthorChar">
    <w:name w:val="EFSA_Author Char"/>
    <w:basedOn w:val="EFSAHeading1nonumberChar"/>
    <w:link w:val="EFSAAuthor"/>
    <w:rsid w:val="00C35B74"/>
    <w:rPr>
      <w:rFonts w:ascii="Tahoma" w:hAnsi="Tahoma"/>
      <w:b/>
      <w:sz w:val="24"/>
      <w:szCs w:val="24"/>
    </w:rPr>
  </w:style>
  <w:style w:type="paragraph" w:customStyle="1" w:styleId="EFSABodytext">
    <w:name w:val="EFSA_Body text"/>
    <w:basedOn w:val="Normal"/>
    <w:link w:val="EFSABodytextChar"/>
    <w:qFormat/>
    <w:rsid w:val="00416E18"/>
    <w:pPr>
      <w:spacing w:after="120" w:line="240" w:lineRule="auto"/>
      <w:jc w:val="both"/>
    </w:pPr>
    <w:rPr>
      <w:rFonts w:ascii="Tahoma" w:hAnsi="Tahoma"/>
      <w:sz w:val="20"/>
      <w:szCs w:val="20"/>
    </w:rPr>
  </w:style>
  <w:style w:type="character" w:customStyle="1" w:styleId="EFSABodytextChar">
    <w:name w:val="EFSA_Body text Char"/>
    <w:basedOn w:val="DefaultParagraphFont"/>
    <w:link w:val="EFSABodytext"/>
    <w:rsid w:val="00416E18"/>
    <w:rPr>
      <w:rFonts w:ascii="Tahoma" w:hAnsi="Tahoma"/>
      <w:sz w:val="20"/>
      <w:szCs w:val="20"/>
    </w:rPr>
  </w:style>
  <w:style w:type="paragraph" w:customStyle="1" w:styleId="EFSABullet1">
    <w:name w:val="EFSA_Bullet 1"/>
    <w:basedOn w:val="EFSABodytext"/>
    <w:link w:val="EFSABullet1Char"/>
    <w:qFormat/>
    <w:rsid w:val="00416E18"/>
    <w:pPr>
      <w:numPr>
        <w:numId w:val="22"/>
      </w:numPr>
    </w:pPr>
  </w:style>
  <w:style w:type="character" w:customStyle="1" w:styleId="EFSABullet1Char">
    <w:name w:val="EFSA_Bullet 1 Char"/>
    <w:basedOn w:val="EFSABodytextChar"/>
    <w:link w:val="EFSABullet1"/>
    <w:rsid w:val="00416E18"/>
    <w:rPr>
      <w:rFonts w:ascii="Tahoma" w:hAnsi="Tahoma"/>
      <w:sz w:val="20"/>
      <w:szCs w:val="20"/>
    </w:rPr>
  </w:style>
  <w:style w:type="paragraph" w:customStyle="1" w:styleId="EFSABullet2">
    <w:name w:val="EFSA_Bullet 2"/>
    <w:basedOn w:val="EFSABodytext"/>
    <w:link w:val="EFSABullet2Char"/>
    <w:qFormat/>
    <w:rsid w:val="00416E18"/>
    <w:pPr>
      <w:numPr>
        <w:ilvl w:val="1"/>
        <w:numId w:val="22"/>
      </w:numPr>
    </w:pPr>
  </w:style>
  <w:style w:type="character" w:customStyle="1" w:styleId="EFSABullet2Char">
    <w:name w:val="EFSA_Bullet 2 Char"/>
    <w:basedOn w:val="EFSABodytextChar"/>
    <w:link w:val="EFSABullet2"/>
    <w:rsid w:val="00416E18"/>
    <w:rPr>
      <w:rFonts w:ascii="Tahoma" w:hAnsi="Tahoma"/>
      <w:sz w:val="20"/>
      <w:szCs w:val="20"/>
    </w:rPr>
  </w:style>
  <w:style w:type="paragraph" w:customStyle="1" w:styleId="EFSADates">
    <w:name w:val="EFSA_Dates"/>
    <w:link w:val="EFSADatesChar"/>
    <w:qFormat/>
    <w:rsid w:val="00416E18"/>
    <w:pPr>
      <w:spacing w:before="120" w:after="0" w:line="240" w:lineRule="auto"/>
    </w:pPr>
    <w:rPr>
      <w:rFonts w:ascii="Calibri" w:hAnsi="Calibri"/>
      <w:sz w:val="18"/>
      <w:lang w:val="en-US"/>
    </w:rPr>
  </w:style>
  <w:style w:type="character" w:customStyle="1" w:styleId="EFSADatesChar">
    <w:name w:val="EFSA_Dates Char"/>
    <w:basedOn w:val="DefaultParagraphFont"/>
    <w:link w:val="EFSADates"/>
    <w:rsid w:val="00416E18"/>
    <w:rPr>
      <w:rFonts w:ascii="Calibri" w:hAnsi="Calibri"/>
      <w:sz w:val="18"/>
      <w:lang w:val="en-US"/>
    </w:rPr>
  </w:style>
  <w:style w:type="paragraph" w:customStyle="1" w:styleId="EFSADocsprovided">
    <w:name w:val="EFSA_Docs provided"/>
    <w:basedOn w:val="EFSABodytext"/>
    <w:link w:val="EFSADocsprovidedChar"/>
    <w:qFormat/>
    <w:rsid w:val="00416E18"/>
    <w:pPr>
      <w:keepNext/>
      <w:numPr>
        <w:numId w:val="23"/>
      </w:numPr>
      <w:spacing w:after="240"/>
    </w:pPr>
  </w:style>
  <w:style w:type="character" w:customStyle="1" w:styleId="EFSADocsprovidedChar">
    <w:name w:val="EFSA_Docs provided Char"/>
    <w:basedOn w:val="EFSABodytextChar"/>
    <w:link w:val="EFSADocsprovided"/>
    <w:rsid w:val="00416E18"/>
    <w:rPr>
      <w:rFonts w:ascii="Tahoma" w:hAnsi="Tahoma"/>
      <w:sz w:val="20"/>
      <w:szCs w:val="20"/>
    </w:rPr>
  </w:style>
  <w:style w:type="paragraph" w:customStyle="1" w:styleId="EFSATablefootnote">
    <w:name w:val="EFSA_Table footnote"/>
    <w:link w:val="EFSATablefootnoteChar"/>
    <w:qFormat/>
    <w:rsid w:val="00416E18"/>
    <w:pPr>
      <w:tabs>
        <w:tab w:val="left" w:pos="426"/>
      </w:tabs>
      <w:ind w:left="357" w:hanging="357"/>
      <w:contextualSpacing/>
    </w:pPr>
    <w:rPr>
      <w:rFonts w:ascii="Tahoma" w:hAnsi="Tahoma"/>
      <w:sz w:val="16"/>
      <w:szCs w:val="20"/>
    </w:rPr>
  </w:style>
  <w:style w:type="character" w:customStyle="1" w:styleId="EFSATablefootnoteChar">
    <w:name w:val="EFSA_Table footnote Char"/>
    <w:basedOn w:val="EFSABodytextChar"/>
    <w:link w:val="EFSATablefootnote"/>
    <w:rsid w:val="00416E18"/>
    <w:rPr>
      <w:rFonts w:ascii="Tahoma" w:hAnsi="Tahoma"/>
      <w:sz w:val="16"/>
      <w:szCs w:val="20"/>
    </w:rPr>
  </w:style>
  <w:style w:type="paragraph" w:customStyle="1" w:styleId="EFSATablelegend">
    <w:name w:val="EFSA_Table legend"/>
    <w:basedOn w:val="EFSATablefootnote"/>
    <w:link w:val="EFSATablelegendChar"/>
    <w:qFormat/>
    <w:rsid w:val="00416E18"/>
    <w:pPr>
      <w:spacing w:after="0"/>
      <w:ind w:left="0" w:firstLine="0"/>
      <w:contextualSpacing w:val="0"/>
    </w:pPr>
  </w:style>
  <w:style w:type="character" w:customStyle="1" w:styleId="EFSATablelegendChar">
    <w:name w:val="EFSA_Table legend Char"/>
    <w:basedOn w:val="EFSATablefootnoteChar"/>
    <w:link w:val="EFSATablelegend"/>
    <w:rsid w:val="00416E18"/>
    <w:rPr>
      <w:rFonts w:ascii="Tahoma" w:hAnsi="Tahoma"/>
      <w:sz w:val="16"/>
      <w:szCs w:val="20"/>
    </w:rPr>
  </w:style>
  <w:style w:type="paragraph" w:customStyle="1" w:styleId="EFSAFigurelegend">
    <w:name w:val="EFSA_Figure legend"/>
    <w:basedOn w:val="EFSATablelegend"/>
    <w:link w:val="EFSAFigurelegendChar"/>
    <w:qFormat/>
    <w:rsid w:val="00416E18"/>
    <w:pPr>
      <w:autoSpaceDE w:val="0"/>
      <w:autoSpaceDN w:val="0"/>
      <w:adjustRightInd w:val="0"/>
    </w:pPr>
    <w:rPr>
      <w:rFonts w:cs="Arial"/>
      <w:szCs w:val="18"/>
    </w:rPr>
  </w:style>
  <w:style w:type="character" w:customStyle="1" w:styleId="EFSAFigurelegendChar">
    <w:name w:val="EFSA_Figure legend Char"/>
    <w:basedOn w:val="EFSATablefootnoteChar"/>
    <w:link w:val="EFSAFigurelegend"/>
    <w:rsid w:val="00416E18"/>
    <w:rPr>
      <w:rFonts w:ascii="Tahoma" w:hAnsi="Tahoma" w:cs="Arial"/>
      <w:sz w:val="16"/>
      <w:szCs w:val="18"/>
    </w:rPr>
  </w:style>
  <w:style w:type="paragraph" w:customStyle="1" w:styleId="EFSAFiguretitle">
    <w:name w:val="EFSA_Figure title"/>
    <w:next w:val="EFSABodytext"/>
    <w:link w:val="EFSAFiguretitleChar"/>
    <w:rsid w:val="00416E18"/>
    <w:pPr>
      <w:numPr>
        <w:numId w:val="24"/>
      </w:numPr>
      <w:tabs>
        <w:tab w:val="left" w:pos="1080"/>
      </w:tabs>
      <w:spacing w:before="240" w:after="240" w:line="240" w:lineRule="auto"/>
      <w:jc w:val="both"/>
    </w:pPr>
    <w:rPr>
      <w:rFonts w:ascii="Tahoma" w:eastAsia="Times New Roman" w:hAnsi="Tahoma" w:cs="Times New Roman"/>
      <w:sz w:val="20"/>
      <w:szCs w:val="20"/>
    </w:rPr>
  </w:style>
  <w:style w:type="character" w:customStyle="1" w:styleId="EFSAFiguretitleChar">
    <w:name w:val="EFSA_Figure title Char"/>
    <w:basedOn w:val="DefaultParagraphFont"/>
    <w:link w:val="EFSAFiguretitle"/>
    <w:rsid w:val="00416E18"/>
    <w:rPr>
      <w:rFonts w:ascii="Tahoma" w:eastAsia="Times New Roman" w:hAnsi="Tahoma" w:cs="Times New Roman"/>
      <w:sz w:val="20"/>
      <w:szCs w:val="20"/>
    </w:rPr>
  </w:style>
  <w:style w:type="paragraph" w:customStyle="1" w:styleId="EFSAFooter">
    <w:name w:val="EFSA_Footer"/>
    <w:basedOn w:val="Normal"/>
    <w:link w:val="EFSAFooterChar"/>
    <w:qFormat/>
    <w:rsid w:val="00416E18"/>
    <w:pPr>
      <w:tabs>
        <w:tab w:val="right" w:pos="10206"/>
      </w:tabs>
      <w:spacing w:after="0" w:line="240" w:lineRule="auto"/>
    </w:pPr>
    <w:rPr>
      <w:sz w:val="16"/>
      <w:szCs w:val="16"/>
    </w:rPr>
  </w:style>
  <w:style w:type="character" w:customStyle="1" w:styleId="EFSAFooterChar">
    <w:name w:val="EFSA_Footer Char"/>
    <w:basedOn w:val="DefaultParagraphFont"/>
    <w:link w:val="EFSAFooter"/>
    <w:rsid w:val="00416E18"/>
    <w:rPr>
      <w:sz w:val="16"/>
      <w:szCs w:val="16"/>
    </w:rPr>
  </w:style>
  <w:style w:type="paragraph" w:customStyle="1" w:styleId="EFSAFootnote">
    <w:name w:val="EFSA_Footnote"/>
    <w:basedOn w:val="FootnoteText"/>
    <w:link w:val="EFSAFootnoteChar"/>
    <w:qFormat/>
    <w:rsid w:val="00416E18"/>
    <w:pPr>
      <w:ind w:left="170" w:hanging="170"/>
      <w:jc w:val="both"/>
    </w:pPr>
    <w:rPr>
      <w:rFonts w:ascii="Tahoma" w:hAnsi="Tahoma"/>
      <w:sz w:val="16"/>
    </w:rPr>
  </w:style>
  <w:style w:type="character" w:customStyle="1" w:styleId="EFSAFootnoteChar">
    <w:name w:val="EFSA_Footnote Char"/>
    <w:basedOn w:val="FootnoteTextChar"/>
    <w:link w:val="EFSAFootnote"/>
    <w:rsid w:val="00416E18"/>
    <w:rPr>
      <w:rFonts w:ascii="Tahoma" w:hAnsi="Tahoma"/>
      <w:sz w:val="16"/>
      <w:szCs w:val="20"/>
    </w:rPr>
  </w:style>
  <w:style w:type="paragraph" w:styleId="FootnoteText">
    <w:name w:val="footnote text"/>
    <w:basedOn w:val="Normal"/>
    <w:link w:val="FootnoteTextChar"/>
    <w:uiPriority w:val="99"/>
    <w:semiHidden/>
    <w:rsid w:val="00416E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16E18"/>
    <w:rPr>
      <w:sz w:val="20"/>
      <w:szCs w:val="20"/>
    </w:rPr>
  </w:style>
  <w:style w:type="paragraph" w:customStyle="1" w:styleId="EFSAHeading1">
    <w:name w:val="EFSA_Heading 1"/>
    <w:link w:val="EFSAHeading1Char"/>
    <w:qFormat/>
    <w:rsid w:val="00CA330F"/>
    <w:pPr>
      <w:numPr>
        <w:numId w:val="30"/>
      </w:numPr>
      <w:spacing w:before="240" w:after="120" w:line="240" w:lineRule="auto"/>
      <w:outlineLvl w:val="0"/>
    </w:pPr>
    <w:rPr>
      <w:rFonts w:ascii="Tahoma" w:eastAsiaTheme="majorEastAsia" w:hAnsi="Tahoma" w:cstheme="majorBidi"/>
      <w:b/>
      <w:bCs/>
      <w:color w:val="000000" w:themeColor="text1"/>
      <w:sz w:val="24"/>
      <w:szCs w:val="28"/>
    </w:rPr>
  </w:style>
  <w:style w:type="character" w:customStyle="1" w:styleId="EFSAHeading1Char">
    <w:name w:val="EFSA_Heading 1 Char"/>
    <w:basedOn w:val="Heading1Char"/>
    <w:link w:val="EFSAHeading1"/>
    <w:rsid w:val="00CA330F"/>
    <w:rPr>
      <w:rFonts w:ascii="Tahoma" w:eastAsiaTheme="majorEastAsia" w:hAnsi="Tahoma" w:cstheme="majorBidi"/>
      <w:b/>
      <w:bCs/>
      <w:color w:val="000000" w:themeColor="text1"/>
      <w:sz w:val="24"/>
      <w:szCs w:val="28"/>
    </w:rPr>
  </w:style>
  <w:style w:type="character" w:customStyle="1" w:styleId="Heading1Char">
    <w:name w:val="Heading 1 Char"/>
    <w:basedOn w:val="DefaultParagraphFont"/>
    <w:link w:val="Heading1"/>
    <w:uiPriority w:val="9"/>
    <w:semiHidden/>
    <w:rsid w:val="00416E18"/>
    <w:rPr>
      <w:rFonts w:asciiTheme="majorHAnsi" w:eastAsiaTheme="majorEastAsia" w:hAnsiTheme="majorHAnsi" w:cstheme="majorBidi"/>
      <w:b/>
      <w:bCs/>
      <w:color w:val="365F91" w:themeColor="accent1" w:themeShade="BF"/>
      <w:sz w:val="28"/>
      <w:szCs w:val="28"/>
    </w:rPr>
  </w:style>
  <w:style w:type="paragraph" w:customStyle="1" w:styleId="EFSAHeading2">
    <w:name w:val="EFSA_Heading 2"/>
    <w:next w:val="EFSABodytext"/>
    <w:link w:val="EFSAHeading2Char"/>
    <w:qFormat/>
    <w:rsid w:val="00416E18"/>
    <w:pPr>
      <w:keepNext/>
      <w:numPr>
        <w:ilvl w:val="1"/>
        <w:numId w:val="30"/>
      </w:numPr>
      <w:spacing w:before="240" w:after="120" w:line="240" w:lineRule="auto"/>
      <w:outlineLvl w:val="1"/>
    </w:pPr>
    <w:rPr>
      <w:rFonts w:ascii="Tahoma" w:eastAsiaTheme="majorEastAsia" w:hAnsi="Tahoma" w:cstheme="majorBidi"/>
      <w:b/>
      <w:bCs/>
      <w:color w:val="7F7F7F" w:themeColor="text1" w:themeTint="80"/>
      <w:sz w:val="24"/>
      <w:szCs w:val="28"/>
    </w:rPr>
  </w:style>
  <w:style w:type="character" w:customStyle="1" w:styleId="EFSAHeading2Char">
    <w:name w:val="EFSA_Heading 2 Char"/>
    <w:basedOn w:val="EFSAHeading1Char"/>
    <w:link w:val="EFSAHeading2"/>
    <w:rsid w:val="00416E18"/>
    <w:rPr>
      <w:rFonts w:ascii="Tahoma" w:eastAsiaTheme="majorEastAsia" w:hAnsi="Tahoma" w:cstheme="majorBidi"/>
      <w:b/>
      <w:bCs/>
      <w:color w:val="7F7F7F" w:themeColor="text1" w:themeTint="80"/>
      <w:sz w:val="24"/>
      <w:szCs w:val="28"/>
    </w:rPr>
  </w:style>
  <w:style w:type="paragraph" w:customStyle="1" w:styleId="EFSAHeading3">
    <w:name w:val="EFSA_Heading 3"/>
    <w:next w:val="EFSABodytext"/>
    <w:link w:val="EFSAHeading3Char"/>
    <w:qFormat/>
    <w:rsid w:val="00416E18"/>
    <w:pPr>
      <w:numPr>
        <w:ilvl w:val="2"/>
        <w:numId w:val="30"/>
      </w:numPr>
      <w:outlineLvl w:val="2"/>
    </w:pPr>
    <w:rPr>
      <w:rFonts w:ascii="Tahoma" w:eastAsiaTheme="majorEastAsia" w:hAnsi="Tahoma" w:cstheme="majorBidi"/>
      <w:b/>
      <w:bCs/>
      <w:color w:val="7F7F7F" w:themeColor="text1" w:themeTint="80"/>
      <w:sz w:val="24"/>
      <w:szCs w:val="28"/>
    </w:rPr>
  </w:style>
  <w:style w:type="character" w:customStyle="1" w:styleId="EFSAHeading3Char">
    <w:name w:val="EFSA_Heading 3 Char"/>
    <w:basedOn w:val="EFSAHeading2Char"/>
    <w:link w:val="EFSAHeading3"/>
    <w:rsid w:val="00416E18"/>
    <w:rPr>
      <w:rFonts w:ascii="Tahoma" w:eastAsiaTheme="majorEastAsia" w:hAnsi="Tahoma" w:cstheme="majorBidi"/>
      <w:b/>
      <w:bCs/>
      <w:color w:val="7F7F7F" w:themeColor="text1" w:themeTint="80"/>
      <w:sz w:val="24"/>
      <w:szCs w:val="28"/>
    </w:rPr>
  </w:style>
  <w:style w:type="paragraph" w:customStyle="1" w:styleId="EFSAHeading4">
    <w:name w:val="EFSA_Heading 4"/>
    <w:next w:val="EFSABodytext"/>
    <w:link w:val="EFSAHeading4Char"/>
    <w:qFormat/>
    <w:rsid w:val="00CA330F"/>
    <w:pPr>
      <w:keepNext/>
      <w:numPr>
        <w:ilvl w:val="3"/>
        <w:numId w:val="30"/>
      </w:numPr>
      <w:spacing w:before="240" w:after="120" w:line="240" w:lineRule="auto"/>
      <w:outlineLvl w:val="3"/>
    </w:pPr>
    <w:rPr>
      <w:rFonts w:ascii="Tahoma" w:hAnsi="Tahoma"/>
      <w:b/>
      <w:sz w:val="20"/>
      <w:szCs w:val="20"/>
    </w:rPr>
  </w:style>
  <w:style w:type="character" w:customStyle="1" w:styleId="EFSAHeading4Char">
    <w:name w:val="EFSA_Heading 4 Char"/>
    <w:basedOn w:val="DefaultParagraphFont"/>
    <w:link w:val="EFSAHeading4"/>
    <w:rsid w:val="00CA330F"/>
    <w:rPr>
      <w:rFonts w:ascii="Tahoma" w:hAnsi="Tahoma"/>
      <w:b/>
      <w:sz w:val="20"/>
      <w:szCs w:val="20"/>
    </w:rPr>
  </w:style>
  <w:style w:type="paragraph" w:customStyle="1" w:styleId="EFSAHeading5">
    <w:name w:val="EFSA_Heading 5"/>
    <w:next w:val="EFSABodytext"/>
    <w:link w:val="EFSAHeading5Char"/>
    <w:qFormat/>
    <w:rsid w:val="00CA330F"/>
    <w:pPr>
      <w:numPr>
        <w:ilvl w:val="4"/>
        <w:numId w:val="30"/>
      </w:numPr>
      <w:spacing w:before="240" w:after="120" w:line="240" w:lineRule="auto"/>
      <w:outlineLvl w:val="4"/>
    </w:pPr>
    <w:rPr>
      <w:rFonts w:ascii="Tahoma" w:hAnsi="Tahoma"/>
      <w:i/>
      <w:sz w:val="20"/>
      <w:szCs w:val="20"/>
    </w:rPr>
  </w:style>
  <w:style w:type="character" w:customStyle="1" w:styleId="EFSAHeading5Char">
    <w:name w:val="EFSA_Heading 5 Char"/>
    <w:basedOn w:val="EFSAHeading4Char"/>
    <w:link w:val="EFSAHeading5"/>
    <w:rsid w:val="00CA330F"/>
    <w:rPr>
      <w:rFonts w:ascii="Tahoma" w:hAnsi="Tahoma"/>
      <w:b w:val="0"/>
      <w:i/>
      <w:sz w:val="20"/>
      <w:szCs w:val="20"/>
    </w:rPr>
  </w:style>
  <w:style w:type="numbering" w:customStyle="1" w:styleId="EFSAListbullets">
    <w:name w:val="EFSA_List bullets"/>
    <w:basedOn w:val="NoList"/>
    <w:uiPriority w:val="99"/>
    <w:rsid w:val="00416E18"/>
    <w:pPr>
      <w:numPr>
        <w:numId w:val="10"/>
      </w:numPr>
    </w:pPr>
  </w:style>
  <w:style w:type="paragraph" w:customStyle="1" w:styleId="EFSAListnumbered">
    <w:name w:val="EFSA_List numbered"/>
    <w:basedOn w:val="ListParagraph"/>
    <w:link w:val="EFSAListnumberedChar"/>
    <w:qFormat/>
    <w:rsid w:val="00416E18"/>
    <w:pPr>
      <w:numPr>
        <w:numId w:val="32"/>
      </w:numPr>
      <w:suppressAutoHyphens/>
      <w:spacing w:after="120" w:line="240" w:lineRule="auto"/>
      <w:contextualSpacing w:val="0"/>
    </w:pPr>
    <w:rPr>
      <w:rFonts w:ascii="Tahoma" w:eastAsia="Times New Roman" w:hAnsi="Tahoma" w:cs="Times New Roman"/>
      <w:sz w:val="20"/>
      <w:szCs w:val="20"/>
      <w:lang w:eastAsia="en-GB"/>
    </w:rPr>
  </w:style>
  <w:style w:type="character" w:customStyle="1" w:styleId="EFSAListnumberedChar">
    <w:name w:val="EFSA_List numbered Char"/>
    <w:basedOn w:val="DefaultParagraphFont"/>
    <w:link w:val="EFSAListnumbered"/>
    <w:rsid w:val="00416E18"/>
    <w:rPr>
      <w:rFonts w:ascii="Tahoma" w:eastAsia="Times New Roman" w:hAnsi="Tahoma" w:cs="Times New Roman"/>
      <w:sz w:val="20"/>
      <w:szCs w:val="20"/>
      <w:lang w:eastAsia="en-GB"/>
    </w:rPr>
  </w:style>
  <w:style w:type="paragraph" w:styleId="ListParagraph">
    <w:name w:val="List Paragraph"/>
    <w:basedOn w:val="Normal"/>
    <w:uiPriority w:val="34"/>
    <w:qFormat/>
    <w:rsid w:val="00416E18"/>
    <w:pPr>
      <w:ind w:left="720"/>
      <w:contextualSpacing/>
    </w:pPr>
  </w:style>
  <w:style w:type="paragraph" w:customStyle="1" w:styleId="EFSAOutputcategory">
    <w:name w:val="EFSA_Output category"/>
    <w:link w:val="EFSAOutputcategoryChar"/>
    <w:qFormat/>
    <w:rsid w:val="00416E18"/>
    <w:pPr>
      <w:spacing w:before="240" w:after="240" w:line="240" w:lineRule="auto"/>
    </w:pPr>
    <w:rPr>
      <w:rFonts w:ascii="Calibri" w:eastAsiaTheme="majorEastAsia" w:hAnsi="Calibri" w:cstheme="majorBidi"/>
      <w:b/>
      <w:iCs/>
      <w:caps/>
      <w:color w:val="171796"/>
      <w:sz w:val="32"/>
      <w:szCs w:val="32"/>
    </w:rPr>
  </w:style>
  <w:style w:type="character" w:customStyle="1" w:styleId="EFSAOutputcategoryChar">
    <w:name w:val="EFSA_Output category Char"/>
    <w:basedOn w:val="DefaultParagraphFont"/>
    <w:link w:val="EFSAOutputcategory"/>
    <w:rsid w:val="00416E18"/>
    <w:rPr>
      <w:rFonts w:ascii="Calibri" w:eastAsiaTheme="majorEastAsia" w:hAnsi="Calibri" w:cstheme="majorBidi"/>
      <w:b/>
      <w:iCs/>
      <w:caps/>
      <w:color w:val="171796"/>
      <w:sz w:val="32"/>
      <w:szCs w:val="32"/>
    </w:rPr>
  </w:style>
  <w:style w:type="paragraph" w:customStyle="1" w:styleId="EFSAOutputtitle">
    <w:name w:val="EFSA_Output title"/>
    <w:basedOn w:val="Normal"/>
    <w:next w:val="EFSAAuthor"/>
    <w:link w:val="EFSAOutputtitleChar"/>
    <w:qFormat/>
    <w:rsid w:val="00416E18"/>
    <w:pPr>
      <w:spacing w:before="360" w:after="240" w:line="240" w:lineRule="auto"/>
      <w:jc w:val="center"/>
    </w:pPr>
    <w:rPr>
      <w:rFonts w:ascii="Tahoma" w:hAnsi="Tahoma"/>
      <w:b/>
      <w:sz w:val="32"/>
      <w:szCs w:val="32"/>
    </w:rPr>
  </w:style>
  <w:style w:type="character" w:customStyle="1" w:styleId="EFSAOutputtitleChar">
    <w:name w:val="EFSA_Output title Char"/>
    <w:basedOn w:val="DefaultParagraphFont"/>
    <w:link w:val="EFSAOutputtitle"/>
    <w:rsid w:val="00416E18"/>
    <w:rPr>
      <w:rFonts w:ascii="Tahoma" w:hAnsi="Tahoma"/>
      <w:b/>
      <w:sz w:val="32"/>
      <w:szCs w:val="32"/>
    </w:rPr>
  </w:style>
  <w:style w:type="paragraph" w:customStyle="1" w:styleId="EFSAReferences">
    <w:name w:val="EFSA_References"/>
    <w:link w:val="EFSAReferencesChar"/>
    <w:qFormat/>
    <w:rsid w:val="00416E18"/>
    <w:pPr>
      <w:keepLines/>
      <w:tabs>
        <w:tab w:val="left" w:pos="284"/>
      </w:tabs>
      <w:spacing w:after="120" w:line="240" w:lineRule="auto"/>
      <w:ind w:left="284" w:hanging="284"/>
      <w:jc w:val="both"/>
    </w:pPr>
    <w:rPr>
      <w:rFonts w:ascii="Tahoma" w:eastAsia="Times New Roman" w:hAnsi="Tahoma" w:cs="Times New Roman"/>
      <w:color w:val="000000"/>
      <w:sz w:val="20"/>
      <w:szCs w:val="20"/>
    </w:rPr>
  </w:style>
  <w:style w:type="character" w:customStyle="1" w:styleId="EFSAReferencesChar">
    <w:name w:val="EFSA_References Char"/>
    <w:basedOn w:val="DefaultParagraphFont"/>
    <w:link w:val="EFSAReferences"/>
    <w:rsid w:val="00416E18"/>
    <w:rPr>
      <w:rFonts w:ascii="Tahoma" w:eastAsia="Times New Roman" w:hAnsi="Tahoma" w:cs="Times New Roman"/>
      <w:color w:val="000000"/>
      <w:sz w:val="20"/>
      <w:szCs w:val="20"/>
    </w:rPr>
  </w:style>
  <w:style w:type="paragraph" w:customStyle="1" w:styleId="EFSAShorttitle">
    <w:name w:val="EFSA_Short title"/>
    <w:link w:val="EFSAShorttitleChar"/>
    <w:qFormat/>
    <w:rsid w:val="00416E18"/>
    <w:pPr>
      <w:spacing w:after="0" w:line="240" w:lineRule="auto"/>
    </w:pPr>
    <w:rPr>
      <w:rFonts w:ascii="Calibri" w:eastAsiaTheme="majorEastAsia" w:hAnsi="Calibri" w:cstheme="majorBidi"/>
      <w:b/>
      <w:iCs/>
      <w:color w:val="171796"/>
      <w:sz w:val="18"/>
      <w:szCs w:val="24"/>
    </w:rPr>
  </w:style>
  <w:style w:type="character" w:customStyle="1" w:styleId="EFSAShorttitleChar">
    <w:name w:val="EFSA_Short title Char"/>
    <w:basedOn w:val="DefaultParagraphFont"/>
    <w:link w:val="EFSAShorttitle"/>
    <w:rsid w:val="00416E18"/>
    <w:rPr>
      <w:rFonts w:ascii="Calibri" w:eastAsiaTheme="majorEastAsia" w:hAnsi="Calibri" w:cstheme="majorBidi"/>
      <w:b/>
      <w:iCs/>
      <w:color w:val="171796"/>
      <w:sz w:val="18"/>
      <w:szCs w:val="24"/>
    </w:rPr>
  </w:style>
  <w:style w:type="paragraph" w:customStyle="1" w:styleId="EFSATabledata">
    <w:name w:val="EFSA_Table data"/>
    <w:basedOn w:val="EFSABodytext"/>
    <w:link w:val="EFSATabledataChar"/>
    <w:qFormat/>
    <w:rsid w:val="00416E18"/>
    <w:pPr>
      <w:spacing w:after="0"/>
      <w:jc w:val="left"/>
    </w:pPr>
    <w:rPr>
      <w:sz w:val="18"/>
    </w:rPr>
  </w:style>
  <w:style w:type="character" w:customStyle="1" w:styleId="EFSATabledataChar">
    <w:name w:val="EFSA_Table data Char"/>
    <w:basedOn w:val="EFSABodytextChar"/>
    <w:link w:val="EFSATabledata"/>
    <w:rsid w:val="00416E18"/>
    <w:rPr>
      <w:rFonts w:ascii="Tahoma" w:hAnsi="Tahoma"/>
      <w:sz w:val="18"/>
      <w:szCs w:val="20"/>
    </w:rPr>
  </w:style>
  <w:style w:type="paragraph" w:customStyle="1" w:styleId="EFSATablefirstcolumn">
    <w:name w:val="EFSA_Table first column"/>
    <w:basedOn w:val="EFSATabledata"/>
    <w:link w:val="EFSATablefirstcolumnChar"/>
    <w:qFormat/>
    <w:rsid w:val="00416E18"/>
    <w:rPr>
      <w:b/>
    </w:rPr>
  </w:style>
  <w:style w:type="character" w:customStyle="1" w:styleId="EFSATablefirstcolumnChar">
    <w:name w:val="EFSA_Table first column Char"/>
    <w:basedOn w:val="EFSATabledataChar"/>
    <w:link w:val="EFSATablefirstcolumn"/>
    <w:rsid w:val="00416E18"/>
    <w:rPr>
      <w:rFonts w:ascii="Tahoma" w:hAnsi="Tahoma"/>
      <w:b/>
      <w:sz w:val="18"/>
      <w:szCs w:val="20"/>
    </w:rPr>
  </w:style>
  <w:style w:type="paragraph" w:customStyle="1" w:styleId="EFSATableheadingrow">
    <w:name w:val="EFSA_Table heading row"/>
    <w:basedOn w:val="EFSATabledata"/>
    <w:link w:val="EFSATableheadingrowChar"/>
    <w:qFormat/>
    <w:rsid w:val="00416E18"/>
    <w:rPr>
      <w:b/>
    </w:rPr>
  </w:style>
  <w:style w:type="character" w:customStyle="1" w:styleId="EFSATableheadingrowChar">
    <w:name w:val="EFSA_Table heading row Char"/>
    <w:basedOn w:val="EFSATabledataChar"/>
    <w:link w:val="EFSATableheadingrow"/>
    <w:rsid w:val="00416E18"/>
    <w:rPr>
      <w:rFonts w:ascii="Tahoma" w:hAnsi="Tahoma"/>
      <w:b/>
      <w:sz w:val="18"/>
      <w:szCs w:val="20"/>
    </w:rPr>
  </w:style>
  <w:style w:type="paragraph" w:customStyle="1" w:styleId="EFSATabletitle">
    <w:name w:val="EFSA_Table title"/>
    <w:next w:val="EFSABodytext"/>
    <w:link w:val="EFSATabletitleChar"/>
    <w:qFormat/>
    <w:rsid w:val="00416E18"/>
    <w:pPr>
      <w:numPr>
        <w:numId w:val="33"/>
      </w:numPr>
      <w:tabs>
        <w:tab w:val="left" w:pos="1080"/>
      </w:tabs>
      <w:spacing w:before="240" w:after="240"/>
    </w:pPr>
    <w:rPr>
      <w:rFonts w:ascii="Tahoma" w:hAnsi="Tahoma"/>
      <w:sz w:val="20"/>
      <w:szCs w:val="20"/>
    </w:rPr>
  </w:style>
  <w:style w:type="character" w:customStyle="1" w:styleId="EFSATabletitleChar">
    <w:name w:val="EFSA_Table title Char"/>
    <w:basedOn w:val="EFSABodytextChar"/>
    <w:link w:val="EFSATabletitle"/>
    <w:rsid w:val="00416E18"/>
    <w:rPr>
      <w:rFonts w:ascii="Tahoma" w:hAnsi="Tahoma"/>
      <w:sz w:val="20"/>
      <w:szCs w:val="20"/>
    </w:rPr>
  </w:style>
  <w:style w:type="character" w:styleId="SubtleEmphasis">
    <w:name w:val="Subtle Emphasis"/>
    <w:semiHidden/>
    <w:qFormat/>
    <w:rsid w:val="00416E18"/>
    <w:rPr>
      <w:rFonts w:ascii="Verdana" w:hAnsi="Verdana"/>
      <w:iCs/>
      <w:color w:val="000000"/>
      <w:sz w:val="20"/>
    </w:rPr>
  </w:style>
  <w:style w:type="paragraph" w:styleId="Header">
    <w:name w:val="header"/>
    <w:basedOn w:val="Normal"/>
    <w:link w:val="HeaderChar"/>
    <w:semiHidden/>
    <w:rsid w:val="00416E18"/>
    <w:pPr>
      <w:suppressLineNumbers/>
      <w:tabs>
        <w:tab w:val="center" w:pos="4513"/>
        <w:tab w:val="right" w:pos="9026"/>
      </w:tabs>
      <w:suppressAutoHyphens/>
      <w:spacing w:after="120" w:line="240" w:lineRule="auto"/>
    </w:pPr>
    <w:rPr>
      <w:rFonts w:ascii="Tahoma" w:eastAsia="Times New Roman" w:hAnsi="Tahoma" w:cs="Times New Roman"/>
      <w:sz w:val="20"/>
      <w:szCs w:val="20"/>
      <w:lang w:eastAsia="en-GB"/>
    </w:rPr>
  </w:style>
  <w:style w:type="character" w:customStyle="1" w:styleId="HeaderChar">
    <w:name w:val="Header Char"/>
    <w:basedOn w:val="DefaultParagraphFont"/>
    <w:link w:val="Header"/>
    <w:semiHidden/>
    <w:rsid w:val="00416E18"/>
    <w:rPr>
      <w:rFonts w:ascii="Tahoma" w:eastAsia="Times New Roman" w:hAnsi="Tahoma" w:cs="Times New Roman"/>
      <w:sz w:val="20"/>
      <w:szCs w:val="20"/>
      <w:lang w:eastAsia="en-GB"/>
    </w:rPr>
  </w:style>
  <w:style w:type="paragraph" w:styleId="TOC1">
    <w:name w:val="toc 1"/>
    <w:basedOn w:val="Normal"/>
    <w:uiPriority w:val="39"/>
    <w:qFormat/>
    <w:rsid w:val="00416E18"/>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paragraph" w:styleId="TOC2">
    <w:name w:val="toc 2"/>
    <w:basedOn w:val="Normal"/>
    <w:uiPriority w:val="39"/>
    <w:qFormat/>
    <w:rsid w:val="00416E18"/>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paragraph" w:styleId="TOC3">
    <w:name w:val="toc 3"/>
    <w:basedOn w:val="Normal"/>
    <w:uiPriority w:val="39"/>
    <w:qFormat/>
    <w:rsid w:val="00416E18"/>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character" w:styleId="FootnoteReference">
    <w:name w:val="footnote reference"/>
    <w:basedOn w:val="DefaultParagraphFont"/>
    <w:uiPriority w:val="99"/>
    <w:rsid w:val="00416E18"/>
    <w:rPr>
      <w:vertAlign w:val="superscript"/>
    </w:rPr>
  </w:style>
  <w:style w:type="table" w:styleId="TableGrid">
    <w:name w:val="Table Grid"/>
    <w:basedOn w:val="TableNormal"/>
    <w:uiPriority w:val="59"/>
    <w:rsid w:val="00416E18"/>
    <w:pPr>
      <w:spacing w:after="0" w:line="240" w:lineRule="auto"/>
    </w:pPr>
    <w:rPr>
      <w:rFonts w:ascii="Tahoma" w:eastAsia="Times New Roman" w:hAnsi="Tahoma"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416E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6E18"/>
    <w:rPr>
      <w:rFonts w:ascii="Tahoma" w:hAnsi="Tahoma" w:cs="Tahoma"/>
      <w:sz w:val="16"/>
      <w:szCs w:val="16"/>
    </w:rPr>
  </w:style>
  <w:style w:type="character" w:customStyle="1" w:styleId="Heading2Char">
    <w:name w:val="Heading 2 Char"/>
    <w:basedOn w:val="DefaultParagraphFont"/>
    <w:link w:val="Heading2"/>
    <w:uiPriority w:val="9"/>
    <w:semiHidden/>
    <w:rsid w:val="00416E1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416E18"/>
    <w:rPr>
      <w:rFonts w:asciiTheme="majorHAnsi" w:eastAsiaTheme="majorEastAsia" w:hAnsiTheme="majorHAnsi" w:cstheme="majorBidi"/>
      <w:b/>
      <w:bCs/>
      <w:color w:val="4F81BD" w:themeColor="accent1"/>
    </w:rPr>
  </w:style>
  <w:style w:type="paragraph" w:styleId="Footer">
    <w:name w:val="footer"/>
    <w:basedOn w:val="Normal"/>
    <w:link w:val="FooterChar"/>
    <w:uiPriority w:val="99"/>
    <w:semiHidden/>
    <w:rsid w:val="00416E1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416E18"/>
  </w:style>
  <w:style w:type="character" w:styleId="LineNumber">
    <w:name w:val="line number"/>
    <w:basedOn w:val="DefaultParagraphFont"/>
    <w:uiPriority w:val="99"/>
    <w:semiHidden/>
    <w:rsid w:val="00416E18"/>
  </w:style>
  <w:style w:type="paragraph" w:styleId="TOCHeading">
    <w:name w:val="TOC Heading"/>
    <w:basedOn w:val="Heading1"/>
    <w:next w:val="Normal"/>
    <w:uiPriority w:val="39"/>
    <w:unhideWhenUsed/>
    <w:qFormat/>
    <w:rsid w:val="00416E18"/>
    <w:pPr>
      <w:outlineLvl w:val="9"/>
    </w:pPr>
    <w:rPr>
      <w:lang w:val="en-US" w:eastAsia="ja-JP"/>
    </w:rPr>
  </w:style>
  <w:style w:type="character" w:styleId="Hyperlink">
    <w:name w:val="Hyperlink"/>
    <w:basedOn w:val="DefaultParagraphFont"/>
    <w:uiPriority w:val="99"/>
    <w:unhideWhenUsed/>
    <w:rsid w:val="00416E18"/>
    <w:rPr>
      <w:color w:val="0000FF" w:themeColor="hyperlink"/>
      <w:u w:val="single"/>
    </w:rPr>
  </w:style>
  <w:style w:type="paragraph" w:styleId="TOC4">
    <w:name w:val="toc 4"/>
    <w:next w:val="Normal"/>
    <w:autoRedefine/>
    <w:uiPriority w:val="39"/>
    <w:rsid w:val="00C107A0"/>
    <w:pPr>
      <w:tabs>
        <w:tab w:val="right" w:leader="dot" w:pos="9072"/>
      </w:tabs>
      <w:spacing w:after="0" w:line="240" w:lineRule="auto"/>
      <w:ind w:left="680" w:hanging="680"/>
    </w:pPr>
    <w:rPr>
      <w:rFonts w:ascii="Tahoma" w:hAnsi="Tahoma"/>
      <w:sz w:val="20"/>
    </w:rPr>
  </w:style>
  <w:style w:type="paragraph" w:styleId="TOC5">
    <w:name w:val="toc 5"/>
    <w:next w:val="Normal"/>
    <w:autoRedefine/>
    <w:uiPriority w:val="39"/>
    <w:rsid w:val="00416E18"/>
    <w:pPr>
      <w:tabs>
        <w:tab w:val="right" w:leader="dot" w:pos="9072"/>
      </w:tabs>
      <w:spacing w:after="0" w:line="240" w:lineRule="auto"/>
      <w:ind w:left="1247" w:hanging="1247"/>
    </w:pPr>
    <w:rPr>
      <w:rFonts w:ascii="Tahoma" w:hAnsi="Tahoma"/>
      <w:sz w:val="20"/>
    </w:rPr>
  </w:style>
  <w:style w:type="table" w:customStyle="1" w:styleId="EFSAtable">
    <w:name w:val="EFSA table"/>
    <w:basedOn w:val="TableNormal"/>
    <w:uiPriority w:val="99"/>
    <w:rsid w:val="00416E18"/>
    <w:pPr>
      <w:spacing w:after="0" w:line="240" w:lineRule="auto"/>
    </w:pPr>
    <w:tblPr>
      <w:tblBorders>
        <w:insideH w:val="single" w:sz="4" w:space="0" w:color="D9D9D9" w:themeColor="background1" w:themeShade="D9"/>
        <w:insideV w:val="single" w:sz="4" w:space="0" w:color="D9D9D9" w:themeColor="background1" w:themeShade="D9"/>
      </w:tblBorders>
    </w:tblPr>
    <w:tblStylePr w:type="firstRow">
      <w:rPr>
        <w:rFonts w:ascii="Tahoma" w:hAnsi="Tahoma"/>
        <w:sz w:val="18"/>
      </w:rPr>
      <w:tblPr/>
      <w:tcPr>
        <w:tcBorders>
          <w:top w:val="single" w:sz="12" w:space="0" w:color="000000" w:themeColor="text1"/>
        </w:tcBorders>
      </w:tcPr>
    </w:tblStylePr>
    <w:tblStylePr w:type="lastRow">
      <w:tblPr/>
      <w:tcPr>
        <w:tcBorders>
          <w:bottom w:val="single" w:sz="12" w:space="0" w:color="000000" w:themeColor="text1"/>
        </w:tcBorders>
      </w:tcPr>
    </w:tblStylePr>
  </w:style>
  <w:style w:type="paragraph" w:customStyle="1" w:styleId="EFSAAnnextitle">
    <w:name w:val="EFSA_Annex title"/>
    <w:next w:val="EFSABodytext"/>
    <w:uiPriority w:val="99"/>
    <w:qFormat/>
    <w:rsid w:val="00416E18"/>
    <w:pPr>
      <w:keepNext/>
      <w:numPr>
        <w:numId w:val="15"/>
      </w:numPr>
      <w:spacing w:before="240" w:after="120" w:line="240" w:lineRule="auto"/>
      <w:outlineLvl w:val="0"/>
    </w:pPr>
    <w:rPr>
      <w:rFonts w:ascii="Tahoma" w:eastAsia="Times New Roman" w:hAnsi="Tahoma" w:cs="Mangal"/>
      <w:b/>
      <w:iCs/>
      <w:sz w:val="24"/>
      <w:szCs w:val="24"/>
      <w:lang w:eastAsia="en-GB"/>
    </w:rPr>
  </w:style>
  <w:style w:type="character" w:styleId="CommentReference">
    <w:name w:val="annotation reference"/>
    <w:basedOn w:val="DefaultParagraphFont"/>
    <w:uiPriority w:val="99"/>
    <w:semiHidden/>
    <w:rsid w:val="00416E18"/>
    <w:rPr>
      <w:sz w:val="16"/>
      <w:szCs w:val="16"/>
    </w:rPr>
  </w:style>
  <w:style w:type="paragraph" w:styleId="CommentText">
    <w:name w:val="annotation text"/>
    <w:basedOn w:val="Normal"/>
    <w:link w:val="CommentTextChar"/>
    <w:uiPriority w:val="99"/>
    <w:semiHidden/>
    <w:rsid w:val="00416E18"/>
    <w:pPr>
      <w:spacing w:line="240" w:lineRule="auto"/>
    </w:pPr>
    <w:rPr>
      <w:sz w:val="20"/>
      <w:szCs w:val="20"/>
    </w:rPr>
  </w:style>
  <w:style w:type="character" w:customStyle="1" w:styleId="CommentTextChar">
    <w:name w:val="Comment Text Char"/>
    <w:basedOn w:val="DefaultParagraphFont"/>
    <w:link w:val="CommentText"/>
    <w:uiPriority w:val="99"/>
    <w:semiHidden/>
    <w:rsid w:val="00416E18"/>
    <w:rPr>
      <w:sz w:val="20"/>
      <w:szCs w:val="20"/>
    </w:rPr>
  </w:style>
  <w:style w:type="paragraph" w:styleId="CommentSubject">
    <w:name w:val="annotation subject"/>
    <w:basedOn w:val="CommentText"/>
    <w:next w:val="CommentText"/>
    <w:link w:val="CommentSubjectChar"/>
    <w:uiPriority w:val="99"/>
    <w:semiHidden/>
    <w:rsid w:val="00416E18"/>
    <w:rPr>
      <w:b/>
      <w:bCs/>
    </w:rPr>
  </w:style>
  <w:style w:type="character" w:customStyle="1" w:styleId="CommentSubjectChar">
    <w:name w:val="Comment Subject Char"/>
    <w:basedOn w:val="CommentTextChar"/>
    <w:link w:val="CommentSubject"/>
    <w:uiPriority w:val="99"/>
    <w:semiHidden/>
    <w:rsid w:val="00416E18"/>
    <w:rPr>
      <w:b/>
      <w:bCs/>
      <w:sz w:val="20"/>
      <w:szCs w:val="20"/>
    </w:rPr>
  </w:style>
  <w:style w:type="paragraph" w:customStyle="1" w:styleId="EFSAAppendixlevel1">
    <w:name w:val="EFSA_Appendix level 1"/>
    <w:next w:val="EFSABodytext"/>
    <w:qFormat/>
    <w:rsid w:val="00416E18"/>
    <w:pPr>
      <w:numPr>
        <w:ilvl w:val="1"/>
        <w:numId w:val="20"/>
      </w:numPr>
      <w:spacing w:before="240" w:after="120" w:line="240" w:lineRule="auto"/>
    </w:pPr>
    <w:rPr>
      <w:rFonts w:ascii="Tahoma" w:eastAsiaTheme="majorEastAsia" w:hAnsi="Tahoma" w:cstheme="majorBidi"/>
      <w:b/>
      <w:bCs/>
      <w:sz w:val="24"/>
      <w:szCs w:val="28"/>
    </w:rPr>
  </w:style>
  <w:style w:type="paragraph" w:customStyle="1" w:styleId="EFSAAppendixlevel2">
    <w:name w:val="EFSA_Appendix level 2"/>
    <w:qFormat/>
    <w:rsid w:val="00416E18"/>
    <w:pPr>
      <w:numPr>
        <w:ilvl w:val="2"/>
        <w:numId w:val="20"/>
      </w:numPr>
      <w:spacing w:before="240" w:after="120" w:line="240" w:lineRule="auto"/>
    </w:pPr>
    <w:rPr>
      <w:rFonts w:ascii="Tahoma" w:eastAsiaTheme="majorEastAsia" w:hAnsi="Tahoma" w:cstheme="majorBidi"/>
      <w:b/>
      <w:color w:val="7F7F7F" w:themeColor="text1" w:themeTint="80"/>
      <w:sz w:val="24"/>
      <w:szCs w:val="28"/>
    </w:rPr>
  </w:style>
  <w:style w:type="paragraph" w:customStyle="1" w:styleId="EFSAAppendixlevel3">
    <w:name w:val="EFSA_Appendix level 3"/>
    <w:next w:val="EFSABodytext"/>
    <w:qFormat/>
    <w:rsid w:val="00416E18"/>
    <w:pPr>
      <w:numPr>
        <w:ilvl w:val="3"/>
        <w:numId w:val="20"/>
      </w:numPr>
      <w:spacing w:before="240" w:after="120" w:line="240" w:lineRule="auto"/>
    </w:pPr>
    <w:rPr>
      <w:rFonts w:ascii="Tahoma" w:eastAsiaTheme="majorEastAsia" w:hAnsi="Tahoma" w:cstheme="majorBidi"/>
      <w:b/>
      <w:bCs/>
      <w:color w:val="7F7F7F" w:themeColor="text1" w:themeTint="80"/>
      <w:szCs w:val="28"/>
    </w:rPr>
  </w:style>
  <w:style w:type="paragraph" w:customStyle="1" w:styleId="EFSAAppendixlevel4">
    <w:name w:val="EFSA_Appendix level 4"/>
    <w:uiPriority w:val="99"/>
    <w:qFormat/>
    <w:rsid w:val="00416E18"/>
    <w:pPr>
      <w:numPr>
        <w:ilvl w:val="4"/>
        <w:numId w:val="19"/>
      </w:numPr>
      <w:spacing w:before="240" w:after="120" w:line="240" w:lineRule="auto"/>
    </w:pPr>
    <w:rPr>
      <w:rFonts w:ascii="Tahoma" w:hAnsi="Tahoma"/>
      <w:b/>
      <w:sz w:val="20"/>
      <w:szCs w:val="20"/>
    </w:rPr>
  </w:style>
  <w:style w:type="numbering" w:customStyle="1" w:styleId="EFSAheadinglist">
    <w:name w:val="EFSA_heading list"/>
    <w:uiPriority w:val="99"/>
    <w:rsid w:val="00416E18"/>
    <w:pPr>
      <w:numPr>
        <w:numId w:val="30"/>
      </w:numPr>
    </w:pPr>
  </w:style>
  <w:style w:type="character" w:styleId="FollowedHyperlink">
    <w:name w:val="FollowedHyperlink"/>
    <w:basedOn w:val="DefaultParagraphFont"/>
    <w:uiPriority w:val="99"/>
    <w:semiHidden/>
    <w:rsid w:val="00416E18"/>
    <w:rPr>
      <w:color w:val="800080" w:themeColor="followedHyperlink"/>
      <w:u w:val="single"/>
    </w:rPr>
  </w:style>
  <w:style w:type="character" w:customStyle="1" w:styleId="Heading4Char">
    <w:name w:val="Heading 4 Char"/>
    <w:basedOn w:val="DefaultParagraphFont"/>
    <w:link w:val="Heading4"/>
    <w:uiPriority w:val="9"/>
    <w:semiHidden/>
    <w:rsid w:val="00416E18"/>
    <w:rPr>
      <w:rFonts w:asciiTheme="majorHAnsi" w:eastAsiaTheme="majorEastAsia" w:hAnsiTheme="majorHAnsi" w:cstheme="majorBidi"/>
      <w:b/>
      <w:bCs/>
      <w:i/>
      <w:iCs/>
      <w:color w:val="4F81BD" w:themeColor="accent1"/>
    </w:rPr>
  </w:style>
  <w:style w:type="paragraph" w:styleId="ListNumber">
    <w:name w:val="List Number"/>
    <w:basedOn w:val="Normal"/>
    <w:uiPriority w:val="99"/>
    <w:unhideWhenUsed/>
    <w:rsid w:val="00DA3EC3"/>
    <w:pPr>
      <w:spacing w:after="0" w:line="240" w:lineRule="atLeast"/>
      <w:contextualSpacing/>
    </w:pPr>
    <w:rPr>
      <w:lang w:val="en-US"/>
    </w:rPr>
  </w:style>
  <w:style w:type="paragraph" w:customStyle="1" w:styleId="ListParagraph1">
    <w:name w:val="List Paragraph1"/>
    <w:basedOn w:val="Normal"/>
    <w:uiPriority w:val="34"/>
    <w:qFormat/>
    <w:rsid w:val="00DA3EC3"/>
    <w:pPr>
      <w:spacing w:after="80" w:line="240" w:lineRule="auto"/>
      <w:ind w:left="720"/>
      <w:contextualSpacing/>
    </w:pPr>
    <w:rPr>
      <w:rFonts w:ascii="Calibri" w:eastAsia="Calibri" w:hAnsi="Calibri" w:cs="Times New Roman"/>
      <w:lang w:val="fr-FR"/>
    </w:rPr>
  </w:style>
  <w:style w:type="paragraph" w:customStyle="1" w:styleId="Default">
    <w:name w:val="Default"/>
    <w:rsid w:val="00E55CDE"/>
    <w:pPr>
      <w:autoSpaceDE w:val="0"/>
      <w:autoSpaceDN w:val="0"/>
      <w:adjustRightInd w:val="0"/>
      <w:spacing w:after="0" w:line="240" w:lineRule="auto"/>
    </w:pPr>
    <w:rPr>
      <w:rFonts w:ascii="Times New Roman" w:eastAsia="Calibri" w:hAnsi="Times New Roman" w:cs="Times New Roman"/>
      <w:color w:val="000000"/>
      <w:sz w:val="24"/>
      <w:szCs w:val="24"/>
      <w:lang w:eastAsia="fr-FR"/>
    </w:rPr>
  </w:style>
  <w:style w:type="paragraph" w:styleId="ListBullet">
    <w:name w:val="List Bullet"/>
    <w:basedOn w:val="Normal"/>
    <w:uiPriority w:val="99"/>
    <w:unhideWhenUsed/>
    <w:rsid w:val="00E55CDE"/>
    <w:pPr>
      <w:numPr>
        <w:numId w:val="36"/>
      </w:numPr>
      <w:contextualSpacing/>
    </w:pPr>
    <w:rPr>
      <w:rFonts w:ascii="Calibri" w:eastAsia="Calibri" w:hAnsi="Calibri" w:cs="Times New Roman"/>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extension.psu.edu/pests/plant-diseases/all-fact-sheets/heat-treatment-of-soil" TargetMode="External"/><Relationship Id="rId4" Type="http://schemas.openxmlformats.org/officeDocument/2006/relationships/settings" Target="settings.xml"/><Relationship Id="rId9" Type="http://schemas.openxmlformats.org/officeDocument/2006/relationships/hyperlink" Target="http://ec.europa.eu/food/plant/pesticides/eu-pesticides-database/public/?event=homepage&amp;language=EN" TargetMode="Externa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efsa.eu.int\fileserver\common\OfficeTemplates\Science\Technical%20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EA4986-941B-4FA8-8062-5EF437C7AA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Technical report template</Template>
  <TotalTime>1</TotalTime>
  <Pages>7</Pages>
  <Words>2473</Words>
  <Characters>14101</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EFSA</Company>
  <LinksUpToDate>false</LinksUpToDate>
  <CharactersWithSpaces>16541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MANNINO Maria Rosaria</dc:creator>
  <cp:lastModifiedBy>VOS Sybren</cp:lastModifiedBy>
  <cp:revision>2</cp:revision>
  <cp:lastPrinted>2014-12-05T15:31:00Z</cp:lastPrinted>
  <dcterms:created xsi:type="dcterms:W3CDTF">2018-02-19T16:19:00Z</dcterms:created>
  <dcterms:modified xsi:type="dcterms:W3CDTF">2018-02-19T16:19:00Z</dcterms:modified>
</cp:coreProperties>
</file>