
<file path=[Content_Types].xml><?xml version="1.0" encoding="utf-8"?>
<Types xmlns="http://schemas.openxmlformats.org/package/2006/content-types">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E5DDF9C" w14:textId="77777777" w:rsidR="00FF5437" w:rsidRPr="00FF5437" w:rsidRDefault="00FF5437" w:rsidP="00AC2069">
      <w:pPr>
        <w:pStyle w:val="Paragraph"/>
        <w:spacing w:before="0"/>
        <w:ind w:firstLine="0"/>
        <w:rPr>
          <w:b/>
          <w:smallCaps/>
        </w:rPr>
      </w:pPr>
    </w:p>
    <w:p w14:paraId="42581413" w14:textId="3C018F02" w:rsidR="00EB6D47" w:rsidRPr="00A4424B" w:rsidRDefault="00A16C38" w:rsidP="00AC2069">
      <w:pPr>
        <w:pStyle w:val="Head"/>
        <w:spacing w:before="0" w:after="0"/>
        <w:jc w:val="left"/>
        <w:rPr>
          <w:sz w:val="24"/>
          <w:szCs w:val="24"/>
        </w:rPr>
      </w:pPr>
      <w:r>
        <w:rPr>
          <w:sz w:val="24"/>
          <w:szCs w:val="24"/>
        </w:rPr>
        <w:t>Title</w:t>
      </w:r>
    </w:p>
    <w:p w14:paraId="480703C7" w14:textId="4878D0E7" w:rsidR="00EB6D47" w:rsidRPr="00A4424B" w:rsidRDefault="00925489" w:rsidP="00B32EC3">
      <w:pPr>
        <w:pStyle w:val="Head"/>
        <w:numPr>
          <w:ilvl w:val="0"/>
          <w:numId w:val="12"/>
        </w:numPr>
        <w:spacing w:before="0" w:after="0"/>
        <w:jc w:val="left"/>
        <w:rPr>
          <w:b w:val="0"/>
          <w:sz w:val="24"/>
          <w:szCs w:val="24"/>
        </w:rPr>
      </w:pPr>
      <w:r>
        <w:rPr>
          <w:b w:val="0"/>
          <w:sz w:val="24"/>
          <w:szCs w:val="24"/>
        </w:rPr>
        <w:t>E</w:t>
      </w:r>
      <w:r w:rsidR="00B32EC3" w:rsidRPr="00B32EC3">
        <w:rPr>
          <w:b w:val="0"/>
          <w:sz w:val="24"/>
          <w:szCs w:val="24"/>
        </w:rPr>
        <w:t xml:space="preserve">xperimental evidence for </w:t>
      </w:r>
      <w:r>
        <w:rPr>
          <w:b w:val="0"/>
          <w:sz w:val="24"/>
          <w:szCs w:val="24"/>
        </w:rPr>
        <w:t xml:space="preserve">short term directional </w:t>
      </w:r>
      <w:r w:rsidR="00B32EC3" w:rsidRPr="00B32EC3">
        <w:rPr>
          <w:b w:val="0"/>
          <w:sz w:val="24"/>
          <w:szCs w:val="24"/>
        </w:rPr>
        <w:t>selection of epigenetic trait variation</w:t>
      </w:r>
    </w:p>
    <w:p w14:paraId="5028D231" w14:textId="04F73D07" w:rsidR="004A10BE" w:rsidRPr="00A4424B" w:rsidRDefault="00B32EC3" w:rsidP="00AC2069">
      <w:pPr>
        <w:pStyle w:val="Head"/>
        <w:numPr>
          <w:ilvl w:val="0"/>
          <w:numId w:val="12"/>
        </w:numPr>
        <w:spacing w:before="0" w:after="0"/>
        <w:jc w:val="left"/>
        <w:rPr>
          <w:b w:val="0"/>
          <w:sz w:val="24"/>
          <w:szCs w:val="24"/>
        </w:rPr>
      </w:pPr>
      <w:r>
        <w:rPr>
          <w:b w:val="0"/>
          <w:sz w:val="24"/>
          <w:szCs w:val="24"/>
        </w:rPr>
        <w:t>Epigenetic response to selection</w:t>
      </w:r>
      <w:r w:rsidR="005B36C0">
        <w:rPr>
          <w:b w:val="0"/>
          <w:sz w:val="24"/>
          <w:szCs w:val="24"/>
        </w:rPr>
        <w:t xml:space="preserve"> </w:t>
      </w:r>
    </w:p>
    <w:p w14:paraId="49148707" w14:textId="77777777" w:rsidR="004A10BE" w:rsidRDefault="004A10BE" w:rsidP="00AC2069">
      <w:pPr>
        <w:pStyle w:val="Head"/>
        <w:spacing w:before="0" w:after="0"/>
      </w:pPr>
    </w:p>
    <w:p w14:paraId="338D0098" w14:textId="77777777" w:rsidR="00A16C38" w:rsidRDefault="004A10BE" w:rsidP="00AC2069">
      <w:pPr>
        <w:pStyle w:val="Teaser"/>
        <w:spacing w:before="0"/>
      </w:pPr>
      <w:r w:rsidRPr="00987EE5">
        <w:rPr>
          <w:b/>
        </w:rPr>
        <w:t>Authors</w:t>
      </w:r>
    </w:p>
    <w:p w14:paraId="435C9405" w14:textId="51774A8C" w:rsidR="004A10BE" w:rsidRPr="00B32EC3" w:rsidRDefault="00B32EC3" w:rsidP="00AC2069">
      <w:pPr>
        <w:pStyle w:val="Teaser"/>
        <w:spacing w:before="0"/>
        <w:ind w:firstLine="720"/>
        <w:rPr>
          <w:lang w:val="fr-FR"/>
        </w:rPr>
      </w:pPr>
      <w:r w:rsidRPr="00B32EC3">
        <w:rPr>
          <w:color w:val="000000"/>
          <w:lang w:val="fr-FR"/>
        </w:rPr>
        <w:t>Benoit Pujol,</w:t>
      </w:r>
      <w:r w:rsidRPr="00B32EC3">
        <w:rPr>
          <w:color w:val="000000"/>
          <w:vertAlign w:val="superscript"/>
          <w:lang w:val="fr-FR"/>
        </w:rPr>
        <w:t>1</w:t>
      </w:r>
      <w:r w:rsidR="004B6653">
        <w:rPr>
          <w:color w:val="000000"/>
          <w:vertAlign w:val="superscript"/>
          <w:lang w:val="fr-FR"/>
        </w:rPr>
        <w:t>*</w:t>
      </w:r>
      <w:r w:rsidRPr="00B32EC3">
        <w:rPr>
          <w:color w:val="000000"/>
          <w:lang w:val="fr-FR"/>
        </w:rPr>
        <w:t xml:space="preserve"> Mathieu Latutrie,</w:t>
      </w:r>
      <w:r w:rsidRPr="00B32EC3">
        <w:rPr>
          <w:color w:val="000000"/>
          <w:vertAlign w:val="superscript"/>
          <w:lang w:val="fr-FR"/>
        </w:rPr>
        <w:t>1</w:t>
      </w:r>
      <w:r w:rsidRPr="00B32EC3">
        <w:rPr>
          <w:color w:val="000000"/>
          <w:lang w:val="fr-FR"/>
        </w:rPr>
        <w:t xml:space="preserve"> </w:t>
      </w:r>
      <w:proofErr w:type="spellStart"/>
      <w:r w:rsidRPr="00B32EC3">
        <w:rPr>
          <w:color w:val="000000"/>
          <w:lang w:val="fr-FR"/>
        </w:rPr>
        <w:t>Nelia</w:t>
      </w:r>
      <w:proofErr w:type="spellEnd"/>
      <w:r w:rsidRPr="00B32EC3">
        <w:rPr>
          <w:color w:val="000000"/>
          <w:lang w:val="fr-FR"/>
        </w:rPr>
        <w:t xml:space="preserve"> Luviano-Aparicio,</w:t>
      </w:r>
      <w:r w:rsidRPr="00B32EC3">
        <w:rPr>
          <w:color w:val="000000"/>
          <w:vertAlign w:val="superscript"/>
          <w:lang w:val="fr-FR"/>
        </w:rPr>
        <w:t>1</w:t>
      </w:r>
      <w:r w:rsidRPr="00B32EC3">
        <w:rPr>
          <w:color w:val="000000"/>
          <w:lang w:val="fr-FR"/>
        </w:rPr>
        <w:t xml:space="preserve"> </w:t>
      </w:r>
      <w:proofErr w:type="spellStart"/>
      <w:r w:rsidRPr="00B32EC3">
        <w:rPr>
          <w:color w:val="000000"/>
          <w:lang w:val="fr-FR"/>
        </w:rPr>
        <w:t>Pierick</w:t>
      </w:r>
      <w:proofErr w:type="spellEnd"/>
      <w:r w:rsidRPr="00B32EC3">
        <w:rPr>
          <w:color w:val="000000"/>
          <w:lang w:val="fr-FR"/>
        </w:rPr>
        <w:t xml:space="preserve"> Mouginot,</w:t>
      </w:r>
      <w:r w:rsidRPr="00B32EC3">
        <w:rPr>
          <w:color w:val="000000"/>
          <w:vertAlign w:val="superscript"/>
          <w:lang w:val="fr-FR"/>
        </w:rPr>
        <w:t>1</w:t>
      </w:r>
      <w:r w:rsidRPr="00B32EC3">
        <w:rPr>
          <w:color w:val="000000"/>
          <w:lang w:val="fr-FR"/>
        </w:rPr>
        <w:t xml:space="preserve"> </w:t>
      </w:r>
      <w:proofErr w:type="spellStart"/>
      <w:r w:rsidRPr="00B32EC3">
        <w:rPr>
          <w:color w:val="000000"/>
          <w:lang w:val="fr-FR"/>
        </w:rPr>
        <w:t>Jésaëlle</w:t>
      </w:r>
      <w:proofErr w:type="spellEnd"/>
      <w:r w:rsidRPr="00B32EC3">
        <w:rPr>
          <w:color w:val="000000"/>
          <w:lang w:val="fr-FR"/>
        </w:rPr>
        <w:t xml:space="preserve"> Piquet,</w:t>
      </w:r>
      <w:r w:rsidRPr="00B32EC3">
        <w:rPr>
          <w:color w:val="000000"/>
          <w:vertAlign w:val="superscript"/>
          <w:lang w:val="fr-FR"/>
        </w:rPr>
        <w:t>1</w:t>
      </w:r>
      <w:r w:rsidRPr="00B32EC3">
        <w:rPr>
          <w:color w:val="000000"/>
          <w:lang w:val="fr-FR"/>
        </w:rPr>
        <w:t xml:space="preserve"> Sara Marin,</w:t>
      </w:r>
      <w:r w:rsidRPr="00B32EC3">
        <w:rPr>
          <w:color w:val="000000"/>
          <w:vertAlign w:val="superscript"/>
          <w:lang w:val="fr-FR"/>
        </w:rPr>
        <w:t>1</w:t>
      </w:r>
      <w:r w:rsidRPr="00B32EC3">
        <w:rPr>
          <w:color w:val="000000"/>
          <w:lang w:val="fr-FR"/>
        </w:rPr>
        <w:t xml:space="preserve"> Stéphane Maury</w:t>
      </w:r>
      <w:r w:rsidRPr="00B32EC3">
        <w:rPr>
          <w:color w:val="000000"/>
          <w:vertAlign w:val="superscript"/>
          <w:lang w:val="fr-FR"/>
        </w:rPr>
        <w:t>2</w:t>
      </w:r>
    </w:p>
    <w:p w14:paraId="3A4E959D" w14:textId="77777777" w:rsidR="00A16C38" w:rsidRPr="004B6653" w:rsidRDefault="00A16C38" w:rsidP="00AC2069">
      <w:pPr>
        <w:pStyle w:val="Paragraph"/>
        <w:spacing w:before="0"/>
        <w:ind w:firstLine="0"/>
        <w:rPr>
          <w:b/>
          <w:lang w:val="fr-FR"/>
        </w:rPr>
      </w:pPr>
    </w:p>
    <w:p w14:paraId="73CE72BC" w14:textId="77777777" w:rsidR="00A4424B" w:rsidRPr="004B6653" w:rsidRDefault="004A10BE" w:rsidP="00AC2069">
      <w:pPr>
        <w:pStyle w:val="Paragraph"/>
        <w:spacing w:before="0"/>
        <w:ind w:firstLine="0"/>
        <w:rPr>
          <w:lang w:val="fr-FR"/>
        </w:rPr>
      </w:pPr>
      <w:r w:rsidRPr="004B6653">
        <w:rPr>
          <w:b/>
          <w:lang w:val="fr-FR"/>
        </w:rPr>
        <w:t>Affiliations</w:t>
      </w:r>
      <w:r w:rsidR="00A4424B" w:rsidRPr="004B6653">
        <w:rPr>
          <w:lang w:val="fr-FR"/>
        </w:rPr>
        <w:t xml:space="preserve"> </w:t>
      </w:r>
    </w:p>
    <w:p w14:paraId="5DFEAFFD" w14:textId="6229F0AB" w:rsidR="004B6653" w:rsidRDefault="004B6653" w:rsidP="00AC2069">
      <w:pPr>
        <w:pStyle w:val="Paragraph"/>
        <w:spacing w:before="0"/>
        <w:rPr>
          <w:lang w:val="fr-FR"/>
        </w:rPr>
      </w:pPr>
      <w:r w:rsidRPr="00021BB9">
        <w:rPr>
          <w:vertAlign w:val="superscript"/>
          <w:lang w:val="fr-FR"/>
        </w:rPr>
        <w:t>1</w:t>
      </w:r>
      <w:r w:rsidRPr="00021BB9">
        <w:rPr>
          <w:lang w:val="fr-FR"/>
        </w:rPr>
        <w:t xml:space="preserve">PSL Université </w:t>
      </w:r>
      <w:proofErr w:type="gramStart"/>
      <w:r w:rsidRPr="00021BB9">
        <w:rPr>
          <w:lang w:val="fr-FR"/>
        </w:rPr>
        <w:t>Paris:</w:t>
      </w:r>
      <w:proofErr w:type="gramEnd"/>
      <w:r w:rsidRPr="00021BB9">
        <w:rPr>
          <w:lang w:val="fr-FR"/>
        </w:rPr>
        <w:t xml:space="preserve"> EPHE-UPVD-CNRS, U</w:t>
      </w:r>
      <w:r w:rsidR="006804AF">
        <w:rPr>
          <w:lang w:val="fr-FR"/>
        </w:rPr>
        <w:t>A</w:t>
      </w:r>
      <w:r w:rsidRPr="00021BB9">
        <w:rPr>
          <w:lang w:val="fr-FR"/>
        </w:rPr>
        <w:t xml:space="preserve">R 3278 CRIOBE, Université de Perpignan, 52 Avenue Paul </w:t>
      </w:r>
      <w:proofErr w:type="spellStart"/>
      <w:r w:rsidRPr="00021BB9">
        <w:rPr>
          <w:lang w:val="fr-FR"/>
        </w:rPr>
        <w:t>Alduy</w:t>
      </w:r>
      <w:proofErr w:type="spellEnd"/>
      <w:r w:rsidRPr="00021BB9">
        <w:rPr>
          <w:lang w:val="fr-FR"/>
        </w:rPr>
        <w:t>, CEDEX 9, 66860 Perpignan, France.</w:t>
      </w:r>
    </w:p>
    <w:p w14:paraId="06136FEB" w14:textId="55835523" w:rsidR="004B6653" w:rsidRDefault="004B6653" w:rsidP="00AC2069">
      <w:pPr>
        <w:pStyle w:val="Paragraph"/>
        <w:spacing w:before="0"/>
        <w:rPr>
          <w:lang w:val="fr-FR"/>
        </w:rPr>
      </w:pPr>
      <w:r w:rsidRPr="00021BB9">
        <w:rPr>
          <w:vertAlign w:val="superscript"/>
          <w:lang w:val="fr-FR"/>
        </w:rPr>
        <w:t>2</w:t>
      </w:r>
      <w:r w:rsidRPr="00021BB9">
        <w:rPr>
          <w:rFonts w:ascii="Arial" w:eastAsiaTheme="minorHAnsi" w:hAnsi="Arial" w:cs="Arial"/>
          <w:sz w:val="22"/>
          <w:szCs w:val="22"/>
          <w:lang w:val="fr-FR"/>
        </w:rPr>
        <w:t xml:space="preserve"> </w:t>
      </w:r>
      <w:r w:rsidRPr="00021BB9">
        <w:rPr>
          <w:lang w:val="fr-FR"/>
        </w:rPr>
        <w:t>INRAE, EA1207 USC1328 Laboratoire de Biologie des Ligneux et des Grandes Cultures, Université d’Orléans, F-45067 Orléans, France.</w:t>
      </w:r>
    </w:p>
    <w:p w14:paraId="2A65F822" w14:textId="21B6762D" w:rsidR="004B6653" w:rsidRPr="004B6653" w:rsidRDefault="004B6653" w:rsidP="00AC2069">
      <w:pPr>
        <w:pStyle w:val="Paragraph"/>
        <w:spacing w:before="0"/>
      </w:pPr>
      <w:r w:rsidRPr="004B6653">
        <w:t>*Correspondence to: benoit.pujol@univ-perp.fr</w:t>
      </w:r>
    </w:p>
    <w:p w14:paraId="790DECD4" w14:textId="77777777" w:rsidR="00A16C38" w:rsidRDefault="00A16C38" w:rsidP="00AC2069">
      <w:pPr>
        <w:pStyle w:val="AbstractSummary"/>
        <w:shd w:val="clear" w:color="auto" w:fill="FFFFFF"/>
        <w:spacing w:before="0"/>
        <w:rPr>
          <w:b/>
        </w:rPr>
      </w:pPr>
    </w:p>
    <w:p w14:paraId="264374C8" w14:textId="77777777" w:rsidR="007E1FBC" w:rsidRDefault="004A10BE" w:rsidP="00AC2069">
      <w:pPr>
        <w:pStyle w:val="AbstractSummary"/>
        <w:spacing w:before="0"/>
      </w:pPr>
      <w:r w:rsidRPr="00987EE5">
        <w:rPr>
          <w:b/>
        </w:rPr>
        <w:t>Abstract</w:t>
      </w:r>
    </w:p>
    <w:p w14:paraId="04E3E890" w14:textId="0DCB0213" w:rsidR="00A4424B" w:rsidRDefault="004B6653" w:rsidP="00AC2069">
      <w:pPr>
        <w:pStyle w:val="AbstractSummary"/>
        <w:spacing w:before="0"/>
        <w:ind w:left="720"/>
      </w:pPr>
      <w:r w:rsidRPr="00CA774A">
        <w:rPr>
          <w:bCs/>
        </w:rPr>
        <w:t>Evolution by natural selection can occur when organisms harbor genetically inherited phenotypic variation, and phenotypic varia</w:t>
      </w:r>
      <w:r w:rsidR="00925489">
        <w:rPr>
          <w:bCs/>
        </w:rPr>
        <w:t>nts have differential fitness. Stable t</w:t>
      </w:r>
      <w:r w:rsidRPr="00CA774A">
        <w:rPr>
          <w:bCs/>
        </w:rPr>
        <w:t xml:space="preserve">ransgenerational epigenetic variation also exists for fitness-related traits and theory predicts that selection can act on this variation alone without a contribution of genetic variation. Here, we artificially selected for divergent rosette size and plant height in experimental </w:t>
      </w:r>
      <w:r w:rsidRPr="00CA774A">
        <w:rPr>
          <w:bCs/>
          <w:i/>
        </w:rPr>
        <w:t>Arabidopsis thaliana</w:t>
      </w:r>
      <w:r w:rsidRPr="00CA774A">
        <w:rPr>
          <w:bCs/>
        </w:rPr>
        <w:t xml:space="preserve"> populations harboring DNA methylation polymorphism in an identical genetic background. We found significant epi-allele frequency changes in response to selection. Our </w:t>
      </w:r>
      <w:r w:rsidR="00925489">
        <w:rPr>
          <w:bCs/>
        </w:rPr>
        <w:t xml:space="preserve">results show how </w:t>
      </w:r>
      <w:r w:rsidRPr="00CA774A">
        <w:rPr>
          <w:bCs/>
        </w:rPr>
        <w:t xml:space="preserve">selection </w:t>
      </w:r>
      <w:r w:rsidR="00925489">
        <w:rPr>
          <w:bCs/>
        </w:rPr>
        <w:t>changed population trait values and their epigenetic basis in real time, over one generation of selection. Our results imply</w:t>
      </w:r>
      <w:r w:rsidRPr="00CA774A">
        <w:rPr>
          <w:bCs/>
        </w:rPr>
        <w:t xml:space="preserve"> </w:t>
      </w:r>
      <w:r w:rsidR="00925489">
        <w:rPr>
          <w:bCs/>
        </w:rPr>
        <w:t>the role of the t</w:t>
      </w:r>
      <w:r w:rsidR="00925489" w:rsidRPr="00CA774A">
        <w:rPr>
          <w:bCs/>
        </w:rPr>
        <w:t>ransgenerational epigenetic variation</w:t>
      </w:r>
      <w:r w:rsidR="00925489">
        <w:rPr>
          <w:bCs/>
        </w:rPr>
        <w:t xml:space="preserve"> of populations</w:t>
      </w:r>
      <w:r w:rsidR="00925489" w:rsidRPr="00CA774A">
        <w:rPr>
          <w:bCs/>
        </w:rPr>
        <w:t xml:space="preserve"> </w:t>
      </w:r>
      <w:r w:rsidRPr="00CA774A">
        <w:rPr>
          <w:bCs/>
        </w:rPr>
        <w:t>as an additional source of short-term adaptive potential.</w:t>
      </w:r>
      <w:r w:rsidR="004A10BE">
        <w:t xml:space="preserve"> </w:t>
      </w:r>
    </w:p>
    <w:p w14:paraId="401B3BE3" w14:textId="77777777" w:rsidR="00925489" w:rsidRDefault="00925489" w:rsidP="00AC2069">
      <w:pPr>
        <w:pStyle w:val="AbstractSummary"/>
        <w:spacing w:before="0"/>
        <w:ind w:left="720"/>
      </w:pPr>
    </w:p>
    <w:p w14:paraId="7C71CFFA" w14:textId="3F6E3A82" w:rsidR="007E1FBC" w:rsidRDefault="00FC2185" w:rsidP="00AC2069">
      <w:pPr>
        <w:pStyle w:val="Paragraph"/>
        <w:spacing w:before="0"/>
        <w:ind w:firstLine="0"/>
        <w:rPr>
          <w:b/>
        </w:rPr>
      </w:pPr>
      <w:r>
        <w:rPr>
          <w:b/>
        </w:rPr>
        <w:t>Teaser</w:t>
      </w:r>
    </w:p>
    <w:p w14:paraId="02C769B1" w14:textId="1067EB6B" w:rsidR="00FC2185" w:rsidRDefault="004B6653" w:rsidP="00A320EB">
      <w:pPr>
        <w:pStyle w:val="Paragraph"/>
        <w:spacing w:before="0"/>
        <w:ind w:left="720" w:firstLine="0"/>
      </w:pPr>
      <w:r>
        <w:t>Trait based s</w:t>
      </w:r>
      <w:r w:rsidRPr="004B6653">
        <w:t xml:space="preserve">election </w:t>
      </w:r>
      <w:r>
        <w:t xml:space="preserve">experiment in </w:t>
      </w:r>
      <w:r w:rsidRPr="004B6653">
        <w:rPr>
          <w:i/>
        </w:rPr>
        <w:t>Arabidopsis</w:t>
      </w:r>
      <w:r>
        <w:t xml:space="preserve"> </w:t>
      </w:r>
      <w:r w:rsidR="005C046A">
        <w:t>recombinant inbred lines drives epigenetic changes</w:t>
      </w:r>
      <w:r>
        <w:t xml:space="preserve"> </w:t>
      </w:r>
      <w:r w:rsidR="005C046A">
        <w:t>in</w:t>
      </w:r>
      <w:r>
        <w:t xml:space="preserve"> response to selection. </w:t>
      </w:r>
    </w:p>
    <w:p w14:paraId="38F9B07E" w14:textId="77777777" w:rsidR="00A320EB" w:rsidRDefault="00A320EB" w:rsidP="000377D0">
      <w:pPr>
        <w:pStyle w:val="Paragraph"/>
        <w:spacing w:before="0"/>
        <w:ind w:left="720" w:firstLine="0"/>
        <w:rPr>
          <w:b/>
        </w:rPr>
      </w:pPr>
    </w:p>
    <w:p w14:paraId="3544ADEB" w14:textId="77777777" w:rsidR="004A10BE" w:rsidRPr="00FF5437" w:rsidRDefault="007E1FBC" w:rsidP="00AC2069">
      <w:pPr>
        <w:pStyle w:val="Paragraph"/>
        <w:spacing w:before="0"/>
        <w:ind w:firstLine="0"/>
        <w:rPr>
          <w:b/>
          <w:smallCaps/>
        </w:rPr>
      </w:pPr>
      <w:r w:rsidRPr="00FF5437">
        <w:rPr>
          <w:b/>
          <w:smallCaps/>
        </w:rPr>
        <w:t>MAIN TEXT</w:t>
      </w:r>
    </w:p>
    <w:p w14:paraId="26D0F334" w14:textId="77777777" w:rsidR="00A16C38" w:rsidRDefault="00A16C38" w:rsidP="00AC2069">
      <w:pPr>
        <w:pStyle w:val="Paragraph"/>
        <w:spacing w:before="0"/>
        <w:ind w:firstLine="0"/>
        <w:rPr>
          <w:b/>
        </w:rPr>
      </w:pPr>
    </w:p>
    <w:p w14:paraId="390EDBC5" w14:textId="77777777" w:rsidR="00DF2EEA" w:rsidRDefault="00DF2EEA" w:rsidP="00AC2069">
      <w:pPr>
        <w:pStyle w:val="Paragraph"/>
        <w:spacing w:before="0"/>
        <w:ind w:firstLine="0"/>
        <w:rPr>
          <w:b/>
        </w:rPr>
      </w:pPr>
      <w:r>
        <w:rPr>
          <w:b/>
        </w:rPr>
        <w:t>The manuscript should be a maximum of 15,000 words.</w:t>
      </w:r>
    </w:p>
    <w:p w14:paraId="0A11F228" w14:textId="77777777" w:rsidR="00DF2EEA" w:rsidRDefault="00DF2EEA" w:rsidP="00AC2069">
      <w:pPr>
        <w:pStyle w:val="Paragraph"/>
        <w:spacing w:before="0"/>
        <w:ind w:firstLine="0"/>
        <w:rPr>
          <w:b/>
        </w:rPr>
      </w:pPr>
    </w:p>
    <w:p w14:paraId="6D8396FC" w14:textId="77777777" w:rsidR="004A10BE" w:rsidRDefault="004A10BE" w:rsidP="00AC2069">
      <w:pPr>
        <w:pStyle w:val="Paragraph"/>
        <w:spacing w:before="0"/>
        <w:ind w:firstLine="0"/>
        <w:rPr>
          <w:b/>
        </w:rPr>
      </w:pPr>
      <w:r>
        <w:rPr>
          <w:b/>
        </w:rPr>
        <w:t>Introduction</w:t>
      </w:r>
    </w:p>
    <w:p w14:paraId="33D997EA" w14:textId="1F83200B" w:rsidR="00275203" w:rsidRDefault="005C046A" w:rsidP="005C046A">
      <w:pPr>
        <w:spacing w:after="100" w:afterAutospacing="1"/>
        <w:ind w:left="720"/>
        <w:rPr>
          <w:rFonts w:eastAsia="Times New Roman"/>
          <w:sz w:val="24"/>
          <w:szCs w:val="24"/>
        </w:rPr>
      </w:pPr>
      <w:r w:rsidRPr="005C046A">
        <w:rPr>
          <w:rFonts w:eastAsia="Times New Roman"/>
          <w:sz w:val="24"/>
          <w:szCs w:val="24"/>
        </w:rPr>
        <w:t xml:space="preserve">Evolution by natural selection occurs when </w:t>
      </w:r>
      <w:proofErr w:type="gramStart"/>
      <w:r w:rsidRPr="005C046A">
        <w:rPr>
          <w:rFonts w:eastAsia="Times New Roman"/>
          <w:sz w:val="24"/>
          <w:szCs w:val="24"/>
        </w:rPr>
        <w:t>organisms</w:t>
      </w:r>
      <w:proofErr w:type="gramEnd"/>
      <w:r w:rsidRPr="005C046A">
        <w:rPr>
          <w:rFonts w:eastAsia="Times New Roman"/>
          <w:sz w:val="24"/>
          <w:szCs w:val="24"/>
        </w:rPr>
        <w:t xml:space="preserve"> express heritable variation for fitness. As a result, fitness-related traits change in response to selection (</w:t>
      </w:r>
      <w:r w:rsidR="002C5B58">
        <w:rPr>
          <w:rFonts w:eastAsia="Times New Roman"/>
          <w:sz w:val="24"/>
          <w:szCs w:val="24"/>
        </w:rPr>
        <w:t>Walsh and Lynch 2018</w:t>
      </w:r>
      <w:r w:rsidRPr="005C046A">
        <w:rPr>
          <w:rFonts w:eastAsia="Times New Roman"/>
          <w:sz w:val="24"/>
          <w:szCs w:val="24"/>
        </w:rPr>
        <w:t>). The heritable trait variation upon which selection can act is typically equated to variation in the DNA sequence of bases in most studies of adaptive evolution. However, transgenerational epigenetic variation exists for fitness-related traits (</w:t>
      </w:r>
      <w:proofErr w:type="spellStart"/>
      <w:r w:rsidR="002C5B58" w:rsidRPr="002C5B58">
        <w:rPr>
          <w:rFonts w:eastAsia="Times New Roman"/>
          <w:sz w:val="24"/>
          <w:szCs w:val="24"/>
        </w:rPr>
        <w:t>Kronholm</w:t>
      </w:r>
      <w:proofErr w:type="spellEnd"/>
      <w:r w:rsidR="002C5B58" w:rsidRPr="002C5B58">
        <w:rPr>
          <w:rFonts w:eastAsia="Times New Roman"/>
          <w:sz w:val="24"/>
          <w:szCs w:val="24"/>
        </w:rPr>
        <w:t xml:space="preserve"> </w:t>
      </w:r>
      <w:r w:rsidR="002C5B58">
        <w:rPr>
          <w:rFonts w:eastAsia="Times New Roman"/>
          <w:sz w:val="24"/>
          <w:szCs w:val="24"/>
        </w:rPr>
        <w:t xml:space="preserve">et al. 2017, </w:t>
      </w:r>
      <w:proofErr w:type="spellStart"/>
      <w:r w:rsidR="002C5B58" w:rsidRPr="002C5B58">
        <w:rPr>
          <w:rFonts w:eastAsia="Times New Roman"/>
          <w:sz w:val="24"/>
          <w:szCs w:val="24"/>
        </w:rPr>
        <w:t>Muyle</w:t>
      </w:r>
      <w:proofErr w:type="spellEnd"/>
      <w:r w:rsidR="002C5B58" w:rsidRPr="002C5B58">
        <w:rPr>
          <w:rFonts w:eastAsia="Times New Roman"/>
          <w:sz w:val="24"/>
          <w:szCs w:val="24"/>
        </w:rPr>
        <w:t xml:space="preserve"> </w:t>
      </w:r>
      <w:r w:rsidR="002C5B58">
        <w:rPr>
          <w:rFonts w:eastAsia="Times New Roman"/>
          <w:sz w:val="24"/>
          <w:szCs w:val="24"/>
        </w:rPr>
        <w:t>et al. 2021,</w:t>
      </w:r>
      <w:r w:rsidR="002C5B58" w:rsidRPr="002C5B58">
        <w:rPr>
          <w:rFonts w:eastAsia="Times New Roman"/>
          <w:sz w:val="24"/>
          <w:szCs w:val="24"/>
        </w:rPr>
        <w:t xml:space="preserve"> </w:t>
      </w:r>
      <w:proofErr w:type="spellStart"/>
      <w:r w:rsidR="002C5B58" w:rsidRPr="002C5B58">
        <w:rPr>
          <w:rFonts w:eastAsia="Times New Roman"/>
          <w:sz w:val="24"/>
          <w:szCs w:val="24"/>
        </w:rPr>
        <w:t>Stajic</w:t>
      </w:r>
      <w:proofErr w:type="spellEnd"/>
      <w:r w:rsidR="002C5B58" w:rsidRPr="002C5B58">
        <w:rPr>
          <w:rFonts w:eastAsia="Times New Roman"/>
          <w:sz w:val="24"/>
          <w:szCs w:val="24"/>
        </w:rPr>
        <w:t xml:space="preserve"> </w:t>
      </w:r>
      <w:r w:rsidR="002C5B58">
        <w:rPr>
          <w:rFonts w:eastAsia="Times New Roman"/>
          <w:sz w:val="24"/>
          <w:szCs w:val="24"/>
        </w:rPr>
        <w:t>et al. 2019</w:t>
      </w:r>
      <w:r w:rsidRPr="005C046A">
        <w:rPr>
          <w:rFonts w:eastAsia="Times New Roman"/>
          <w:sz w:val="24"/>
          <w:szCs w:val="24"/>
        </w:rPr>
        <w:t>). Under the assumption that epigenetic variants are stable across generations, theory predicts that selection can act on this heritable variation alone, without any contribution of genetic variation (</w:t>
      </w:r>
      <w:proofErr w:type="spellStart"/>
      <w:r w:rsidR="00115D9D" w:rsidRPr="00115D9D">
        <w:rPr>
          <w:rFonts w:eastAsia="Times New Roman"/>
          <w:sz w:val="24"/>
          <w:szCs w:val="24"/>
        </w:rPr>
        <w:t>Bonduriansky</w:t>
      </w:r>
      <w:proofErr w:type="spellEnd"/>
      <w:r w:rsidR="00115D9D">
        <w:rPr>
          <w:rFonts w:eastAsia="Times New Roman"/>
          <w:sz w:val="24"/>
          <w:szCs w:val="24"/>
        </w:rPr>
        <w:t xml:space="preserve"> and</w:t>
      </w:r>
      <w:r w:rsidR="00115D9D" w:rsidRPr="00115D9D">
        <w:rPr>
          <w:rFonts w:eastAsia="Times New Roman"/>
          <w:sz w:val="24"/>
          <w:szCs w:val="24"/>
        </w:rPr>
        <w:t xml:space="preserve"> Day </w:t>
      </w:r>
      <w:r w:rsidR="00115D9D">
        <w:rPr>
          <w:rFonts w:eastAsia="Times New Roman"/>
          <w:sz w:val="24"/>
          <w:szCs w:val="24"/>
        </w:rPr>
        <w:t xml:space="preserve">2009, </w:t>
      </w:r>
      <w:proofErr w:type="spellStart"/>
      <w:r w:rsidR="00115D9D" w:rsidRPr="00115D9D">
        <w:rPr>
          <w:rFonts w:eastAsia="Times New Roman"/>
          <w:sz w:val="24"/>
          <w:szCs w:val="24"/>
        </w:rPr>
        <w:t>Danchin</w:t>
      </w:r>
      <w:proofErr w:type="spellEnd"/>
      <w:r w:rsidR="00115D9D" w:rsidRPr="00115D9D">
        <w:rPr>
          <w:rFonts w:eastAsia="Times New Roman"/>
          <w:sz w:val="24"/>
          <w:szCs w:val="24"/>
        </w:rPr>
        <w:t xml:space="preserve"> </w:t>
      </w:r>
      <w:r w:rsidR="00115D9D">
        <w:rPr>
          <w:rFonts w:eastAsia="Times New Roman"/>
          <w:sz w:val="24"/>
          <w:szCs w:val="24"/>
        </w:rPr>
        <w:t xml:space="preserve">et al. 2011, </w:t>
      </w:r>
      <w:proofErr w:type="spellStart"/>
      <w:r w:rsidR="00C669F9">
        <w:rPr>
          <w:rFonts w:eastAsia="Times New Roman"/>
          <w:sz w:val="24"/>
          <w:szCs w:val="24"/>
        </w:rPr>
        <w:t>Jablonka</w:t>
      </w:r>
      <w:bookmarkStart w:id="0" w:name="_GoBack"/>
      <w:bookmarkEnd w:id="0"/>
      <w:proofErr w:type="spellEnd"/>
      <w:r w:rsidR="00115D9D">
        <w:rPr>
          <w:rFonts w:eastAsia="Times New Roman"/>
          <w:sz w:val="24"/>
          <w:szCs w:val="24"/>
        </w:rPr>
        <w:t xml:space="preserve"> et al. 2014</w:t>
      </w:r>
      <w:r w:rsidRPr="005C046A">
        <w:rPr>
          <w:rFonts w:eastAsia="Times New Roman"/>
          <w:sz w:val="24"/>
          <w:szCs w:val="24"/>
        </w:rPr>
        <w:t xml:space="preserve">). </w:t>
      </w:r>
    </w:p>
    <w:p w14:paraId="4F71AE56" w14:textId="658BFE9F" w:rsidR="00275203" w:rsidRDefault="005C046A" w:rsidP="005C046A">
      <w:pPr>
        <w:spacing w:after="100" w:afterAutospacing="1"/>
        <w:ind w:left="720"/>
        <w:rPr>
          <w:rFonts w:eastAsia="Times New Roman"/>
          <w:sz w:val="24"/>
          <w:szCs w:val="24"/>
        </w:rPr>
      </w:pPr>
      <w:proofErr w:type="spellStart"/>
      <w:r w:rsidRPr="005C046A">
        <w:rPr>
          <w:rFonts w:eastAsia="Times New Roman"/>
          <w:sz w:val="24"/>
          <w:szCs w:val="24"/>
        </w:rPr>
        <w:t>Epigenome</w:t>
      </w:r>
      <w:proofErr w:type="spellEnd"/>
      <w:r w:rsidRPr="005C046A">
        <w:rPr>
          <w:rFonts w:eastAsia="Times New Roman"/>
          <w:sz w:val="24"/>
          <w:szCs w:val="24"/>
        </w:rPr>
        <w:t>-wide association studies (EWAS) have been successfully used in the past (</w:t>
      </w:r>
      <w:r w:rsidR="00115D9D" w:rsidRPr="00115D9D">
        <w:rPr>
          <w:rFonts w:eastAsia="Times New Roman"/>
          <w:sz w:val="24"/>
          <w:szCs w:val="24"/>
        </w:rPr>
        <w:t>Ong-Abdullah</w:t>
      </w:r>
      <w:r w:rsidR="00115D9D">
        <w:rPr>
          <w:rFonts w:eastAsia="Times New Roman"/>
          <w:sz w:val="24"/>
          <w:szCs w:val="24"/>
        </w:rPr>
        <w:t xml:space="preserve"> et al. 2015</w:t>
      </w:r>
      <w:r w:rsidRPr="005C046A">
        <w:rPr>
          <w:rFonts w:eastAsia="Times New Roman"/>
          <w:sz w:val="24"/>
          <w:szCs w:val="24"/>
        </w:rPr>
        <w:t xml:space="preserve">) to identify population divergence based on heritable DNA </w:t>
      </w:r>
      <w:r w:rsidRPr="005C046A">
        <w:rPr>
          <w:rFonts w:eastAsia="Times New Roman"/>
          <w:sz w:val="24"/>
          <w:szCs w:val="24"/>
        </w:rPr>
        <w:lastRenderedPageBreak/>
        <w:t>methylation patterns linked to phenotypic traits. Th</w:t>
      </w:r>
      <w:r w:rsidR="00275203">
        <w:rPr>
          <w:rFonts w:eastAsia="Times New Roman"/>
          <w:sz w:val="24"/>
          <w:szCs w:val="24"/>
        </w:rPr>
        <w:t>e presence of epigenetic</w:t>
      </w:r>
      <w:r w:rsidRPr="005C046A">
        <w:rPr>
          <w:rFonts w:eastAsia="Times New Roman"/>
          <w:sz w:val="24"/>
          <w:szCs w:val="24"/>
        </w:rPr>
        <w:t xml:space="preserve"> divergence </w:t>
      </w:r>
      <w:r w:rsidR="00275203">
        <w:rPr>
          <w:rFonts w:eastAsia="Times New Roman"/>
          <w:sz w:val="24"/>
          <w:szCs w:val="24"/>
        </w:rPr>
        <w:t xml:space="preserve">between populations that have a variable genomic background is difficult to interpret as strong evidence that </w:t>
      </w:r>
      <w:r w:rsidRPr="005C046A">
        <w:rPr>
          <w:rFonts w:eastAsia="Times New Roman"/>
          <w:sz w:val="24"/>
          <w:szCs w:val="24"/>
        </w:rPr>
        <w:t>selection</w:t>
      </w:r>
      <w:r w:rsidR="00337AC2">
        <w:rPr>
          <w:rFonts w:eastAsia="Times New Roman"/>
          <w:sz w:val="24"/>
          <w:szCs w:val="24"/>
        </w:rPr>
        <w:t xml:space="preserve"> can shape </w:t>
      </w:r>
      <w:r w:rsidR="00275203">
        <w:rPr>
          <w:rFonts w:eastAsia="Times New Roman"/>
          <w:sz w:val="24"/>
          <w:szCs w:val="24"/>
        </w:rPr>
        <w:t>standing epigenetic variation independently from DNA sequence variation but sheds light on this possible scenario</w:t>
      </w:r>
      <w:r w:rsidRPr="005C046A">
        <w:rPr>
          <w:rFonts w:eastAsia="Times New Roman"/>
          <w:sz w:val="24"/>
          <w:szCs w:val="24"/>
        </w:rPr>
        <w:t xml:space="preserve">. </w:t>
      </w:r>
    </w:p>
    <w:p w14:paraId="5B7AF295" w14:textId="0B7D4831" w:rsidR="005C046A" w:rsidRPr="005C046A" w:rsidRDefault="005C046A" w:rsidP="00F0744D">
      <w:pPr>
        <w:spacing w:after="100" w:afterAutospacing="1"/>
        <w:ind w:left="720"/>
        <w:rPr>
          <w:rFonts w:eastAsia="Times New Roman"/>
          <w:sz w:val="24"/>
          <w:szCs w:val="24"/>
        </w:rPr>
      </w:pPr>
      <w:r w:rsidRPr="005C046A">
        <w:rPr>
          <w:rFonts w:eastAsia="Times New Roman"/>
          <w:sz w:val="24"/>
          <w:szCs w:val="24"/>
        </w:rPr>
        <w:t>The stakes are high for evaluating the potential role of epigenetic variation as a source of variation upon which selection can act</w:t>
      </w:r>
      <w:r w:rsidR="00A274AB">
        <w:rPr>
          <w:rFonts w:eastAsia="Times New Roman"/>
          <w:sz w:val="24"/>
          <w:szCs w:val="24"/>
        </w:rPr>
        <w:t xml:space="preserve">. This is because the epigenetic response to selection may participate to </w:t>
      </w:r>
      <w:r w:rsidR="00F0744D">
        <w:rPr>
          <w:rFonts w:eastAsia="Times New Roman"/>
          <w:sz w:val="24"/>
          <w:szCs w:val="24"/>
        </w:rPr>
        <w:t xml:space="preserve">adaptation of </w:t>
      </w:r>
      <w:r w:rsidR="00A274AB">
        <w:rPr>
          <w:rFonts w:eastAsia="Times New Roman"/>
          <w:sz w:val="24"/>
          <w:szCs w:val="24"/>
        </w:rPr>
        <w:t xml:space="preserve">wild populations </w:t>
      </w:r>
      <w:r w:rsidR="00F0744D">
        <w:rPr>
          <w:rFonts w:eastAsia="Times New Roman"/>
          <w:sz w:val="24"/>
          <w:szCs w:val="24"/>
        </w:rPr>
        <w:t xml:space="preserve">confronted to </w:t>
      </w:r>
      <w:r w:rsidR="00A274AB">
        <w:rPr>
          <w:rFonts w:eastAsia="Times New Roman"/>
          <w:sz w:val="24"/>
          <w:szCs w:val="24"/>
        </w:rPr>
        <w:t xml:space="preserve">environmental constraints. </w:t>
      </w:r>
      <w:r w:rsidR="00F0744D">
        <w:rPr>
          <w:rFonts w:eastAsia="Times New Roman"/>
          <w:sz w:val="24"/>
          <w:szCs w:val="24"/>
        </w:rPr>
        <w:t xml:space="preserve">Selection of </w:t>
      </w:r>
      <w:r w:rsidR="00A274AB">
        <w:rPr>
          <w:rFonts w:eastAsia="Times New Roman"/>
          <w:sz w:val="24"/>
          <w:szCs w:val="24"/>
        </w:rPr>
        <w:t xml:space="preserve">standing epigenetic variation could </w:t>
      </w:r>
      <w:r w:rsidR="002D43B6">
        <w:rPr>
          <w:rFonts w:eastAsia="Times New Roman"/>
          <w:sz w:val="24"/>
          <w:szCs w:val="24"/>
        </w:rPr>
        <w:t xml:space="preserve">also </w:t>
      </w:r>
      <w:r w:rsidR="00F0744D">
        <w:rPr>
          <w:rFonts w:eastAsia="Times New Roman"/>
          <w:sz w:val="24"/>
          <w:szCs w:val="24"/>
        </w:rPr>
        <w:t xml:space="preserve">participate </w:t>
      </w:r>
      <w:r w:rsidR="002D43B6">
        <w:rPr>
          <w:rFonts w:eastAsia="Times New Roman"/>
          <w:sz w:val="24"/>
          <w:szCs w:val="24"/>
        </w:rPr>
        <w:t xml:space="preserve">to breeding strategies </w:t>
      </w:r>
      <w:r w:rsidR="00F0744D">
        <w:rPr>
          <w:rFonts w:eastAsia="Times New Roman"/>
          <w:sz w:val="24"/>
          <w:szCs w:val="24"/>
        </w:rPr>
        <w:t>(</w:t>
      </w:r>
      <w:proofErr w:type="spellStart"/>
      <w:r w:rsidR="00EA184F" w:rsidRPr="00EA184F">
        <w:rPr>
          <w:rFonts w:eastAsia="Times New Roman"/>
          <w:sz w:val="24"/>
          <w:szCs w:val="24"/>
        </w:rPr>
        <w:t>Kakoulidou</w:t>
      </w:r>
      <w:proofErr w:type="spellEnd"/>
      <w:r w:rsidR="00EA184F">
        <w:rPr>
          <w:rFonts w:eastAsia="Times New Roman"/>
          <w:sz w:val="24"/>
          <w:szCs w:val="24"/>
        </w:rPr>
        <w:t xml:space="preserve"> et al. 2021</w:t>
      </w:r>
      <w:r w:rsidR="00F0744D">
        <w:rPr>
          <w:rFonts w:eastAsia="Times New Roman"/>
          <w:sz w:val="24"/>
          <w:szCs w:val="24"/>
        </w:rPr>
        <w:t xml:space="preserve">). Epigenetic breeding might be rather straight forward </w:t>
      </w:r>
      <w:r w:rsidR="002D43B6">
        <w:rPr>
          <w:rFonts w:eastAsia="Times New Roman"/>
          <w:sz w:val="24"/>
          <w:szCs w:val="24"/>
        </w:rPr>
        <w:t xml:space="preserve">in </w:t>
      </w:r>
      <w:proofErr w:type="spellStart"/>
      <w:r w:rsidR="002D43B6">
        <w:rPr>
          <w:rFonts w:eastAsia="Times New Roman"/>
          <w:sz w:val="24"/>
          <w:szCs w:val="24"/>
        </w:rPr>
        <w:t>vegetatively</w:t>
      </w:r>
      <w:proofErr w:type="spellEnd"/>
      <w:r w:rsidR="002D43B6">
        <w:rPr>
          <w:rFonts w:eastAsia="Times New Roman"/>
          <w:sz w:val="24"/>
          <w:szCs w:val="24"/>
        </w:rPr>
        <w:t xml:space="preserve"> propagated </w:t>
      </w:r>
      <w:r w:rsidR="00F0744D">
        <w:rPr>
          <w:rFonts w:eastAsia="Times New Roman"/>
          <w:sz w:val="24"/>
          <w:szCs w:val="24"/>
        </w:rPr>
        <w:t>crops (</w:t>
      </w:r>
      <w:proofErr w:type="spellStart"/>
      <w:r w:rsidR="00EA184F">
        <w:rPr>
          <w:rFonts w:eastAsia="Times New Roman"/>
          <w:sz w:val="24"/>
          <w:szCs w:val="24"/>
        </w:rPr>
        <w:t>Latutrie</w:t>
      </w:r>
      <w:proofErr w:type="spellEnd"/>
      <w:r w:rsidR="00EA184F">
        <w:rPr>
          <w:rFonts w:eastAsia="Times New Roman"/>
          <w:sz w:val="24"/>
          <w:szCs w:val="24"/>
        </w:rPr>
        <w:t xml:space="preserve"> et al. 2019</w:t>
      </w:r>
      <w:r w:rsidR="00F0744D">
        <w:rPr>
          <w:rFonts w:eastAsia="Times New Roman"/>
          <w:sz w:val="24"/>
          <w:szCs w:val="24"/>
        </w:rPr>
        <w:t>), and in seed crops if the response to selection can be predicted from the epigenetic heritability and the selection differential, as usually done on the basis of the standing genetic variation of traits (</w:t>
      </w:r>
      <w:r w:rsidR="00EA184F">
        <w:rPr>
          <w:rFonts w:eastAsia="Times New Roman"/>
          <w:sz w:val="24"/>
          <w:szCs w:val="24"/>
        </w:rPr>
        <w:t>Walsh and Lynch 2018</w:t>
      </w:r>
      <w:r w:rsidR="00F0744D">
        <w:rPr>
          <w:rFonts w:eastAsia="Times New Roman"/>
          <w:sz w:val="24"/>
          <w:szCs w:val="24"/>
        </w:rPr>
        <w:t xml:space="preserve">). Another stake lies in the debate around </w:t>
      </w:r>
      <w:r w:rsidRPr="005C046A">
        <w:rPr>
          <w:rFonts w:eastAsia="Times New Roman"/>
          <w:sz w:val="24"/>
          <w:szCs w:val="24"/>
        </w:rPr>
        <w:t xml:space="preserve">the </w:t>
      </w:r>
      <w:r w:rsidR="00775A17">
        <w:rPr>
          <w:rFonts w:eastAsia="Times New Roman"/>
          <w:sz w:val="24"/>
          <w:szCs w:val="24"/>
        </w:rPr>
        <w:t>evolutionary significance of</w:t>
      </w:r>
      <w:r w:rsidR="00775A17" w:rsidRPr="005C046A">
        <w:rPr>
          <w:rFonts w:eastAsia="Times New Roman"/>
          <w:sz w:val="24"/>
          <w:szCs w:val="24"/>
        </w:rPr>
        <w:t xml:space="preserve"> </w:t>
      </w:r>
      <w:r w:rsidRPr="005C046A">
        <w:rPr>
          <w:rFonts w:eastAsia="Times New Roman"/>
          <w:sz w:val="24"/>
          <w:szCs w:val="24"/>
        </w:rPr>
        <w:t>epigenetic variation (</w:t>
      </w:r>
      <w:proofErr w:type="spellStart"/>
      <w:r w:rsidR="008F240B" w:rsidRPr="008F240B">
        <w:rPr>
          <w:rFonts w:eastAsia="Times New Roman"/>
          <w:sz w:val="24"/>
          <w:szCs w:val="24"/>
        </w:rPr>
        <w:t>Charlesworth</w:t>
      </w:r>
      <w:proofErr w:type="spellEnd"/>
      <w:r w:rsidR="008F240B" w:rsidRPr="008F240B">
        <w:rPr>
          <w:rFonts w:eastAsia="Times New Roman"/>
          <w:sz w:val="24"/>
          <w:szCs w:val="24"/>
        </w:rPr>
        <w:t xml:space="preserve"> </w:t>
      </w:r>
      <w:r w:rsidR="008F240B">
        <w:rPr>
          <w:rFonts w:eastAsia="Times New Roman"/>
          <w:sz w:val="24"/>
          <w:szCs w:val="24"/>
        </w:rPr>
        <w:t xml:space="preserve">et al. 20017, </w:t>
      </w:r>
      <w:proofErr w:type="spellStart"/>
      <w:r w:rsidR="008F240B" w:rsidRPr="008F240B">
        <w:rPr>
          <w:rFonts w:eastAsia="Times New Roman"/>
          <w:sz w:val="24"/>
          <w:szCs w:val="24"/>
        </w:rPr>
        <w:t>Quadrana</w:t>
      </w:r>
      <w:proofErr w:type="spellEnd"/>
      <w:r w:rsidR="008F240B" w:rsidRPr="008F240B">
        <w:rPr>
          <w:rFonts w:eastAsia="Times New Roman"/>
          <w:sz w:val="24"/>
          <w:szCs w:val="24"/>
        </w:rPr>
        <w:t xml:space="preserve"> </w:t>
      </w:r>
      <w:r w:rsidR="008F240B">
        <w:rPr>
          <w:rFonts w:eastAsia="Times New Roman"/>
          <w:sz w:val="24"/>
          <w:szCs w:val="24"/>
        </w:rPr>
        <w:t xml:space="preserve">and </w:t>
      </w:r>
      <w:proofErr w:type="spellStart"/>
      <w:r w:rsidR="008F240B">
        <w:rPr>
          <w:rFonts w:eastAsia="Times New Roman"/>
          <w:sz w:val="24"/>
          <w:szCs w:val="24"/>
        </w:rPr>
        <w:t>Colot</w:t>
      </w:r>
      <w:proofErr w:type="spellEnd"/>
      <w:r w:rsidR="008F240B">
        <w:rPr>
          <w:rFonts w:eastAsia="Times New Roman"/>
          <w:sz w:val="24"/>
          <w:szCs w:val="24"/>
        </w:rPr>
        <w:t xml:space="preserve"> 2016, </w:t>
      </w:r>
      <w:r w:rsidR="008F240B" w:rsidRPr="008F240B">
        <w:rPr>
          <w:rFonts w:eastAsia="Times New Roman"/>
          <w:sz w:val="24"/>
          <w:szCs w:val="24"/>
        </w:rPr>
        <w:t xml:space="preserve">Richards </w:t>
      </w:r>
      <w:r w:rsidR="008F240B">
        <w:rPr>
          <w:rFonts w:eastAsia="Times New Roman"/>
          <w:sz w:val="24"/>
          <w:szCs w:val="24"/>
        </w:rPr>
        <w:t xml:space="preserve">et al. 2017, </w:t>
      </w:r>
      <w:proofErr w:type="spellStart"/>
      <w:r w:rsidR="008F240B" w:rsidRPr="008F240B">
        <w:rPr>
          <w:rFonts w:eastAsia="Times New Roman"/>
          <w:sz w:val="24"/>
          <w:szCs w:val="24"/>
        </w:rPr>
        <w:t>Verhoeven</w:t>
      </w:r>
      <w:proofErr w:type="spellEnd"/>
      <w:r w:rsidR="008F240B">
        <w:rPr>
          <w:rFonts w:eastAsia="Times New Roman"/>
          <w:sz w:val="24"/>
          <w:szCs w:val="24"/>
        </w:rPr>
        <w:t xml:space="preserve"> et al. 2016</w:t>
      </w:r>
      <w:r w:rsidRPr="005C046A">
        <w:rPr>
          <w:rFonts w:eastAsia="Times New Roman"/>
          <w:sz w:val="24"/>
          <w:szCs w:val="24"/>
        </w:rPr>
        <w:t xml:space="preserve">). This debate roots in </w:t>
      </w:r>
      <w:r w:rsidR="00A27A5C">
        <w:rPr>
          <w:rFonts w:eastAsia="Times New Roman"/>
          <w:sz w:val="24"/>
          <w:szCs w:val="24"/>
        </w:rPr>
        <w:t xml:space="preserve">the confounded </w:t>
      </w:r>
      <w:r w:rsidRPr="005C046A">
        <w:rPr>
          <w:rFonts w:eastAsia="Times New Roman"/>
          <w:sz w:val="24"/>
          <w:szCs w:val="24"/>
        </w:rPr>
        <w:t xml:space="preserve">genetic and epigenetic variations </w:t>
      </w:r>
      <w:r w:rsidR="00A27A5C">
        <w:rPr>
          <w:rFonts w:eastAsia="Times New Roman"/>
          <w:sz w:val="24"/>
          <w:szCs w:val="24"/>
        </w:rPr>
        <w:t xml:space="preserve">of traits </w:t>
      </w:r>
      <w:r w:rsidRPr="005C046A">
        <w:rPr>
          <w:rFonts w:eastAsia="Times New Roman"/>
          <w:sz w:val="24"/>
          <w:szCs w:val="24"/>
        </w:rPr>
        <w:t xml:space="preserve">that </w:t>
      </w:r>
      <w:r w:rsidR="00A27A5C">
        <w:rPr>
          <w:rFonts w:eastAsia="Times New Roman"/>
          <w:sz w:val="24"/>
          <w:szCs w:val="24"/>
        </w:rPr>
        <w:t>are technically and statistically difficult to separate (</w:t>
      </w:r>
      <w:r w:rsidR="00EA184F">
        <w:rPr>
          <w:rFonts w:eastAsia="Times New Roman"/>
          <w:sz w:val="24"/>
          <w:szCs w:val="24"/>
        </w:rPr>
        <w:t>T</w:t>
      </w:r>
      <w:r w:rsidR="00A27A5C">
        <w:rPr>
          <w:rFonts w:eastAsia="Times New Roman"/>
          <w:sz w:val="24"/>
          <w:szCs w:val="24"/>
        </w:rPr>
        <w:t>homson</w:t>
      </w:r>
      <w:r w:rsidR="00EA184F">
        <w:rPr>
          <w:rFonts w:eastAsia="Times New Roman"/>
          <w:sz w:val="24"/>
          <w:szCs w:val="24"/>
        </w:rPr>
        <w:t xml:space="preserve"> et al. 2018</w:t>
      </w:r>
      <w:r w:rsidR="00A27A5C">
        <w:rPr>
          <w:rFonts w:eastAsia="Times New Roman"/>
          <w:sz w:val="24"/>
          <w:szCs w:val="24"/>
        </w:rPr>
        <w:t>)</w:t>
      </w:r>
      <w:r w:rsidRPr="005C046A">
        <w:rPr>
          <w:rFonts w:eastAsia="Times New Roman"/>
          <w:sz w:val="24"/>
          <w:szCs w:val="24"/>
        </w:rPr>
        <w:t xml:space="preserve">. We therefore tested for an epigenetic signature of selection by using a selection experiment in artificial plant populations displaying DNA methylation polymorphism in the same genetic background. </w:t>
      </w:r>
    </w:p>
    <w:p w14:paraId="61D2313B" w14:textId="349E42FE" w:rsidR="00EF5A01" w:rsidRDefault="005C046A" w:rsidP="005C046A">
      <w:pPr>
        <w:spacing w:after="100" w:afterAutospacing="1"/>
        <w:ind w:left="720"/>
        <w:rPr>
          <w:rFonts w:eastAsia="Times New Roman"/>
          <w:sz w:val="24"/>
          <w:szCs w:val="24"/>
        </w:rPr>
      </w:pPr>
      <w:r w:rsidRPr="005C046A">
        <w:rPr>
          <w:rFonts w:eastAsia="Times New Roman"/>
          <w:sz w:val="24"/>
          <w:szCs w:val="24"/>
        </w:rPr>
        <w:t xml:space="preserve">Here, we tested the hypothesis that </w:t>
      </w:r>
      <w:r w:rsidR="00526937">
        <w:rPr>
          <w:rFonts w:eastAsia="Times New Roman"/>
          <w:sz w:val="24"/>
          <w:szCs w:val="24"/>
        </w:rPr>
        <w:t xml:space="preserve">directional </w:t>
      </w:r>
      <w:r w:rsidRPr="005C046A">
        <w:rPr>
          <w:rFonts w:eastAsia="Times New Roman"/>
          <w:sz w:val="24"/>
          <w:szCs w:val="24"/>
        </w:rPr>
        <w:t xml:space="preserve">selection can act on heritable epigenetic trait variation in an identical genetic background by conducting artificial selection experiments in </w:t>
      </w:r>
      <w:r w:rsidRPr="00FA13B0">
        <w:rPr>
          <w:rFonts w:eastAsia="Times New Roman"/>
          <w:i/>
          <w:sz w:val="24"/>
          <w:szCs w:val="24"/>
        </w:rPr>
        <w:t>Arabidopsis thaliana</w:t>
      </w:r>
      <w:r w:rsidRPr="005C046A">
        <w:rPr>
          <w:rFonts w:eastAsia="Times New Roman"/>
          <w:sz w:val="24"/>
          <w:szCs w:val="24"/>
        </w:rPr>
        <w:t>. There is growing evidence for epigenetic variation, notably DNA methylation, at quantitative traits in animals and plants (</w:t>
      </w:r>
      <w:proofErr w:type="spellStart"/>
      <w:r w:rsidR="008F240B" w:rsidRPr="008F240B">
        <w:rPr>
          <w:rFonts w:eastAsia="Times New Roman"/>
          <w:sz w:val="24"/>
          <w:szCs w:val="24"/>
        </w:rPr>
        <w:t>Cortijo</w:t>
      </w:r>
      <w:proofErr w:type="spellEnd"/>
      <w:r w:rsidR="008F240B" w:rsidRPr="008F240B">
        <w:rPr>
          <w:rFonts w:eastAsia="Times New Roman"/>
          <w:sz w:val="24"/>
          <w:szCs w:val="24"/>
        </w:rPr>
        <w:t xml:space="preserve"> </w:t>
      </w:r>
      <w:r w:rsidR="008F240B">
        <w:rPr>
          <w:rFonts w:eastAsia="Times New Roman"/>
          <w:sz w:val="24"/>
          <w:szCs w:val="24"/>
        </w:rPr>
        <w:t xml:space="preserve">et al. 2014, </w:t>
      </w:r>
      <w:proofErr w:type="spellStart"/>
      <w:r w:rsidR="008F240B" w:rsidRPr="008F240B">
        <w:rPr>
          <w:rFonts w:eastAsia="Times New Roman"/>
          <w:sz w:val="24"/>
          <w:szCs w:val="24"/>
        </w:rPr>
        <w:t>Noshay</w:t>
      </w:r>
      <w:proofErr w:type="spellEnd"/>
      <w:r w:rsidR="008F240B" w:rsidRPr="008F240B">
        <w:rPr>
          <w:rFonts w:eastAsia="Times New Roman"/>
          <w:sz w:val="24"/>
          <w:szCs w:val="24"/>
        </w:rPr>
        <w:t xml:space="preserve"> </w:t>
      </w:r>
      <w:r w:rsidR="008F240B">
        <w:rPr>
          <w:rFonts w:eastAsia="Times New Roman"/>
          <w:sz w:val="24"/>
          <w:szCs w:val="24"/>
        </w:rPr>
        <w:t xml:space="preserve">et al. 2021, </w:t>
      </w:r>
      <w:r w:rsidR="008F240B" w:rsidRPr="008F240B">
        <w:rPr>
          <w:rFonts w:eastAsia="Times New Roman"/>
          <w:sz w:val="24"/>
          <w:szCs w:val="24"/>
        </w:rPr>
        <w:t xml:space="preserve">Vogt </w:t>
      </w:r>
      <w:r w:rsidR="008F240B">
        <w:rPr>
          <w:rFonts w:eastAsia="Times New Roman"/>
          <w:sz w:val="24"/>
          <w:szCs w:val="24"/>
        </w:rPr>
        <w:t>2021)</w:t>
      </w:r>
      <w:r w:rsidRPr="005C046A">
        <w:rPr>
          <w:rFonts w:eastAsia="Times New Roman"/>
          <w:sz w:val="24"/>
          <w:szCs w:val="24"/>
        </w:rPr>
        <w:t xml:space="preserve">. This is notably the case of size traits and flowering time in </w:t>
      </w:r>
      <w:r w:rsidRPr="00FA13B0">
        <w:rPr>
          <w:rFonts w:eastAsia="Times New Roman"/>
          <w:i/>
          <w:sz w:val="24"/>
          <w:szCs w:val="24"/>
        </w:rPr>
        <w:t>A. thaliana</w:t>
      </w:r>
      <w:r w:rsidRPr="005C046A">
        <w:rPr>
          <w:rFonts w:eastAsia="Times New Roman"/>
          <w:sz w:val="24"/>
          <w:szCs w:val="24"/>
        </w:rPr>
        <w:t xml:space="preserve"> (</w:t>
      </w:r>
      <w:proofErr w:type="spellStart"/>
      <w:r w:rsidR="008F240B" w:rsidRPr="008F240B">
        <w:rPr>
          <w:rFonts w:eastAsia="Times New Roman"/>
          <w:sz w:val="24"/>
          <w:szCs w:val="24"/>
        </w:rPr>
        <w:t>Cortijo</w:t>
      </w:r>
      <w:proofErr w:type="spellEnd"/>
      <w:r w:rsidR="008F240B" w:rsidRPr="008F240B">
        <w:rPr>
          <w:rFonts w:eastAsia="Times New Roman"/>
          <w:sz w:val="24"/>
          <w:szCs w:val="24"/>
        </w:rPr>
        <w:t xml:space="preserve"> </w:t>
      </w:r>
      <w:r w:rsidR="008F240B">
        <w:rPr>
          <w:rFonts w:eastAsia="Times New Roman"/>
          <w:sz w:val="24"/>
          <w:szCs w:val="24"/>
        </w:rPr>
        <w:t>et al. 2014</w:t>
      </w:r>
      <w:r w:rsidRPr="005C046A">
        <w:rPr>
          <w:rFonts w:eastAsia="Times New Roman"/>
          <w:sz w:val="24"/>
          <w:szCs w:val="24"/>
        </w:rPr>
        <w:t xml:space="preserve">). </w:t>
      </w:r>
      <w:r w:rsidR="00F90137">
        <w:rPr>
          <w:rFonts w:eastAsia="Times New Roman"/>
          <w:sz w:val="24"/>
          <w:szCs w:val="24"/>
        </w:rPr>
        <w:t>S</w:t>
      </w:r>
      <w:r w:rsidR="00F90137" w:rsidRPr="005C046A">
        <w:rPr>
          <w:rFonts w:eastAsia="Times New Roman"/>
          <w:sz w:val="24"/>
          <w:szCs w:val="24"/>
        </w:rPr>
        <w:t>ize traits and flowering time strongly influence the fitness of most plants in nature (</w:t>
      </w:r>
      <w:proofErr w:type="spellStart"/>
      <w:r w:rsidR="00123E15" w:rsidRPr="00123E15">
        <w:rPr>
          <w:rFonts w:eastAsia="Times New Roman"/>
          <w:sz w:val="24"/>
          <w:szCs w:val="24"/>
        </w:rPr>
        <w:t>Halbritter</w:t>
      </w:r>
      <w:proofErr w:type="spellEnd"/>
      <w:r w:rsidR="00123E15">
        <w:rPr>
          <w:rFonts w:eastAsia="Times New Roman"/>
          <w:sz w:val="24"/>
          <w:szCs w:val="24"/>
        </w:rPr>
        <w:t xml:space="preserve"> et al. 2018</w:t>
      </w:r>
      <w:r w:rsidR="00F90137" w:rsidRPr="005C046A">
        <w:rPr>
          <w:rFonts w:eastAsia="Times New Roman"/>
          <w:sz w:val="24"/>
          <w:szCs w:val="24"/>
        </w:rPr>
        <w:t xml:space="preserve">). </w:t>
      </w:r>
      <w:r w:rsidR="00C76F26">
        <w:rPr>
          <w:rFonts w:eastAsia="Times New Roman"/>
          <w:sz w:val="24"/>
          <w:szCs w:val="24"/>
        </w:rPr>
        <w:t xml:space="preserve">There is evidence for the heritable epigenetic </w:t>
      </w:r>
      <w:r w:rsidR="00F90137">
        <w:rPr>
          <w:rFonts w:eastAsia="Times New Roman"/>
          <w:sz w:val="24"/>
          <w:szCs w:val="24"/>
        </w:rPr>
        <w:t xml:space="preserve">variation </w:t>
      </w:r>
      <w:r w:rsidR="00C76F26">
        <w:rPr>
          <w:rFonts w:eastAsia="Times New Roman"/>
          <w:sz w:val="24"/>
          <w:szCs w:val="24"/>
        </w:rPr>
        <w:t xml:space="preserve">of these traits associated with </w:t>
      </w:r>
      <w:r w:rsidR="00F90137">
        <w:rPr>
          <w:rFonts w:eastAsia="Times New Roman"/>
          <w:sz w:val="24"/>
          <w:szCs w:val="24"/>
        </w:rPr>
        <w:t>differentially methylated regions (DMRs) that are stably inherited across generations</w:t>
      </w:r>
      <w:r w:rsidR="00C76F26">
        <w:rPr>
          <w:rFonts w:eastAsia="Times New Roman"/>
          <w:sz w:val="24"/>
          <w:szCs w:val="24"/>
        </w:rPr>
        <w:t xml:space="preserve"> </w:t>
      </w:r>
      <w:r w:rsidR="00EF5A01">
        <w:rPr>
          <w:rFonts w:eastAsia="Times New Roman"/>
          <w:sz w:val="24"/>
          <w:szCs w:val="24"/>
        </w:rPr>
        <w:t xml:space="preserve">in </w:t>
      </w:r>
      <w:proofErr w:type="spellStart"/>
      <w:r w:rsidR="00345CD2">
        <w:rPr>
          <w:rFonts w:eastAsia="Times New Roman"/>
          <w:sz w:val="24"/>
          <w:szCs w:val="24"/>
        </w:rPr>
        <w:t>e</w:t>
      </w:r>
      <w:r w:rsidR="00EF5A01">
        <w:rPr>
          <w:rFonts w:eastAsia="Times New Roman"/>
          <w:sz w:val="24"/>
          <w:szCs w:val="24"/>
        </w:rPr>
        <w:t>piRILs</w:t>
      </w:r>
      <w:proofErr w:type="spellEnd"/>
      <w:r w:rsidR="00EF5A01">
        <w:rPr>
          <w:rFonts w:eastAsia="Times New Roman"/>
          <w:sz w:val="24"/>
          <w:szCs w:val="24"/>
        </w:rPr>
        <w:t xml:space="preserve"> </w:t>
      </w:r>
      <w:r w:rsidR="00C76F26">
        <w:rPr>
          <w:rFonts w:eastAsia="Times New Roman"/>
          <w:sz w:val="24"/>
          <w:szCs w:val="24"/>
        </w:rPr>
        <w:t>(</w:t>
      </w:r>
      <w:r w:rsidR="00FA5948" w:rsidRPr="00123E15">
        <w:rPr>
          <w:rFonts w:eastAsia="Times New Roman"/>
          <w:sz w:val="24"/>
          <w:szCs w:val="24"/>
        </w:rPr>
        <w:t xml:space="preserve">Johannes et al. 2009, </w:t>
      </w:r>
      <w:proofErr w:type="spellStart"/>
      <w:r w:rsidR="00123E15" w:rsidRPr="00123E15">
        <w:rPr>
          <w:rFonts w:eastAsia="Times New Roman"/>
          <w:sz w:val="24"/>
          <w:szCs w:val="24"/>
        </w:rPr>
        <w:t>Reinders</w:t>
      </w:r>
      <w:proofErr w:type="spellEnd"/>
      <w:r w:rsidR="00123E15" w:rsidRPr="00123E15">
        <w:rPr>
          <w:rFonts w:eastAsia="Times New Roman"/>
          <w:sz w:val="24"/>
          <w:szCs w:val="24"/>
        </w:rPr>
        <w:t xml:space="preserve"> et al.</w:t>
      </w:r>
      <w:r w:rsidR="00EF5A01" w:rsidRPr="00123E15">
        <w:rPr>
          <w:rFonts w:eastAsia="Times New Roman"/>
          <w:sz w:val="24"/>
          <w:szCs w:val="24"/>
        </w:rPr>
        <w:t xml:space="preserve"> 2009</w:t>
      </w:r>
      <w:r w:rsidR="00123E15" w:rsidRPr="00123E15">
        <w:rPr>
          <w:rFonts w:eastAsia="Times New Roman"/>
          <w:sz w:val="24"/>
          <w:szCs w:val="24"/>
        </w:rPr>
        <w:t>,</w:t>
      </w:r>
      <w:r w:rsidR="00EF5A01" w:rsidRPr="00123E15">
        <w:rPr>
          <w:rFonts w:eastAsia="Times New Roman"/>
          <w:sz w:val="24"/>
          <w:szCs w:val="24"/>
        </w:rPr>
        <w:t xml:space="preserve"> </w:t>
      </w:r>
      <w:r w:rsidR="00123E15" w:rsidRPr="00123E15">
        <w:rPr>
          <w:rFonts w:eastAsia="Times New Roman"/>
          <w:sz w:val="24"/>
          <w:szCs w:val="24"/>
        </w:rPr>
        <w:t>Roux et al.</w:t>
      </w:r>
      <w:r w:rsidR="00EF5A01" w:rsidRPr="00123E15">
        <w:rPr>
          <w:rFonts w:eastAsia="Times New Roman"/>
          <w:sz w:val="24"/>
          <w:szCs w:val="24"/>
        </w:rPr>
        <w:t xml:space="preserve"> 2011</w:t>
      </w:r>
      <w:r w:rsidR="00123E15" w:rsidRPr="00123E15">
        <w:rPr>
          <w:rFonts w:eastAsia="Times New Roman"/>
          <w:sz w:val="24"/>
          <w:szCs w:val="24"/>
        </w:rPr>
        <w:t>, Zhang et al.</w:t>
      </w:r>
      <w:r w:rsidR="00EF5A01" w:rsidRPr="00123E15">
        <w:rPr>
          <w:rFonts w:eastAsia="Times New Roman"/>
          <w:sz w:val="24"/>
          <w:szCs w:val="24"/>
        </w:rPr>
        <w:t xml:space="preserve"> 2018</w:t>
      </w:r>
      <w:r w:rsidR="00EF5A01">
        <w:rPr>
          <w:rFonts w:eastAsia="Times New Roman"/>
          <w:sz w:val="24"/>
          <w:szCs w:val="24"/>
        </w:rPr>
        <w:t xml:space="preserve">). </w:t>
      </w:r>
      <w:proofErr w:type="spellStart"/>
      <w:r w:rsidR="00F90137" w:rsidRPr="00543E14">
        <w:rPr>
          <w:rFonts w:eastAsia="Times New Roman"/>
          <w:sz w:val="24"/>
          <w:szCs w:val="24"/>
        </w:rPr>
        <w:t>EpiRILs</w:t>
      </w:r>
      <w:proofErr w:type="spellEnd"/>
      <w:r w:rsidR="00F90137" w:rsidRPr="00543E14">
        <w:rPr>
          <w:rFonts w:eastAsia="Times New Roman"/>
          <w:sz w:val="24"/>
          <w:szCs w:val="24"/>
        </w:rPr>
        <w:t xml:space="preserve"> are a set of </w:t>
      </w:r>
      <w:r w:rsidR="00EF5A01">
        <w:rPr>
          <w:rFonts w:eastAsia="Times New Roman"/>
          <w:sz w:val="24"/>
          <w:szCs w:val="24"/>
        </w:rPr>
        <w:t xml:space="preserve">123 </w:t>
      </w:r>
      <w:r w:rsidR="00F90137" w:rsidRPr="00543E14">
        <w:rPr>
          <w:rFonts w:eastAsia="Times New Roman"/>
          <w:sz w:val="24"/>
          <w:szCs w:val="24"/>
        </w:rPr>
        <w:t xml:space="preserve">fixed homozygous lines, descending from an F2 population, that were obtained by an initial cross of isogenic parents with different DNA methylation profiles (Col-0 x </w:t>
      </w:r>
      <w:r w:rsidR="00F90137" w:rsidRPr="00543E14">
        <w:rPr>
          <w:rFonts w:eastAsia="Times New Roman"/>
          <w:i/>
          <w:sz w:val="24"/>
          <w:szCs w:val="24"/>
        </w:rPr>
        <w:t>Col-ddm1-2</w:t>
      </w:r>
      <w:r w:rsidR="00F90137" w:rsidRPr="00543E14">
        <w:rPr>
          <w:rFonts w:eastAsia="Times New Roman"/>
          <w:sz w:val="24"/>
          <w:szCs w:val="24"/>
        </w:rPr>
        <w:t>) (</w:t>
      </w:r>
      <w:r w:rsidR="00123E15" w:rsidRPr="00123E15">
        <w:rPr>
          <w:rFonts w:eastAsia="Times New Roman"/>
          <w:sz w:val="24"/>
          <w:szCs w:val="24"/>
        </w:rPr>
        <w:t>Johannes et al. 2009</w:t>
      </w:r>
      <w:r w:rsidR="00F90137" w:rsidRPr="00543E14">
        <w:rPr>
          <w:rFonts w:eastAsia="Times New Roman"/>
          <w:sz w:val="24"/>
          <w:szCs w:val="24"/>
        </w:rPr>
        <w:t>). The mutation in the DDM1 gene (</w:t>
      </w:r>
      <w:r w:rsidR="00F90137" w:rsidRPr="00543E14">
        <w:rPr>
          <w:rFonts w:eastAsia="Times New Roman"/>
          <w:i/>
          <w:sz w:val="24"/>
          <w:szCs w:val="24"/>
        </w:rPr>
        <w:t>ddm1</w:t>
      </w:r>
      <w:r w:rsidR="00F90137" w:rsidRPr="00543E14">
        <w:rPr>
          <w:rFonts w:eastAsia="Times New Roman"/>
          <w:sz w:val="24"/>
          <w:szCs w:val="24"/>
        </w:rPr>
        <w:t xml:space="preserve">) – a chromatin remodeler involved in DNA methylation – induced </w:t>
      </w:r>
      <w:proofErr w:type="spellStart"/>
      <w:r w:rsidR="00F90137" w:rsidRPr="00543E14">
        <w:rPr>
          <w:rFonts w:eastAsia="Times New Roman"/>
          <w:sz w:val="24"/>
          <w:szCs w:val="24"/>
        </w:rPr>
        <w:t>hypomethylation</w:t>
      </w:r>
      <w:proofErr w:type="spellEnd"/>
      <w:r w:rsidR="00F90137" w:rsidRPr="00543E14">
        <w:rPr>
          <w:rFonts w:eastAsia="Times New Roman"/>
          <w:sz w:val="24"/>
          <w:szCs w:val="24"/>
        </w:rPr>
        <w:t xml:space="preserve"> of </w:t>
      </w:r>
      <w:r w:rsidR="00EF5A01">
        <w:rPr>
          <w:rFonts w:eastAsia="Times New Roman"/>
          <w:sz w:val="24"/>
          <w:szCs w:val="24"/>
        </w:rPr>
        <w:t xml:space="preserve">126 </w:t>
      </w:r>
      <w:r w:rsidR="00F90137" w:rsidRPr="00543E14">
        <w:rPr>
          <w:rFonts w:eastAsia="Times New Roman"/>
          <w:sz w:val="24"/>
          <w:szCs w:val="24"/>
        </w:rPr>
        <w:t xml:space="preserve">clusters of </w:t>
      </w:r>
      <w:proofErr w:type="spellStart"/>
      <w:r w:rsidR="00F90137" w:rsidRPr="00543E14">
        <w:rPr>
          <w:rFonts w:eastAsia="Times New Roman"/>
          <w:sz w:val="24"/>
          <w:szCs w:val="24"/>
        </w:rPr>
        <w:t>cytosines</w:t>
      </w:r>
      <w:proofErr w:type="spellEnd"/>
      <w:r w:rsidR="00F90137" w:rsidRPr="00543E14">
        <w:rPr>
          <w:rFonts w:eastAsia="Times New Roman"/>
          <w:sz w:val="24"/>
          <w:szCs w:val="24"/>
        </w:rPr>
        <w:t xml:space="preserve"> (DMRs).</w:t>
      </w:r>
      <w:r w:rsidR="00526937">
        <w:rPr>
          <w:rFonts w:eastAsia="Times New Roman"/>
          <w:sz w:val="24"/>
          <w:szCs w:val="24"/>
        </w:rPr>
        <w:t xml:space="preserve"> We therefore </w:t>
      </w:r>
      <w:r w:rsidR="00EF5A01">
        <w:rPr>
          <w:rFonts w:eastAsia="Times New Roman"/>
          <w:sz w:val="24"/>
          <w:szCs w:val="24"/>
        </w:rPr>
        <w:t xml:space="preserve">expect that </w:t>
      </w:r>
      <w:r w:rsidR="00526937">
        <w:rPr>
          <w:rFonts w:eastAsia="Times New Roman"/>
          <w:sz w:val="24"/>
          <w:szCs w:val="24"/>
        </w:rPr>
        <w:t>a</w:t>
      </w:r>
      <w:r w:rsidR="00EF5A01">
        <w:rPr>
          <w:rFonts w:eastAsia="Times New Roman"/>
          <w:sz w:val="24"/>
          <w:szCs w:val="24"/>
        </w:rPr>
        <w:t xml:space="preserve"> selection </w:t>
      </w:r>
      <w:r w:rsidR="00526937">
        <w:rPr>
          <w:rFonts w:eastAsia="Times New Roman"/>
          <w:sz w:val="24"/>
          <w:szCs w:val="24"/>
        </w:rPr>
        <w:t xml:space="preserve">differential imposed to </w:t>
      </w:r>
      <w:r w:rsidR="00527D59">
        <w:rPr>
          <w:rFonts w:eastAsia="Times New Roman"/>
          <w:sz w:val="24"/>
          <w:szCs w:val="24"/>
        </w:rPr>
        <w:t xml:space="preserve">parental </w:t>
      </w:r>
      <w:r w:rsidR="00EF5A01">
        <w:rPr>
          <w:rFonts w:eastAsia="Times New Roman"/>
          <w:sz w:val="24"/>
          <w:szCs w:val="24"/>
        </w:rPr>
        <w:t xml:space="preserve">plants </w:t>
      </w:r>
      <w:r w:rsidR="00526937">
        <w:rPr>
          <w:rFonts w:eastAsia="Times New Roman"/>
          <w:sz w:val="24"/>
          <w:szCs w:val="24"/>
        </w:rPr>
        <w:t xml:space="preserve">on the basis of </w:t>
      </w:r>
      <w:r w:rsidR="00EF5A01">
        <w:rPr>
          <w:rFonts w:eastAsia="Times New Roman"/>
          <w:sz w:val="24"/>
          <w:szCs w:val="24"/>
        </w:rPr>
        <w:t xml:space="preserve">their size and flowering </w:t>
      </w:r>
      <w:r w:rsidR="00527D59">
        <w:rPr>
          <w:rFonts w:eastAsia="Times New Roman"/>
          <w:sz w:val="24"/>
          <w:szCs w:val="24"/>
        </w:rPr>
        <w:t>time</w:t>
      </w:r>
      <w:r w:rsidR="00526937" w:rsidRPr="00526937">
        <w:rPr>
          <w:rFonts w:eastAsia="Times New Roman"/>
          <w:sz w:val="24"/>
          <w:szCs w:val="24"/>
        </w:rPr>
        <w:t xml:space="preserve"> </w:t>
      </w:r>
      <w:r w:rsidR="00526937">
        <w:rPr>
          <w:rFonts w:eastAsia="Times New Roman"/>
          <w:sz w:val="24"/>
          <w:szCs w:val="24"/>
        </w:rPr>
        <w:t xml:space="preserve">which variation would be caused by DMRs, e.g., by allowing to breed only bigger or late flowering </w:t>
      </w:r>
      <w:proofErr w:type="spellStart"/>
      <w:r w:rsidR="00345CD2">
        <w:rPr>
          <w:rFonts w:eastAsia="Times New Roman"/>
          <w:sz w:val="24"/>
          <w:szCs w:val="24"/>
        </w:rPr>
        <w:t>e</w:t>
      </w:r>
      <w:r w:rsidR="00526937">
        <w:rPr>
          <w:rFonts w:eastAsia="Times New Roman"/>
          <w:sz w:val="24"/>
          <w:szCs w:val="24"/>
        </w:rPr>
        <w:t>piRILs</w:t>
      </w:r>
      <w:proofErr w:type="spellEnd"/>
      <w:r w:rsidR="00526937">
        <w:rPr>
          <w:rFonts w:eastAsia="Times New Roman"/>
          <w:sz w:val="24"/>
          <w:szCs w:val="24"/>
        </w:rPr>
        <w:t>, would</w:t>
      </w:r>
      <w:r w:rsidR="00527D59">
        <w:rPr>
          <w:rFonts w:eastAsia="Times New Roman"/>
          <w:sz w:val="24"/>
          <w:szCs w:val="24"/>
        </w:rPr>
        <w:t xml:space="preserve"> </w:t>
      </w:r>
      <w:r w:rsidR="00526937">
        <w:rPr>
          <w:rFonts w:eastAsia="Times New Roman"/>
          <w:sz w:val="24"/>
          <w:szCs w:val="24"/>
        </w:rPr>
        <w:t>produce the expected directional trait changes</w:t>
      </w:r>
      <w:r w:rsidR="00527D59">
        <w:rPr>
          <w:rFonts w:eastAsia="Times New Roman"/>
          <w:sz w:val="24"/>
          <w:szCs w:val="24"/>
        </w:rPr>
        <w:t xml:space="preserve"> in the </w:t>
      </w:r>
      <w:r w:rsidR="00526937">
        <w:rPr>
          <w:rFonts w:eastAsia="Times New Roman"/>
          <w:sz w:val="24"/>
          <w:szCs w:val="24"/>
        </w:rPr>
        <w:t xml:space="preserve">progeny. </w:t>
      </w:r>
    </w:p>
    <w:p w14:paraId="475D0044" w14:textId="6B28A81F" w:rsidR="00F90137" w:rsidRDefault="00331AC6" w:rsidP="005C046A">
      <w:pPr>
        <w:spacing w:after="100" w:afterAutospacing="1"/>
        <w:ind w:left="720"/>
        <w:rPr>
          <w:rFonts w:eastAsia="Times New Roman"/>
          <w:sz w:val="24"/>
          <w:szCs w:val="24"/>
        </w:rPr>
      </w:pPr>
      <w:r>
        <w:rPr>
          <w:rFonts w:eastAsia="Times New Roman"/>
          <w:sz w:val="24"/>
          <w:szCs w:val="24"/>
        </w:rPr>
        <w:t>N</w:t>
      </w:r>
      <w:r w:rsidR="005E47DE">
        <w:rPr>
          <w:rFonts w:eastAsia="Times New Roman"/>
          <w:sz w:val="24"/>
          <w:szCs w:val="24"/>
        </w:rPr>
        <w:t>ovel phenotypes can be selected in</w:t>
      </w:r>
      <w:r w:rsidR="00265FD7" w:rsidRPr="005C046A">
        <w:rPr>
          <w:rFonts w:eastAsia="Times New Roman"/>
          <w:sz w:val="24"/>
          <w:szCs w:val="24"/>
        </w:rPr>
        <w:t xml:space="preserve"> </w:t>
      </w:r>
      <w:r w:rsidR="00265FD7" w:rsidRPr="00FA13B0">
        <w:rPr>
          <w:rFonts w:eastAsia="Times New Roman"/>
          <w:i/>
          <w:sz w:val="24"/>
          <w:szCs w:val="24"/>
        </w:rPr>
        <w:t>A. thaliana</w:t>
      </w:r>
      <w:r w:rsidR="00265FD7" w:rsidRPr="005C046A">
        <w:rPr>
          <w:rFonts w:eastAsia="Times New Roman"/>
          <w:sz w:val="24"/>
          <w:szCs w:val="24"/>
        </w:rPr>
        <w:t xml:space="preserve"> </w:t>
      </w:r>
      <w:r w:rsidR="005E47DE">
        <w:rPr>
          <w:rFonts w:eastAsia="Times New Roman"/>
          <w:sz w:val="24"/>
          <w:szCs w:val="24"/>
        </w:rPr>
        <w:t>populations that only differ with respect to epigenetic variation in a fixed genomic background (</w:t>
      </w:r>
      <w:proofErr w:type="spellStart"/>
      <w:r w:rsidR="005E47DE">
        <w:rPr>
          <w:rFonts w:eastAsia="Times New Roman"/>
          <w:sz w:val="24"/>
          <w:szCs w:val="24"/>
        </w:rPr>
        <w:t>Schmid</w:t>
      </w:r>
      <w:proofErr w:type="spellEnd"/>
      <w:r w:rsidR="00265FD7">
        <w:rPr>
          <w:rFonts w:eastAsia="Times New Roman"/>
          <w:sz w:val="24"/>
          <w:szCs w:val="24"/>
        </w:rPr>
        <w:t xml:space="preserve"> et al</w:t>
      </w:r>
      <w:r w:rsidR="00636DF0">
        <w:rPr>
          <w:rFonts w:eastAsia="Times New Roman"/>
          <w:sz w:val="24"/>
          <w:szCs w:val="24"/>
        </w:rPr>
        <w:t>.</w:t>
      </w:r>
      <w:r w:rsidR="00265FD7">
        <w:rPr>
          <w:rFonts w:eastAsia="Times New Roman"/>
          <w:sz w:val="24"/>
          <w:szCs w:val="24"/>
        </w:rPr>
        <w:t xml:space="preserve"> 2018</w:t>
      </w:r>
      <w:r w:rsidR="005E47DE">
        <w:rPr>
          <w:rFonts w:eastAsia="Times New Roman"/>
          <w:sz w:val="24"/>
          <w:szCs w:val="24"/>
        </w:rPr>
        <w:t xml:space="preserve">). </w:t>
      </w:r>
      <w:r w:rsidR="00265FD7">
        <w:rPr>
          <w:rFonts w:eastAsia="Times New Roman"/>
          <w:sz w:val="24"/>
          <w:szCs w:val="24"/>
        </w:rPr>
        <w:t>These changes were stably inherited over at least two generations in the absence of selection and correlated with changes in DNA methylation and transcription. Potential genetic differences that could have occurred over the 7-8 generations of this experiment were excluded by resequencing the complete genome of several individuals. T</w:t>
      </w:r>
      <w:r w:rsidR="005C046A" w:rsidRPr="005C046A">
        <w:rPr>
          <w:rFonts w:eastAsia="Times New Roman"/>
          <w:sz w:val="24"/>
          <w:szCs w:val="24"/>
        </w:rPr>
        <w:t>he epigenetic divergence found between lab populations exposed to fragmented and disturbed landscape environments and natural plant populations</w:t>
      </w:r>
      <w:r w:rsidR="00265FD7">
        <w:rPr>
          <w:rFonts w:eastAsia="Times New Roman"/>
          <w:sz w:val="24"/>
          <w:szCs w:val="24"/>
        </w:rPr>
        <w:t xml:space="preserve"> could therefore be attributed to selection</w:t>
      </w:r>
      <w:r w:rsidR="005C046A" w:rsidRPr="005C046A">
        <w:rPr>
          <w:rFonts w:eastAsia="Times New Roman"/>
          <w:sz w:val="24"/>
          <w:szCs w:val="24"/>
        </w:rPr>
        <w:t xml:space="preserve"> (</w:t>
      </w:r>
      <w:proofErr w:type="spellStart"/>
      <w:r w:rsidR="00636DF0">
        <w:rPr>
          <w:rFonts w:eastAsia="Times New Roman"/>
          <w:sz w:val="24"/>
          <w:szCs w:val="24"/>
        </w:rPr>
        <w:t>Schmid</w:t>
      </w:r>
      <w:proofErr w:type="spellEnd"/>
      <w:r w:rsidR="00636DF0">
        <w:rPr>
          <w:rFonts w:eastAsia="Times New Roman"/>
          <w:sz w:val="24"/>
          <w:szCs w:val="24"/>
        </w:rPr>
        <w:t xml:space="preserve"> et al. 2018</w:t>
      </w:r>
      <w:r w:rsidR="005C046A" w:rsidRPr="005C046A">
        <w:rPr>
          <w:rFonts w:eastAsia="Times New Roman"/>
          <w:sz w:val="24"/>
          <w:szCs w:val="24"/>
        </w:rPr>
        <w:t xml:space="preserve">). </w:t>
      </w:r>
      <w:r w:rsidR="00265FD7">
        <w:rPr>
          <w:rFonts w:eastAsia="Times New Roman"/>
          <w:sz w:val="24"/>
          <w:szCs w:val="24"/>
        </w:rPr>
        <w:t xml:space="preserve">Today, the time is ripe to reach a better understanding of the epigenetic response to selection. Whether directional selection shapes the standing </w:t>
      </w:r>
      <w:r w:rsidR="00265FD7">
        <w:rPr>
          <w:rFonts w:eastAsia="Times New Roman"/>
          <w:sz w:val="24"/>
          <w:szCs w:val="24"/>
        </w:rPr>
        <w:lastRenderedPageBreak/>
        <w:t xml:space="preserve">epigenetic variation of traits as it would do with the standing genetic variation of traits remains to be clarified. </w:t>
      </w:r>
      <w:r w:rsidR="00345CD2">
        <w:rPr>
          <w:rFonts w:eastAsia="Times New Roman"/>
          <w:sz w:val="24"/>
          <w:szCs w:val="24"/>
        </w:rPr>
        <w:t xml:space="preserve">Confirming this hypothesis would confirm that the </w:t>
      </w:r>
      <w:proofErr w:type="spellStart"/>
      <w:r w:rsidR="00345CD2">
        <w:rPr>
          <w:rFonts w:eastAsia="Times New Roman"/>
          <w:sz w:val="24"/>
          <w:szCs w:val="24"/>
        </w:rPr>
        <w:t>genetical</w:t>
      </w:r>
      <w:proofErr w:type="spellEnd"/>
      <w:r w:rsidR="00345CD2">
        <w:rPr>
          <w:rFonts w:eastAsia="Times New Roman"/>
          <w:sz w:val="24"/>
          <w:szCs w:val="24"/>
        </w:rPr>
        <w:t xml:space="preserve"> theory of natural selection also applies to epigenetic variation and unlock new potential for breeding strategies. </w:t>
      </w:r>
    </w:p>
    <w:p w14:paraId="519E32CE" w14:textId="7DC63E23" w:rsidR="00A27A5C" w:rsidRDefault="00345CD2" w:rsidP="005C046A">
      <w:pPr>
        <w:spacing w:after="100" w:afterAutospacing="1"/>
        <w:ind w:left="720"/>
        <w:rPr>
          <w:rFonts w:eastAsia="Times New Roman"/>
          <w:sz w:val="24"/>
          <w:szCs w:val="24"/>
        </w:rPr>
      </w:pPr>
      <w:r>
        <w:rPr>
          <w:rFonts w:eastAsia="Times New Roman"/>
          <w:sz w:val="24"/>
          <w:szCs w:val="24"/>
        </w:rPr>
        <w:t>First, b</w:t>
      </w:r>
      <w:r w:rsidR="005C046A" w:rsidRPr="005C046A">
        <w:rPr>
          <w:rFonts w:eastAsia="Times New Roman"/>
          <w:sz w:val="24"/>
          <w:szCs w:val="24"/>
        </w:rPr>
        <w:t>uilding upon th</w:t>
      </w:r>
      <w:r>
        <w:rPr>
          <w:rFonts w:eastAsia="Times New Roman"/>
          <w:sz w:val="24"/>
          <w:szCs w:val="24"/>
        </w:rPr>
        <w:t>e available</w:t>
      </w:r>
      <w:r w:rsidR="005C046A" w:rsidRPr="005C046A">
        <w:rPr>
          <w:rFonts w:eastAsia="Times New Roman"/>
          <w:sz w:val="24"/>
          <w:szCs w:val="24"/>
        </w:rPr>
        <w:t xml:space="preserve"> knowledge, we described DNA methylation polymorphism acknowledged to be stable across generations (</w:t>
      </w:r>
      <w:proofErr w:type="spellStart"/>
      <w:r w:rsidR="00636DF0">
        <w:rPr>
          <w:rFonts w:eastAsia="Times New Roman"/>
          <w:sz w:val="24"/>
          <w:szCs w:val="24"/>
        </w:rPr>
        <w:t>Cor</w:t>
      </w:r>
      <w:r w:rsidR="00FA5948">
        <w:rPr>
          <w:rFonts w:eastAsia="Times New Roman"/>
          <w:sz w:val="24"/>
          <w:szCs w:val="24"/>
        </w:rPr>
        <w:t>t</w:t>
      </w:r>
      <w:r w:rsidR="00636DF0">
        <w:rPr>
          <w:rFonts w:eastAsia="Times New Roman"/>
          <w:sz w:val="24"/>
          <w:szCs w:val="24"/>
        </w:rPr>
        <w:t>ijo</w:t>
      </w:r>
      <w:proofErr w:type="spellEnd"/>
      <w:r w:rsidR="00636DF0">
        <w:rPr>
          <w:rFonts w:eastAsia="Times New Roman"/>
          <w:sz w:val="24"/>
          <w:szCs w:val="24"/>
        </w:rPr>
        <w:t xml:space="preserve"> et al. </w:t>
      </w:r>
      <w:r w:rsidR="00FA5948">
        <w:rPr>
          <w:rFonts w:eastAsia="Times New Roman"/>
          <w:sz w:val="24"/>
          <w:szCs w:val="24"/>
        </w:rPr>
        <w:t>2014</w:t>
      </w:r>
      <w:r w:rsidR="005C046A" w:rsidRPr="005C046A">
        <w:rPr>
          <w:rFonts w:eastAsia="Times New Roman"/>
          <w:sz w:val="24"/>
          <w:szCs w:val="24"/>
        </w:rPr>
        <w:t xml:space="preserve">, </w:t>
      </w:r>
      <w:r w:rsidR="00FA5948" w:rsidRPr="00123E15">
        <w:rPr>
          <w:rFonts w:eastAsia="Times New Roman"/>
          <w:sz w:val="24"/>
          <w:szCs w:val="24"/>
        </w:rPr>
        <w:t>Johannes et al. 2009</w:t>
      </w:r>
      <w:r w:rsidR="005C046A" w:rsidRPr="005C046A">
        <w:rPr>
          <w:rFonts w:eastAsia="Times New Roman"/>
          <w:sz w:val="24"/>
          <w:szCs w:val="24"/>
        </w:rPr>
        <w:t xml:space="preserve">) and phenotypic variation in two different artificial </w:t>
      </w:r>
      <w:r w:rsidR="005C046A" w:rsidRPr="00FA13B0">
        <w:rPr>
          <w:rFonts w:eastAsia="Times New Roman"/>
          <w:i/>
          <w:sz w:val="24"/>
          <w:szCs w:val="24"/>
        </w:rPr>
        <w:t>A. thaliana</w:t>
      </w:r>
      <w:r w:rsidR="005C046A" w:rsidRPr="005C046A">
        <w:rPr>
          <w:rFonts w:eastAsia="Times New Roman"/>
          <w:sz w:val="24"/>
          <w:szCs w:val="24"/>
        </w:rPr>
        <w:t xml:space="preserve"> </w:t>
      </w:r>
      <w:proofErr w:type="spellStart"/>
      <w:r w:rsidR="005C046A" w:rsidRPr="005C046A">
        <w:rPr>
          <w:rFonts w:eastAsia="Times New Roman"/>
          <w:sz w:val="24"/>
          <w:szCs w:val="24"/>
        </w:rPr>
        <w:t>epiRIL</w:t>
      </w:r>
      <w:proofErr w:type="spellEnd"/>
      <w:r w:rsidR="005C046A" w:rsidRPr="005C046A">
        <w:rPr>
          <w:rFonts w:eastAsia="Times New Roman"/>
          <w:sz w:val="24"/>
          <w:szCs w:val="24"/>
        </w:rPr>
        <w:t xml:space="preserve"> populations. We grew these two populations </w:t>
      </w:r>
      <w:r>
        <w:rPr>
          <w:rFonts w:eastAsia="Times New Roman"/>
          <w:sz w:val="24"/>
          <w:szCs w:val="24"/>
        </w:rPr>
        <w:t xml:space="preserve">made of </w:t>
      </w:r>
      <w:r w:rsidRPr="005C046A">
        <w:rPr>
          <w:rFonts w:eastAsia="Times New Roman"/>
          <w:sz w:val="24"/>
          <w:szCs w:val="24"/>
        </w:rPr>
        <w:t xml:space="preserve">two totally different sets of </w:t>
      </w:r>
      <w:r w:rsidRPr="00FA13B0">
        <w:rPr>
          <w:rFonts w:eastAsia="Times New Roman"/>
          <w:i/>
          <w:sz w:val="24"/>
          <w:szCs w:val="24"/>
        </w:rPr>
        <w:t>A. thaliana</w:t>
      </w:r>
      <w:r w:rsidRPr="005C046A">
        <w:rPr>
          <w:rFonts w:eastAsia="Times New Roman"/>
          <w:sz w:val="24"/>
          <w:szCs w:val="24"/>
        </w:rPr>
        <w:t xml:space="preserve"> </w:t>
      </w:r>
      <w:proofErr w:type="spellStart"/>
      <w:r w:rsidRPr="005C046A">
        <w:rPr>
          <w:rFonts w:eastAsia="Times New Roman"/>
          <w:sz w:val="24"/>
          <w:szCs w:val="24"/>
        </w:rPr>
        <w:t>epiRILs</w:t>
      </w:r>
      <w:proofErr w:type="spellEnd"/>
      <w:r>
        <w:rPr>
          <w:rFonts w:eastAsia="Times New Roman"/>
          <w:sz w:val="24"/>
          <w:szCs w:val="24"/>
        </w:rPr>
        <w:t xml:space="preserve"> </w:t>
      </w:r>
      <w:r w:rsidR="005C046A" w:rsidRPr="005C046A">
        <w:rPr>
          <w:rFonts w:eastAsia="Times New Roman"/>
          <w:sz w:val="24"/>
          <w:szCs w:val="24"/>
        </w:rPr>
        <w:t xml:space="preserve">in similar conditions </w:t>
      </w:r>
      <w:r>
        <w:rPr>
          <w:rFonts w:eastAsia="Times New Roman"/>
          <w:sz w:val="24"/>
          <w:szCs w:val="24"/>
        </w:rPr>
        <w:t>and</w:t>
      </w:r>
      <w:r w:rsidRPr="005C046A">
        <w:rPr>
          <w:rFonts w:eastAsia="Times New Roman"/>
          <w:sz w:val="24"/>
          <w:szCs w:val="24"/>
        </w:rPr>
        <w:t xml:space="preserve"> </w:t>
      </w:r>
      <w:r w:rsidR="005C046A" w:rsidRPr="005C046A">
        <w:rPr>
          <w:rFonts w:eastAsia="Times New Roman"/>
          <w:sz w:val="24"/>
          <w:szCs w:val="24"/>
        </w:rPr>
        <w:t>at different times, in order to repeat the experiment</w:t>
      </w:r>
      <w:r>
        <w:rPr>
          <w:rFonts w:eastAsia="Times New Roman"/>
          <w:sz w:val="24"/>
          <w:szCs w:val="24"/>
        </w:rPr>
        <w:t xml:space="preserve"> in two different populations. </w:t>
      </w:r>
      <w:r w:rsidR="005C046A" w:rsidRPr="005C046A">
        <w:rPr>
          <w:rFonts w:eastAsia="Times New Roman"/>
          <w:sz w:val="24"/>
          <w:szCs w:val="24"/>
        </w:rPr>
        <w:t xml:space="preserve">Second, independently in each population and for each trait, we artificially generated a fitness differential between plants by selecting them based on their morphological and reproductive trait values. We selected in two different directions - for upper and lower trait values – and applied two different selection intensities - weak and strong - to explore the potential properties and limits of epigenetic selection. </w:t>
      </w:r>
      <w:r w:rsidR="00A30D43">
        <w:rPr>
          <w:rFonts w:eastAsia="Times New Roman"/>
          <w:sz w:val="24"/>
          <w:szCs w:val="24"/>
        </w:rPr>
        <w:t>T</w:t>
      </w:r>
      <w:r w:rsidR="005C046A" w:rsidRPr="005C046A">
        <w:rPr>
          <w:rFonts w:eastAsia="Times New Roman"/>
          <w:sz w:val="24"/>
          <w:szCs w:val="24"/>
        </w:rPr>
        <w:t>hird, we estimated the phenotypic response to selection in the next generation of plants and assessed whether changes in epigenetic allele frequencies can be directly attributed to the response to selection.</w:t>
      </w:r>
      <w:r w:rsidR="00A27A5C" w:rsidRPr="00A27A5C">
        <w:rPr>
          <w:rFonts w:eastAsia="Times New Roman"/>
          <w:sz w:val="24"/>
          <w:szCs w:val="24"/>
        </w:rPr>
        <w:t xml:space="preserve"> </w:t>
      </w:r>
      <w:r w:rsidR="00A30D43" w:rsidRPr="005C046A">
        <w:rPr>
          <w:rFonts w:eastAsia="Times New Roman"/>
          <w:sz w:val="24"/>
          <w:szCs w:val="24"/>
        </w:rPr>
        <w:t>T</w:t>
      </w:r>
      <w:r w:rsidR="00A30D43">
        <w:rPr>
          <w:rFonts w:eastAsia="Times New Roman"/>
          <w:sz w:val="24"/>
          <w:szCs w:val="24"/>
        </w:rPr>
        <w:t xml:space="preserve">o this aim, we developed a new approach that consists in growing all the progeny as if every parental plant had been selected to be a breeder and removing the progeny of counter selected parents </w:t>
      </w:r>
      <w:r w:rsidR="00A30D43" w:rsidRPr="00A30D43">
        <w:rPr>
          <w:rFonts w:eastAsia="Times New Roman"/>
          <w:i/>
          <w:sz w:val="24"/>
          <w:szCs w:val="24"/>
        </w:rPr>
        <w:t xml:space="preserve">in </w:t>
      </w:r>
      <w:proofErr w:type="spellStart"/>
      <w:r w:rsidR="00A30D43" w:rsidRPr="00A30D43">
        <w:rPr>
          <w:rFonts w:eastAsia="Times New Roman"/>
          <w:i/>
          <w:sz w:val="24"/>
          <w:szCs w:val="24"/>
        </w:rPr>
        <w:t>silico</w:t>
      </w:r>
      <w:proofErr w:type="spellEnd"/>
      <w:r w:rsidR="00A30D43">
        <w:rPr>
          <w:rFonts w:eastAsia="Times New Roman"/>
          <w:sz w:val="24"/>
          <w:szCs w:val="24"/>
        </w:rPr>
        <w:t>, which allowed us to build strong confidence intervals and conduct independent selection trials on different traits.</w:t>
      </w:r>
    </w:p>
    <w:p w14:paraId="1092044C" w14:textId="77777777" w:rsidR="00A30D43" w:rsidRDefault="00A30D43" w:rsidP="00A30D43">
      <w:pPr>
        <w:pStyle w:val="Paragraph"/>
        <w:spacing w:before="0"/>
        <w:ind w:firstLine="0"/>
        <w:rPr>
          <w:b/>
        </w:rPr>
      </w:pPr>
      <w:r w:rsidRPr="005341F3">
        <w:rPr>
          <w:b/>
        </w:rPr>
        <w:t>Materials and Methods</w:t>
      </w:r>
    </w:p>
    <w:p w14:paraId="4CBB9EDE" w14:textId="77777777" w:rsidR="00A30D43" w:rsidRDefault="00A30D43" w:rsidP="00A30D43">
      <w:pPr>
        <w:ind w:left="720"/>
        <w:rPr>
          <w:rFonts w:eastAsia="Times New Roman"/>
          <w:sz w:val="24"/>
          <w:szCs w:val="24"/>
        </w:rPr>
      </w:pPr>
    </w:p>
    <w:p w14:paraId="54CA7A85" w14:textId="77777777" w:rsidR="00A30D43" w:rsidRDefault="00A30D43" w:rsidP="00A30D43">
      <w:pPr>
        <w:ind w:left="720"/>
        <w:rPr>
          <w:rFonts w:eastAsia="Times New Roman"/>
          <w:sz w:val="24"/>
          <w:szCs w:val="24"/>
        </w:rPr>
      </w:pPr>
      <w:r>
        <w:rPr>
          <w:rFonts w:eastAsia="Times New Roman"/>
          <w:sz w:val="24"/>
          <w:szCs w:val="24"/>
        </w:rPr>
        <w:t>Plant material</w:t>
      </w:r>
    </w:p>
    <w:p w14:paraId="76CB3248" w14:textId="77777777" w:rsidR="00A30D43" w:rsidRDefault="00A30D43" w:rsidP="00A30D43">
      <w:pPr>
        <w:ind w:left="720"/>
        <w:rPr>
          <w:rFonts w:eastAsia="Times New Roman"/>
          <w:sz w:val="24"/>
          <w:szCs w:val="24"/>
        </w:rPr>
      </w:pPr>
    </w:p>
    <w:p w14:paraId="6C54D88F" w14:textId="2B5D6F6F" w:rsidR="00A30D43" w:rsidRDefault="00A30D43" w:rsidP="00A30D43">
      <w:pPr>
        <w:ind w:left="720"/>
        <w:rPr>
          <w:rFonts w:eastAsia="Times New Roman"/>
          <w:sz w:val="24"/>
          <w:szCs w:val="24"/>
        </w:rPr>
      </w:pPr>
      <w:r w:rsidRPr="00FA5700">
        <w:rPr>
          <w:rFonts w:eastAsia="Times New Roman"/>
          <w:sz w:val="24"/>
          <w:szCs w:val="24"/>
        </w:rPr>
        <w:t>Epigenetic Recombinant Inbred Lines (</w:t>
      </w:r>
      <w:proofErr w:type="spellStart"/>
      <w:r w:rsidRPr="00FA5700">
        <w:rPr>
          <w:rFonts w:eastAsia="Times New Roman"/>
          <w:sz w:val="24"/>
          <w:szCs w:val="24"/>
        </w:rPr>
        <w:t>epiRILs</w:t>
      </w:r>
      <w:proofErr w:type="spellEnd"/>
      <w:r w:rsidRPr="00FA5700">
        <w:rPr>
          <w:rFonts w:eastAsia="Times New Roman"/>
          <w:sz w:val="24"/>
          <w:szCs w:val="24"/>
        </w:rPr>
        <w:t xml:space="preserve">) of </w:t>
      </w:r>
      <w:r w:rsidRPr="00FA5700">
        <w:rPr>
          <w:rFonts w:eastAsia="Times New Roman"/>
          <w:i/>
          <w:sz w:val="24"/>
          <w:szCs w:val="24"/>
        </w:rPr>
        <w:t>Arabidopsis thaliana</w:t>
      </w:r>
      <w:r w:rsidRPr="00FA5700">
        <w:rPr>
          <w:rFonts w:eastAsia="Times New Roman"/>
          <w:sz w:val="24"/>
          <w:szCs w:val="24"/>
        </w:rPr>
        <w:t xml:space="preserve"> plants represent one of the few study systems available to date to investigate epigenetic variation associated with phenotypic trait variation, clearly identified as </w:t>
      </w:r>
      <w:proofErr w:type="spellStart"/>
      <w:r w:rsidRPr="00FA5700">
        <w:rPr>
          <w:rFonts w:eastAsia="Times New Roman"/>
          <w:sz w:val="24"/>
          <w:szCs w:val="24"/>
        </w:rPr>
        <w:t>epiQTLs</w:t>
      </w:r>
      <w:proofErr w:type="spellEnd"/>
      <w:r w:rsidRPr="00FA5700">
        <w:rPr>
          <w:rFonts w:eastAsia="Times New Roman"/>
          <w:sz w:val="24"/>
          <w:szCs w:val="24"/>
        </w:rPr>
        <w:t xml:space="preserve"> located on chromosomes, in an almost fixed genomic background (13, 18, 20, 25). We obtained 123 </w:t>
      </w:r>
      <w:proofErr w:type="spellStart"/>
      <w:r w:rsidRPr="00FA5700">
        <w:rPr>
          <w:rFonts w:eastAsia="Times New Roman"/>
          <w:sz w:val="24"/>
          <w:szCs w:val="24"/>
        </w:rPr>
        <w:t>epiRILs</w:t>
      </w:r>
      <w:proofErr w:type="spellEnd"/>
      <w:r w:rsidRPr="00FA5700">
        <w:rPr>
          <w:rFonts w:eastAsia="Times New Roman"/>
          <w:sz w:val="24"/>
          <w:szCs w:val="24"/>
        </w:rPr>
        <w:t xml:space="preserve"> from the Institute Jean-Pierre </w:t>
      </w:r>
      <w:proofErr w:type="spellStart"/>
      <w:r w:rsidRPr="00FA5700">
        <w:rPr>
          <w:rFonts w:eastAsia="Times New Roman"/>
          <w:sz w:val="24"/>
          <w:szCs w:val="24"/>
        </w:rPr>
        <w:t>Bourgin</w:t>
      </w:r>
      <w:proofErr w:type="spellEnd"/>
      <w:r w:rsidRPr="00FA5700">
        <w:rPr>
          <w:rFonts w:eastAsia="Times New Roman"/>
          <w:sz w:val="24"/>
          <w:szCs w:val="24"/>
        </w:rPr>
        <w:t xml:space="preserve"> (IJPB - UMR1318 INRAE-</w:t>
      </w:r>
      <w:proofErr w:type="spellStart"/>
      <w:r w:rsidRPr="00FA5700">
        <w:rPr>
          <w:rFonts w:eastAsia="Times New Roman"/>
          <w:sz w:val="24"/>
          <w:szCs w:val="24"/>
        </w:rPr>
        <w:t>AgroParisTech</w:t>
      </w:r>
      <w:proofErr w:type="spellEnd"/>
      <w:r w:rsidRPr="00FA5700">
        <w:rPr>
          <w:rFonts w:eastAsia="Times New Roman"/>
          <w:sz w:val="24"/>
          <w:szCs w:val="24"/>
        </w:rPr>
        <w:t xml:space="preserve">, Versailles, France). These </w:t>
      </w:r>
      <w:proofErr w:type="spellStart"/>
      <w:r w:rsidRPr="00FA5700">
        <w:rPr>
          <w:rFonts w:eastAsia="Times New Roman"/>
          <w:sz w:val="24"/>
          <w:szCs w:val="24"/>
        </w:rPr>
        <w:t>epiRILs</w:t>
      </w:r>
      <w:proofErr w:type="spellEnd"/>
      <w:r w:rsidRPr="00FA5700">
        <w:rPr>
          <w:rFonts w:eastAsia="Times New Roman"/>
          <w:sz w:val="24"/>
          <w:szCs w:val="24"/>
        </w:rPr>
        <w:t xml:space="preserve"> were originally created by crossing two parents from the same accession (</w:t>
      </w:r>
      <w:r w:rsidRPr="00FA5700">
        <w:rPr>
          <w:rFonts w:eastAsia="Times New Roman"/>
          <w:i/>
          <w:sz w:val="24"/>
          <w:szCs w:val="24"/>
        </w:rPr>
        <w:t>Columbia</w:t>
      </w:r>
      <w:r w:rsidRPr="00FA5700">
        <w:rPr>
          <w:rFonts w:eastAsia="Times New Roman"/>
          <w:sz w:val="24"/>
          <w:szCs w:val="24"/>
        </w:rPr>
        <w:t xml:space="preserve">, </w:t>
      </w:r>
      <w:r w:rsidRPr="00FA5700">
        <w:rPr>
          <w:rFonts w:eastAsia="Times New Roman"/>
          <w:i/>
          <w:sz w:val="24"/>
          <w:szCs w:val="24"/>
        </w:rPr>
        <w:t>Col</w:t>
      </w:r>
      <w:r w:rsidRPr="00FA5700">
        <w:rPr>
          <w:rFonts w:eastAsia="Times New Roman"/>
          <w:sz w:val="24"/>
          <w:szCs w:val="24"/>
        </w:rPr>
        <w:t xml:space="preserve">) that differed only at the </w:t>
      </w:r>
      <w:r w:rsidRPr="00FA5700">
        <w:rPr>
          <w:rFonts w:eastAsia="Times New Roman"/>
          <w:i/>
          <w:sz w:val="24"/>
          <w:szCs w:val="24"/>
        </w:rPr>
        <w:t>Decreased DNA Methylation 1</w:t>
      </w:r>
      <w:r w:rsidRPr="00FA5700">
        <w:rPr>
          <w:rFonts w:eastAsia="Times New Roman"/>
          <w:sz w:val="24"/>
          <w:szCs w:val="24"/>
        </w:rPr>
        <w:t xml:space="preserve"> gene (</w:t>
      </w:r>
      <w:r w:rsidRPr="00FA5700">
        <w:rPr>
          <w:rFonts w:eastAsia="Times New Roman"/>
          <w:i/>
          <w:sz w:val="24"/>
          <w:szCs w:val="24"/>
        </w:rPr>
        <w:t>DDM1</w:t>
      </w:r>
      <w:r w:rsidRPr="00FA5700">
        <w:rPr>
          <w:rFonts w:eastAsia="Times New Roman"/>
          <w:sz w:val="24"/>
          <w:szCs w:val="24"/>
        </w:rPr>
        <w:t>), with one parent homozygous for the wild type DDM1 allele (</w:t>
      </w:r>
      <w:r w:rsidRPr="00FA5700">
        <w:rPr>
          <w:rFonts w:eastAsia="Times New Roman"/>
          <w:i/>
          <w:sz w:val="24"/>
          <w:szCs w:val="24"/>
        </w:rPr>
        <w:t>Col</w:t>
      </w:r>
      <w:r w:rsidRPr="00FA5700">
        <w:rPr>
          <w:rFonts w:eastAsia="Times New Roman"/>
          <w:sz w:val="24"/>
          <w:szCs w:val="24"/>
        </w:rPr>
        <w:t>-</w:t>
      </w:r>
      <w:proofErr w:type="spellStart"/>
      <w:r w:rsidRPr="00FA5700">
        <w:rPr>
          <w:rFonts w:eastAsia="Times New Roman"/>
          <w:sz w:val="24"/>
          <w:szCs w:val="24"/>
        </w:rPr>
        <w:t>wt</w:t>
      </w:r>
      <w:proofErr w:type="spellEnd"/>
      <w:r w:rsidRPr="00FA5700">
        <w:rPr>
          <w:rFonts w:eastAsia="Times New Roman"/>
          <w:sz w:val="24"/>
          <w:szCs w:val="24"/>
        </w:rPr>
        <w:t>), and the other for the ddm1-2 mutant allele (</w:t>
      </w:r>
      <w:r w:rsidRPr="00FA5700">
        <w:rPr>
          <w:rFonts w:eastAsia="Times New Roman"/>
          <w:i/>
          <w:sz w:val="24"/>
          <w:szCs w:val="24"/>
        </w:rPr>
        <w:t>Col</w:t>
      </w:r>
      <w:r w:rsidRPr="00FA5700">
        <w:rPr>
          <w:rFonts w:eastAsia="Times New Roman"/>
          <w:sz w:val="24"/>
          <w:szCs w:val="24"/>
        </w:rPr>
        <w:t>-</w:t>
      </w:r>
      <w:r w:rsidRPr="00FA5700">
        <w:rPr>
          <w:rFonts w:eastAsia="Times New Roman"/>
          <w:i/>
          <w:sz w:val="24"/>
          <w:szCs w:val="24"/>
        </w:rPr>
        <w:t>ddm1</w:t>
      </w:r>
      <w:r w:rsidRPr="00FA5700">
        <w:rPr>
          <w:rFonts w:eastAsia="Times New Roman"/>
          <w:sz w:val="24"/>
          <w:szCs w:val="24"/>
        </w:rPr>
        <w:t>) (</w:t>
      </w:r>
      <w:r w:rsidR="00FA5948" w:rsidRPr="00123E15">
        <w:rPr>
          <w:rFonts w:eastAsia="Times New Roman"/>
          <w:sz w:val="24"/>
          <w:szCs w:val="24"/>
        </w:rPr>
        <w:t>Johannes et al. 2009</w:t>
      </w:r>
      <w:r w:rsidRPr="00FA5700">
        <w:rPr>
          <w:rFonts w:eastAsia="Times New Roman"/>
          <w:sz w:val="24"/>
          <w:szCs w:val="24"/>
        </w:rPr>
        <w:t xml:space="preserve">). The latter is characterized by a widely different DNA methylation profile background. These </w:t>
      </w:r>
      <w:proofErr w:type="spellStart"/>
      <w:r w:rsidRPr="00FA5700">
        <w:rPr>
          <w:rFonts w:eastAsia="Times New Roman"/>
          <w:sz w:val="24"/>
          <w:szCs w:val="24"/>
        </w:rPr>
        <w:t>epiRILs</w:t>
      </w:r>
      <w:proofErr w:type="spellEnd"/>
      <w:r w:rsidRPr="00FA5700">
        <w:rPr>
          <w:rFonts w:eastAsia="Times New Roman"/>
          <w:sz w:val="24"/>
          <w:szCs w:val="24"/>
        </w:rPr>
        <w:t xml:space="preserve"> were obtained after six generations of single seed descent and harbor differentially methylated regions (DMR) across the entire genome. These DMRs are stably inherited over multiple generations and associated with substantial heritable variation in flowering time and plant height (</w:t>
      </w:r>
      <w:proofErr w:type="spellStart"/>
      <w:r w:rsidR="00FA5948">
        <w:rPr>
          <w:rFonts w:eastAsia="Times New Roman"/>
          <w:sz w:val="24"/>
          <w:szCs w:val="24"/>
        </w:rPr>
        <w:t>Cortijo</w:t>
      </w:r>
      <w:proofErr w:type="spellEnd"/>
      <w:r w:rsidR="00FA5948">
        <w:rPr>
          <w:rFonts w:eastAsia="Times New Roman"/>
          <w:sz w:val="24"/>
          <w:szCs w:val="24"/>
        </w:rPr>
        <w:t xml:space="preserve"> et al. 2014</w:t>
      </w:r>
      <w:r w:rsidRPr="00FA5700">
        <w:rPr>
          <w:rFonts w:eastAsia="Times New Roman"/>
          <w:sz w:val="24"/>
          <w:szCs w:val="24"/>
        </w:rPr>
        <w:t xml:space="preserve">, </w:t>
      </w:r>
      <w:r w:rsidR="00FA5948" w:rsidRPr="00123E15">
        <w:rPr>
          <w:rFonts w:eastAsia="Times New Roman"/>
          <w:sz w:val="24"/>
          <w:szCs w:val="24"/>
        </w:rPr>
        <w:t>Johannes et al. 2009</w:t>
      </w:r>
      <w:r w:rsidRPr="00FA5700">
        <w:rPr>
          <w:rFonts w:eastAsia="Times New Roman"/>
          <w:sz w:val="24"/>
          <w:szCs w:val="24"/>
        </w:rPr>
        <w:t xml:space="preserve">, </w:t>
      </w:r>
      <w:r w:rsidR="00FA5948">
        <w:rPr>
          <w:rFonts w:eastAsia="Times New Roman"/>
          <w:sz w:val="24"/>
          <w:szCs w:val="24"/>
        </w:rPr>
        <w:t>Roux et al. 2011</w:t>
      </w:r>
      <w:r w:rsidRPr="00FA5700">
        <w:rPr>
          <w:rFonts w:eastAsia="Times New Roman"/>
          <w:sz w:val="24"/>
          <w:szCs w:val="24"/>
        </w:rPr>
        <w:t xml:space="preserve">). Genome-wide DNA methylation data are available for these 123 </w:t>
      </w:r>
      <w:proofErr w:type="spellStart"/>
      <w:r w:rsidRPr="00FA5700">
        <w:rPr>
          <w:rFonts w:eastAsia="Times New Roman"/>
          <w:sz w:val="24"/>
          <w:szCs w:val="24"/>
        </w:rPr>
        <w:t>epiRILs</w:t>
      </w:r>
      <w:proofErr w:type="spellEnd"/>
      <w:r w:rsidRPr="00FA5700">
        <w:rPr>
          <w:rFonts w:eastAsia="Times New Roman"/>
          <w:sz w:val="24"/>
          <w:szCs w:val="24"/>
        </w:rPr>
        <w:t xml:space="preserve"> as well as the derived recombination map for 126 </w:t>
      </w:r>
      <w:proofErr w:type="spellStart"/>
      <w:r w:rsidRPr="00FA5700">
        <w:rPr>
          <w:rFonts w:eastAsia="Times New Roman"/>
          <w:sz w:val="24"/>
          <w:szCs w:val="24"/>
        </w:rPr>
        <w:t>meiotically</w:t>
      </w:r>
      <w:proofErr w:type="spellEnd"/>
      <w:r w:rsidRPr="00FA5700">
        <w:rPr>
          <w:rFonts w:eastAsia="Times New Roman"/>
          <w:sz w:val="24"/>
          <w:szCs w:val="24"/>
        </w:rPr>
        <w:t xml:space="preserve"> stable DMRs covering 81.9% of the genome (</w:t>
      </w:r>
      <w:proofErr w:type="spellStart"/>
      <w:r w:rsidR="00FA5948" w:rsidRPr="00FA5948">
        <w:rPr>
          <w:rFonts w:eastAsia="Times New Roman"/>
          <w:sz w:val="24"/>
          <w:szCs w:val="24"/>
        </w:rPr>
        <w:t>Colomé-Tatché</w:t>
      </w:r>
      <w:proofErr w:type="spellEnd"/>
      <w:r w:rsidR="00FA5948">
        <w:rPr>
          <w:rFonts w:eastAsia="Times New Roman"/>
          <w:sz w:val="24"/>
          <w:szCs w:val="24"/>
        </w:rPr>
        <w:t xml:space="preserve"> et al. 2012</w:t>
      </w:r>
      <w:r w:rsidRPr="00FA5700">
        <w:rPr>
          <w:rFonts w:eastAsia="Times New Roman"/>
          <w:sz w:val="24"/>
          <w:szCs w:val="24"/>
        </w:rPr>
        <w:t>).</w:t>
      </w:r>
    </w:p>
    <w:p w14:paraId="0E04CF14" w14:textId="77777777" w:rsidR="00A30D43" w:rsidRPr="00FA5700" w:rsidRDefault="00A30D43" w:rsidP="00A30D43">
      <w:pPr>
        <w:ind w:left="720"/>
        <w:rPr>
          <w:rFonts w:eastAsia="Times New Roman"/>
          <w:sz w:val="24"/>
          <w:szCs w:val="24"/>
        </w:rPr>
      </w:pPr>
    </w:p>
    <w:p w14:paraId="6988DFBF" w14:textId="558F6910" w:rsidR="00A30D43" w:rsidRDefault="00A30D43" w:rsidP="00A30D43">
      <w:pPr>
        <w:ind w:left="720"/>
        <w:rPr>
          <w:rFonts w:eastAsia="Times New Roman"/>
          <w:sz w:val="24"/>
          <w:szCs w:val="24"/>
        </w:rPr>
      </w:pPr>
      <w:r w:rsidRPr="00FA5700">
        <w:rPr>
          <w:rFonts w:eastAsia="Times New Roman"/>
          <w:sz w:val="24"/>
          <w:szCs w:val="24"/>
        </w:rPr>
        <w:t xml:space="preserve">We built two independent samples of 60 different </w:t>
      </w:r>
      <w:proofErr w:type="spellStart"/>
      <w:r w:rsidRPr="00FA5700">
        <w:rPr>
          <w:rFonts w:eastAsia="Times New Roman"/>
          <w:sz w:val="24"/>
          <w:szCs w:val="24"/>
        </w:rPr>
        <w:t>epiRILs</w:t>
      </w:r>
      <w:proofErr w:type="spellEnd"/>
      <w:r w:rsidRPr="00FA5700">
        <w:rPr>
          <w:rFonts w:eastAsia="Times New Roman"/>
          <w:sz w:val="24"/>
          <w:szCs w:val="24"/>
        </w:rPr>
        <w:t xml:space="preserve"> by randomly choosing lines without replacement out of the 123 lines available in order to create two independent experimental populations of Col-</w:t>
      </w:r>
      <w:proofErr w:type="spellStart"/>
      <w:r w:rsidRPr="00FA5700">
        <w:rPr>
          <w:rFonts w:eastAsia="Times New Roman"/>
          <w:sz w:val="24"/>
          <w:szCs w:val="24"/>
        </w:rPr>
        <w:t>wt</w:t>
      </w:r>
      <w:proofErr w:type="spellEnd"/>
      <w:r w:rsidRPr="00FA5700">
        <w:rPr>
          <w:rFonts w:eastAsia="Times New Roman"/>
          <w:sz w:val="24"/>
          <w:szCs w:val="24"/>
        </w:rPr>
        <w:t xml:space="preserve"> </w:t>
      </w:r>
      <w:proofErr w:type="spellStart"/>
      <w:r w:rsidRPr="00FA5700">
        <w:rPr>
          <w:rFonts w:eastAsia="Times New Roman"/>
          <w:sz w:val="24"/>
          <w:szCs w:val="24"/>
        </w:rPr>
        <w:t>epiRILs</w:t>
      </w:r>
      <w:proofErr w:type="spellEnd"/>
      <w:r w:rsidRPr="00FA5700">
        <w:rPr>
          <w:rFonts w:eastAsia="Times New Roman"/>
          <w:sz w:val="24"/>
          <w:szCs w:val="24"/>
        </w:rPr>
        <w:t xml:space="preserve"> and replicate our selection experiment in these two populations at different times. Population 1 included the following </w:t>
      </w:r>
      <w:proofErr w:type="spellStart"/>
      <w:r w:rsidRPr="00FA5700">
        <w:rPr>
          <w:rFonts w:eastAsia="Times New Roman"/>
          <w:sz w:val="24"/>
          <w:szCs w:val="24"/>
        </w:rPr>
        <w:t>epiRILs</w:t>
      </w:r>
      <w:proofErr w:type="spellEnd"/>
      <w:r w:rsidRPr="00FA5700">
        <w:rPr>
          <w:rFonts w:eastAsia="Times New Roman"/>
          <w:sz w:val="24"/>
          <w:szCs w:val="24"/>
        </w:rPr>
        <w:t xml:space="preserve"> (</w:t>
      </w:r>
      <w:proofErr w:type="spellStart"/>
      <w:r w:rsidR="00FA5948" w:rsidRPr="00FA5948">
        <w:rPr>
          <w:rFonts w:eastAsia="Times New Roman"/>
          <w:sz w:val="24"/>
          <w:szCs w:val="24"/>
        </w:rPr>
        <w:t>Colomé-Tatché</w:t>
      </w:r>
      <w:proofErr w:type="spellEnd"/>
      <w:r w:rsidR="00FA5948">
        <w:rPr>
          <w:rFonts w:eastAsia="Times New Roman"/>
          <w:sz w:val="24"/>
          <w:szCs w:val="24"/>
        </w:rPr>
        <w:t xml:space="preserve"> et al. 2012</w:t>
      </w:r>
      <w:r w:rsidRPr="00FA5700">
        <w:rPr>
          <w:rFonts w:eastAsia="Times New Roman"/>
          <w:sz w:val="24"/>
          <w:szCs w:val="24"/>
        </w:rPr>
        <w:t xml:space="preserve">): 14, 20, 36, 52, 54, 55, 62, 64, 70, 92, 99, 108, 112, 144, 164, </w:t>
      </w:r>
      <w:r w:rsidRPr="00FA5700">
        <w:rPr>
          <w:rFonts w:eastAsia="Times New Roman"/>
          <w:sz w:val="24"/>
          <w:szCs w:val="24"/>
        </w:rPr>
        <w:lastRenderedPageBreak/>
        <w:t xml:space="preserve">166, 169, 183, 193, 195, 215, 216, 238, 257, 260, 275, 277, 297, 305, 326, 333, 340, 344, 350, 356, 361, 362, 368, 371, 393, 394, 400, 408, 432, 434, 437, 458, 466, 467, 473, 477, 480, 488, 492, 493, 497, 503, 539, 561 and 567. Population 2 included the following </w:t>
      </w:r>
      <w:proofErr w:type="spellStart"/>
      <w:r w:rsidRPr="00FA5700">
        <w:rPr>
          <w:rFonts w:eastAsia="Times New Roman"/>
          <w:sz w:val="24"/>
          <w:szCs w:val="24"/>
        </w:rPr>
        <w:t>epiRILs</w:t>
      </w:r>
      <w:proofErr w:type="spellEnd"/>
      <w:r w:rsidRPr="00FA5700">
        <w:rPr>
          <w:rFonts w:eastAsia="Times New Roman"/>
          <w:sz w:val="24"/>
          <w:szCs w:val="24"/>
        </w:rPr>
        <w:t>: 8, 11, 18, 24, 46, 53, 60, 69, 71, 73, 94, 95, 101, 114, 118, 137, 147, 148, 150, 159, 170, 172, 202, 208, 218, 222, 225, 229, 232, 244, 252, 258, 262, 276, 315, 323, 363, 366, 375, 391, 410, 425, 438, 439, 454, 471, 494, 495, 500, 506, 508, 523, 538, 556, 558, 559, 570, 572, 573 and 579.</w:t>
      </w:r>
    </w:p>
    <w:p w14:paraId="42FC860B" w14:textId="77777777" w:rsidR="00A30D43" w:rsidRDefault="00A30D43" w:rsidP="00A30D43">
      <w:pPr>
        <w:ind w:left="720"/>
        <w:rPr>
          <w:rFonts w:eastAsia="Times New Roman"/>
          <w:sz w:val="24"/>
          <w:szCs w:val="24"/>
        </w:rPr>
      </w:pPr>
    </w:p>
    <w:p w14:paraId="6CAF1DCC" w14:textId="77777777" w:rsidR="00A30D43" w:rsidRDefault="00A30D43" w:rsidP="00A30D43">
      <w:pPr>
        <w:ind w:left="720"/>
        <w:rPr>
          <w:rFonts w:eastAsia="Times New Roman"/>
          <w:sz w:val="24"/>
          <w:szCs w:val="24"/>
        </w:rPr>
      </w:pPr>
      <w:r>
        <w:rPr>
          <w:rFonts w:eastAsia="Times New Roman"/>
          <w:sz w:val="24"/>
          <w:szCs w:val="24"/>
        </w:rPr>
        <w:t>Plant cultivation</w:t>
      </w:r>
    </w:p>
    <w:p w14:paraId="15171818" w14:textId="77777777" w:rsidR="00A30D43" w:rsidRDefault="00A30D43" w:rsidP="00A30D43">
      <w:pPr>
        <w:ind w:left="720"/>
        <w:rPr>
          <w:rFonts w:eastAsia="Times New Roman"/>
          <w:sz w:val="24"/>
          <w:szCs w:val="24"/>
        </w:rPr>
      </w:pPr>
    </w:p>
    <w:p w14:paraId="3204034C" w14:textId="65DBDA60" w:rsidR="00A30D43" w:rsidRDefault="00A30D43" w:rsidP="00A30D43">
      <w:pPr>
        <w:ind w:left="720"/>
        <w:rPr>
          <w:rFonts w:eastAsia="Times New Roman"/>
          <w:sz w:val="24"/>
          <w:szCs w:val="24"/>
        </w:rPr>
      </w:pPr>
      <w:r w:rsidRPr="00FA5700">
        <w:rPr>
          <w:rFonts w:eastAsia="Times New Roman"/>
          <w:sz w:val="24"/>
          <w:szCs w:val="24"/>
        </w:rPr>
        <w:t>The selection experiment required growing two successive generations of plants (G0 and G1) for each of the two independent experimental populations of Col-</w:t>
      </w:r>
      <w:proofErr w:type="spellStart"/>
      <w:r w:rsidRPr="00FA5700">
        <w:rPr>
          <w:rFonts w:eastAsia="Times New Roman"/>
          <w:sz w:val="24"/>
          <w:szCs w:val="24"/>
        </w:rPr>
        <w:t>wt</w:t>
      </w:r>
      <w:proofErr w:type="spellEnd"/>
      <w:r w:rsidRPr="00FA5700">
        <w:rPr>
          <w:rFonts w:eastAsia="Times New Roman"/>
          <w:sz w:val="24"/>
          <w:szCs w:val="24"/>
        </w:rPr>
        <w:t xml:space="preserve"> </w:t>
      </w:r>
      <w:proofErr w:type="spellStart"/>
      <w:r w:rsidRPr="00FA5700">
        <w:rPr>
          <w:rFonts w:eastAsia="Times New Roman"/>
          <w:sz w:val="24"/>
          <w:szCs w:val="24"/>
        </w:rPr>
        <w:t>epiRILs</w:t>
      </w:r>
      <w:proofErr w:type="spellEnd"/>
      <w:r w:rsidRPr="00FA5700">
        <w:rPr>
          <w:rFonts w:eastAsia="Times New Roman"/>
          <w:sz w:val="24"/>
          <w:szCs w:val="24"/>
        </w:rPr>
        <w:t xml:space="preserve">. G0 of population 1 was grown in June 2018 and G1 in January 2019. G0 of population 2 was grown January 2019 and G1 in August 2019. At G0, three plant replicates per </w:t>
      </w:r>
      <w:proofErr w:type="spellStart"/>
      <w:r w:rsidRPr="00FA5700">
        <w:rPr>
          <w:rFonts w:eastAsia="Times New Roman"/>
          <w:sz w:val="24"/>
          <w:szCs w:val="24"/>
        </w:rPr>
        <w:t>epiRIL</w:t>
      </w:r>
      <w:proofErr w:type="spellEnd"/>
      <w:r w:rsidRPr="00FA5700">
        <w:rPr>
          <w:rFonts w:eastAsia="Times New Roman"/>
          <w:sz w:val="24"/>
          <w:szCs w:val="24"/>
        </w:rPr>
        <w:t xml:space="preserve"> were grown (n = 180 plants for each population). Ninety-eight percent of G0 plants survived until flowering (n = 177 plants in population 1 and n = 177 plants in population 2). At G1, three descendants of every G0 plant were grown (n = 531 plants per population). Because of a final success rate of 96 %, 524 plants were available for population 1, and 521 plants for population 2. All the plants were grown in a growth chamber under controlled long-day conditions (day: 16 h – 20/22°C, night: 8 h – 16°C/18°C) with artificial light (120 </w:t>
      </w:r>
      <w:proofErr w:type="spellStart"/>
      <w:r w:rsidRPr="00FA5700">
        <w:rPr>
          <w:rFonts w:eastAsia="Times New Roman"/>
          <w:sz w:val="24"/>
          <w:szCs w:val="24"/>
        </w:rPr>
        <w:t>mmol</w:t>
      </w:r>
      <w:proofErr w:type="spellEnd"/>
      <w:r w:rsidRPr="00FA5700">
        <w:rPr>
          <w:rFonts w:eastAsia="Times New Roman"/>
          <w:sz w:val="24"/>
          <w:szCs w:val="24"/>
        </w:rPr>
        <w:t>/m2s-1), in 7x7x6.4 cm pots (</w:t>
      </w:r>
      <w:proofErr w:type="spellStart"/>
      <w:r w:rsidRPr="00FA5700">
        <w:rPr>
          <w:rFonts w:eastAsia="Times New Roman"/>
          <w:sz w:val="24"/>
          <w:szCs w:val="24"/>
        </w:rPr>
        <w:t>Soparco</w:t>
      </w:r>
      <w:proofErr w:type="spellEnd"/>
      <w:r w:rsidRPr="00FA5700">
        <w:rPr>
          <w:rFonts w:eastAsia="Times New Roman"/>
          <w:sz w:val="24"/>
          <w:szCs w:val="24"/>
        </w:rPr>
        <w:t>, France) on a substrate composed of 80% BP Substrate K716 (</w:t>
      </w:r>
      <w:proofErr w:type="spellStart"/>
      <w:r w:rsidRPr="00FA5700">
        <w:rPr>
          <w:rFonts w:eastAsia="Times New Roman"/>
          <w:sz w:val="24"/>
          <w:szCs w:val="24"/>
        </w:rPr>
        <w:t>Klassman</w:t>
      </w:r>
      <w:proofErr w:type="spellEnd"/>
      <w:r w:rsidRPr="00FA5700">
        <w:rPr>
          <w:rFonts w:eastAsia="Times New Roman"/>
          <w:sz w:val="24"/>
          <w:szCs w:val="24"/>
        </w:rPr>
        <w:t>, France) and 20 % of vermiculite (</w:t>
      </w:r>
      <w:proofErr w:type="spellStart"/>
      <w:r w:rsidRPr="00FA5700">
        <w:rPr>
          <w:rFonts w:eastAsia="Times New Roman"/>
          <w:sz w:val="24"/>
          <w:szCs w:val="24"/>
        </w:rPr>
        <w:t>Souflet</w:t>
      </w:r>
      <w:proofErr w:type="spellEnd"/>
      <w:r w:rsidRPr="00FA5700">
        <w:rPr>
          <w:rFonts w:eastAsia="Times New Roman"/>
          <w:sz w:val="24"/>
          <w:szCs w:val="24"/>
        </w:rPr>
        <w:t xml:space="preserve"> </w:t>
      </w:r>
      <w:proofErr w:type="spellStart"/>
      <w:r w:rsidRPr="00FA5700">
        <w:rPr>
          <w:rFonts w:eastAsia="Times New Roman"/>
          <w:sz w:val="24"/>
          <w:szCs w:val="24"/>
        </w:rPr>
        <w:t>Vigne</w:t>
      </w:r>
      <w:proofErr w:type="spellEnd"/>
      <w:r w:rsidRPr="00FA5700">
        <w:rPr>
          <w:rFonts w:eastAsia="Times New Roman"/>
          <w:sz w:val="24"/>
          <w:szCs w:val="24"/>
        </w:rPr>
        <w:t xml:space="preserve">, France). About 5 to 10 seeds, equivalent in terms of lineage and parental plant, were sown in each pot and seedlings were thinned out to retain a single plant per pot. Plant location in the growth chamber </w:t>
      </w:r>
      <w:r w:rsidR="000434D4">
        <w:rPr>
          <w:rFonts w:eastAsia="Times New Roman"/>
          <w:sz w:val="24"/>
          <w:szCs w:val="24"/>
        </w:rPr>
        <w:t xml:space="preserve">and planting occurring over a few hours </w:t>
      </w:r>
      <w:r w:rsidRPr="00FA5700">
        <w:rPr>
          <w:rFonts w:eastAsia="Times New Roman"/>
          <w:sz w:val="24"/>
          <w:szCs w:val="24"/>
        </w:rPr>
        <w:t xml:space="preserve">was </w:t>
      </w:r>
      <w:r w:rsidR="000434D4">
        <w:rPr>
          <w:rFonts w:eastAsia="Times New Roman"/>
          <w:sz w:val="24"/>
          <w:szCs w:val="24"/>
        </w:rPr>
        <w:t xml:space="preserve">fully </w:t>
      </w:r>
      <w:r w:rsidRPr="00FA5700">
        <w:rPr>
          <w:rFonts w:eastAsia="Times New Roman"/>
          <w:sz w:val="24"/>
          <w:szCs w:val="24"/>
        </w:rPr>
        <w:t>randomized.</w:t>
      </w:r>
      <w:r>
        <w:rPr>
          <w:rFonts w:eastAsia="Times New Roman"/>
          <w:sz w:val="24"/>
          <w:szCs w:val="24"/>
        </w:rPr>
        <w:t xml:space="preserve"> Comparisons were carried out under identical environmental conditions and the design was fully randomized. G0 and G1 were grown 6 months apart in different seasons, but in an underground growth chamber under fully controlled environmental conditions. </w:t>
      </w:r>
    </w:p>
    <w:p w14:paraId="5EFF4563" w14:textId="77777777" w:rsidR="00A30D43" w:rsidRDefault="00A30D43" w:rsidP="00A30D43">
      <w:pPr>
        <w:ind w:left="720"/>
        <w:rPr>
          <w:rFonts w:eastAsia="Times New Roman"/>
          <w:sz w:val="24"/>
          <w:szCs w:val="24"/>
        </w:rPr>
      </w:pPr>
    </w:p>
    <w:p w14:paraId="0215CB73" w14:textId="77777777" w:rsidR="00A30D43" w:rsidRDefault="00A30D43" w:rsidP="00A30D43">
      <w:pPr>
        <w:ind w:left="720"/>
        <w:rPr>
          <w:rFonts w:eastAsia="Times New Roman"/>
          <w:sz w:val="24"/>
          <w:szCs w:val="24"/>
        </w:rPr>
      </w:pPr>
      <w:r>
        <w:rPr>
          <w:rFonts w:eastAsia="Times New Roman"/>
          <w:sz w:val="24"/>
          <w:szCs w:val="24"/>
        </w:rPr>
        <w:t>Plant phenotypic measurements</w:t>
      </w:r>
    </w:p>
    <w:p w14:paraId="192A9E25" w14:textId="77777777" w:rsidR="00A30D43" w:rsidRDefault="00A30D43" w:rsidP="00A30D43">
      <w:pPr>
        <w:ind w:left="720"/>
        <w:rPr>
          <w:rFonts w:eastAsia="Times New Roman"/>
          <w:sz w:val="24"/>
          <w:szCs w:val="24"/>
        </w:rPr>
      </w:pPr>
    </w:p>
    <w:p w14:paraId="1301C118" w14:textId="30FDEC94" w:rsidR="00A30D43" w:rsidRDefault="00A30D43" w:rsidP="00A30D43">
      <w:pPr>
        <w:ind w:left="720"/>
        <w:rPr>
          <w:rFonts w:eastAsia="Times New Roman"/>
          <w:sz w:val="24"/>
          <w:szCs w:val="24"/>
        </w:rPr>
      </w:pPr>
      <w:r w:rsidRPr="00FA5700">
        <w:rPr>
          <w:rFonts w:eastAsia="Times New Roman"/>
          <w:sz w:val="24"/>
          <w:szCs w:val="24"/>
        </w:rPr>
        <w:t xml:space="preserve">Four growth- and flowering-related phenotypic traits were recorded: Flowering time (in number of days since sowing) and rosette diameter were recorded when the first flower opened. Height at first silique and above-ground biomass were measured after plants ceased flowering. Above-ground biomass was measured on an analytical high precision lab balance (Sartorius, Germany) after plants were dried for 24h at 40°C in a laboratory oven (France </w:t>
      </w:r>
      <w:proofErr w:type="spellStart"/>
      <w:r w:rsidRPr="00FA5700">
        <w:rPr>
          <w:rFonts w:eastAsia="Times New Roman"/>
          <w:sz w:val="24"/>
          <w:szCs w:val="24"/>
        </w:rPr>
        <w:t>Etuves</w:t>
      </w:r>
      <w:proofErr w:type="spellEnd"/>
      <w:r w:rsidRPr="00FA5700">
        <w:rPr>
          <w:rFonts w:eastAsia="Times New Roman"/>
          <w:sz w:val="24"/>
          <w:szCs w:val="24"/>
        </w:rPr>
        <w:t xml:space="preserve">, France). These traits, and in particular growth traits, are not expected to be fully independent. They were chosen because they present transversal and comparative interest in ecological and evolutionary plant studies as they are usually recorded in </w:t>
      </w:r>
      <w:r w:rsidRPr="001A4F4A">
        <w:rPr>
          <w:rFonts w:eastAsia="Times New Roman"/>
          <w:i/>
          <w:sz w:val="24"/>
          <w:szCs w:val="24"/>
        </w:rPr>
        <w:t>A. thaliana</w:t>
      </w:r>
      <w:r w:rsidRPr="00FA5700">
        <w:rPr>
          <w:rFonts w:eastAsia="Times New Roman"/>
          <w:sz w:val="24"/>
          <w:szCs w:val="24"/>
        </w:rPr>
        <w:t xml:space="preserve"> and other plant studies (</w:t>
      </w:r>
      <w:proofErr w:type="spellStart"/>
      <w:r w:rsidR="00FA5948" w:rsidRPr="00FA5948">
        <w:rPr>
          <w:rFonts w:eastAsia="Times New Roman"/>
          <w:sz w:val="24"/>
          <w:szCs w:val="24"/>
        </w:rPr>
        <w:t>Halbritter</w:t>
      </w:r>
      <w:proofErr w:type="spellEnd"/>
      <w:r w:rsidR="00FA5948">
        <w:rPr>
          <w:rFonts w:eastAsia="Times New Roman"/>
          <w:sz w:val="24"/>
          <w:szCs w:val="24"/>
        </w:rPr>
        <w:t xml:space="preserve"> et al. 2018</w:t>
      </w:r>
      <w:r w:rsidRPr="00FA5700">
        <w:rPr>
          <w:rFonts w:eastAsia="Times New Roman"/>
          <w:sz w:val="24"/>
          <w:szCs w:val="24"/>
        </w:rPr>
        <w:t xml:space="preserve">, </w:t>
      </w:r>
      <w:r w:rsidR="00FA5948">
        <w:rPr>
          <w:rFonts w:eastAsia="Times New Roman"/>
          <w:sz w:val="24"/>
          <w:szCs w:val="24"/>
        </w:rPr>
        <w:t>Roux et al. 2011</w:t>
      </w:r>
      <w:r w:rsidRPr="00FA5700">
        <w:rPr>
          <w:rFonts w:eastAsia="Times New Roman"/>
          <w:sz w:val="24"/>
          <w:szCs w:val="24"/>
        </w:rPr>
        <w:t xml:space="preserve">, </w:t>
      </w:r>
      <w:r w:rsidR="00FA5948">
        <w:rPr>
          <w:rFonts w:eastAsia="Times New Roman"/>
          <w:sz w:val="24"/>
          <w:szCs w:val="24"/>
        </w:rPr>
        <w:t xml:space="preserve">Herrera and </w:t>
      </w:r>
      <w:proofErr w:type="spellStart"/>
      <w:r w:rsidR="00FA5948">
        <w:rPr>
          <w:rFonts w:eastAsia="Times New Roman"/>
          <w:sz w:val="24"/>
          <w:szCs w:val="24"/>
        </w:rPr>
        <w:t>Bazaga</w:t>
      </w:r>
      <w:proofErr w:type="spellEnd"/>
      <w:r w:rsidR="00FA5948">
        <w:rPr>
          <w:rFonts w:eastAsia="Times New Roman"/>
          <w:sz w:val="24"/>
          <w:szCs w:val="24"/>
        </w:rPr>
        <w:t xml:space="preserve"> 2010</w:t>
      </w:r>
      <w:r w:rsidRPr="00FA5700">
        <w:rPr>
          <w:rFonts w:eastAsia="Times New Roman"/>
          <w:sz w:val="24"/>
          <w:szCs w:val="24"/>
        </w:rPr>
        <w:t>).</w:t>
      </w:r>
    </w:p>
    <w:p w14:paraId="4559836B" w14:textId="77777777" w:rsidR="00A30D43" w:rsidRDefault="00A30D43" w:rsidP="00A30D43">
      <w:pPr>
        <w:ind w:left="720"/>
        <w:rPr>
          <w:rFonts w:eastAsia="Times New Roman"/>
          <w:sz w:val="24"/>
          <w:szCs w:val="24"/>
        </w:rPr>
      </w:pPr>
    </w:p>
    <w:p w14:paraId="16138793" w14:textId="77777777" w:rsidR="00A30D43" w:rsidRDefault="00A30D43" w:rsidP="00A30D43">
      <w:pPr>
        <w:ind w:left="720"/>
        <w:rPr>
          <w:rFonts w:eastAsia="Times New Roman"/>
          <w:sz w:val="24"/>
          <w:szCs w:val="24"/>
        </w:rPr>
      </w:pPr>
      <w:r>
        <w:rPr>
          <w:rFonts w:eastAsia="Times New Roman"/>
          <w:sz w:val="24"/>
          <w:szCs w:val="24"/>
        </w:rPr>
        <w:t>Selection experiment</w:t>
      </w:r>
    </w:p>
    <w:p w14:paraId="0644D4DE" w14:textId="77777777" w:rsidR="00A30D43" w:rsidRDefault="00A30D43" w:rsidP="00A30D43">
      <w:pPr>
        <w:ind w:left="720"/>
        <w:rPr>
          <w:rFonts w:eastAsia="Times New Roman"/>
          <w:sz w:val="24"/>
          <w:szCs w:val="24"/>
        </w:rPr>
      </w:pPr>
    </w:p>
    <w:p w14:paraId="19A7008C" w14:textId="47EA5B92" w:rsidR="00A30D43" w:rsidRDefault="00A30D43" w:rsidP="00BD359A">
      <w:pPr>
        <w:ind w:left="720"/>
        <w:rPr>
          <w:rFonts w:eastAsia="Times New Roman"/>
          <w:sz w:val="24"/>
          <w:szCs w:val="24"/>
        </w:rPr>
      </w:pPr>
      <w:r w:rsidRPr="001A4F4A">
        <w:rPr>
          <w:rFonts w:eastAsia="Times New Roman"/>
          <w:sz w:val="24"/>
          <w:szCs w:val="24"/>
        </w:rPr>
        <w:t xml:space="preserve">G0 populations formed the base generation upon which selection was conducted. In each population, we ranked plants based on their trait values. We randomly selected plants from this list without replacement to establish a control line. We then selected the top-ranked and bottom-ranked of the remaining plants to establish high and low selection lines, respectively. The high and low selection lines (HSL and LSL) respectively aim at increasing and decreasing trait value in response to selection at the next generation. In </w:t>
      </w:r>
      <w:r w:rsidRPr="001A4F4A">
        <w:rPr>
          <w:rFonts w:eastAsia="Times New Roman"/>
          <w:sz w:val="24"/>
          <w:szCs w:val="24"/>
        </w:rPr>
        <w:lastRenderedPageBreak/>
        <w:t>order to test the limits of the selection protocol, the selection experiment was conducted at two selection intensities: weak selection, whereby each selection line (HSL and LSL) consisted of 33% of the plants (60 plants out of 180) and strong selection, whereby ca. 11% of the plants were randomly sampled to build a control group and then the upper and lower ca. 11% (20 plants out of 180) of the remaining plants were selected to build each selection line (HSL and LSL). The sample size of control groups matched the size of selection lines.</w:t>
      </w:r>
      <w:r w:rsidR="002158A5" w:rsidRPr="002158A5">
        <w:t xml:space="preserve"> </w:t>
      </w:r>
      <w:r w:rsidR="00BD359A">
        <w:rPr>
          <w:rFonts w:eastAsia="Times New Roman"/>
          <w:sz w:val="24"/>
          <w:szCs w:val="24"/>
        </w:rPr>
        <w:t xml:space="preserve">G1 control group phenotypes, their similarity to G0, and their difference with G1 selection lines, allows to control for confounding effects between the response to selection and the effect of temporal changes in the controlled </w:t>
      </w:r>
      <w:r w:rsidR="00BD359A" w:rsidRPr="002158A5">
        <w:rPr>
          <w:rFonts w:eastAsia="Times New Roman"/>
          <w:sz w:val="24"/>
          <w:szCs w:val="24"/>
        </w:rPr>
        <w:t>environment</w:t>
      </w:r>
      <w:r w:rsidR="00BD359A">
        <w:rPr>
          <w:rFonts w:eastAsia="Times New Roman"/>
          <w:sz w:val="24"/>
          <w:szCs w:val="24"/>
        </w:rPr>
        <w:t xml:space="preserve"> of the growth chambers, which in itself is highly unlikely. </w:t>
      </w:r>
    </w:p>
    <w:p w14:paraId="36CCC1AB" w14:textId="77777777" w:rsidR="00A30D43" w:rsidRDefault="00A30D43" w:rsidP="00A30D43">
      <w:pPr>
        <w:ind w:left="720"/>
        <w:rPr>
          <w:rFonts w:eastAsia="Times New Roman"/>
          <w:sz w:val="24"/>
          <w:szCs w:val="24"/>
        </w:rPr>
      </w:pPr>
    </w:p>
    <w:p w14:paraId="682E898C" w14:textId="77777777" w:rsidR="00A30D43" w:rsidRPr="001A4F4A" w:rsidRDefault="00A30D43" w:rsidP="00A30D43">
      <w:pPr>
        <w:ind w:left="720"/>
        <w:rPr>
          <w:rFonts w:eastAsia="Times New Roman"/>
          <w:sz w:val="24"/>
          <w:szCs w:val="24"/>
        </w:rPr>
      </w:pPr>
      <w:r w:rsidRPr="001A4F4A">
        <w:rPr>
          <w:rFonts w:eastAsia="Times New Roman"/>
          <w:sz w:val="24"/>
          <w:szCs w:val="24"/>
        </w:rPr>
        <w:t>Selection experiments conducted on outcrossing plants require cross-pollinating different sets of plants for the different traits under selection and the different selection lines, and sometimes require isolating the plants forming control and selection lines before pollen might be dispersed between groups. This was not necessary in our selection experiment because Col-</w:t>
      </w:r>
      <w:proofErr w:type="spellStart"/>
      <w:r w:rsidRPr="001A4F4A">
        <w:rPr>
          <w:rFonts w:eastAsia="Times New Roman"/>
          <w:sz w:val="24"/>
          <w:szCs w:val="24"/>
        </w:rPr>
        <w:t>wt</w:t>
      </w:r>
      <w:proofErr w:type="spellEnd"/>
      <w:r w:rsidRPr="001A4F4A">
        <w:rPr>
          <w:rFonts w:eastAsia="Times New Roman"/>
          <w:sz w:val="24"/>
          <w:szCs w:val="24"/>
        </w:rPr>
        <w:t xml:space="preserve"> </w:t>
      </w:r>
      <w:proofErr w:type="spellStart"/>
      <w:r w:rsidRPr="001A4F4A">
        <w:rPr>
          <w:rFonts w:eastAsia="Times New Roman"/>
          <w:sz w:val="24"/>
          <w:szCs w:val="24"/>
        </w:rPr>
        <w:t>epiRILs</w:t>
      </w:r>
      <w:proofErr w:type="spellEnd"/>
      <w:r w:rsidRPr="001A4F4A">
        <w:rPr>
          <w:rFonts w:eastAsia="Times New Roman"/>
          <w:sz w:val="24"/>
          <w:szCs w:val="24"/>
        </w:rPr>
        <w:t xml:space="preserve"> reproduce almost exclusively by self-fertilization and were grown in tubes that isolate flowering stems from each other. Here, we grew the progeny of every G0 plant as if it had been chosen and multiplied (three descendants per parent) to be part of the control, the HSL and LSL. This original protocol is challenging on the logistical front because the number of plants cultivated in the growth chamber, and the number of phenotypic records, grew exponentially between G0 and G1, but it has certain advantages. It allowed us to establish HSL, LSL and control lines and estimate the response to selection </w:t>
      </w:r>
      <w:r w:rsidRPr="001A4F4A">
        <w:rPr>
          <w:rFonts w:eastAsia="Times New Roman"/>
          <w:i/>
          <w:sz w:val="24"/>
          <w:szCs w:val="24"/>
        </w:rPr>
        <w:t xml:space="preserve">in </w:t>
      </w:r>
      <w:proofErr w:type="spellStart"/>
      <w:r w:rsidRPr="001A4F4A">
        <w:rPr>
          <w:rFonts w:eastAsia="Times New Roman"/>
          <w:i/>
          <w:sz w:val="24"/>
          <w:szCs w:val="24"/>
        </w:rPr>
        <w:t>silico</w:t>
      </w:r>
      <w:proofErr w:type="spellEnd"/>
      <w:r w:rsidRPr="001A4F4A">
        <w:rPr>
          <w:rFonts w:eastAsia="Times New Roman"/>
          <w:sz w:val="24"/>
          <w:szCs w:val="24"/>
        </w:rPr>
        <w:t xml:space="preserve"> based on the four different phenotypic traits after the two generations of plants had been grown and measured </w:t>
      </w:r>
      <w:r w:rsidRPr="001A4F4A">
        <w:rPr>
          <w:rFonts w:eastAsia="Times New Roman"/>
          <w:i/>
          <w:sz w:val="24"/>
          <w:szCs w:val="24"/>
        </w:rPr>
        <w:t>in vivo</w:t>
      </w:r>
      <w:r w:rsidRPr="001A4F4A">
        <w:rPr>
          <w:rFonts w:eastAsia="Times New Roman"/>
          <w:sz w:val="24"/>
          <w:szCs w:val="24"/>
        </w:rPr>
        <w:t>.</w:t>
      </w:r>
    </w:p>
    <w:p w14:paraId="5C5FA430" w14:textId="77777777" w:rsidR="00A30D43" w:rsidRDefault="00A30D43" w:rsidP="00A30D43">
      <w:pPr>
        <w:ind w:left="720"/>
        <w:rPr>
          <w:rFonts w:eastAsia="Times New Roman"/>
          <w:sz w:val="24"/>
          <w:szCs w:val="24"/>
        </w:rPr>
      </w:pPr>
    </w:p>
    <w:p w14:paraId="5C2AA798" w14:textId="77777777" w:rsidR="00A30D43" w:rsidRDefault="00A30D43" w:rsidP="00A30D43">
      <w:pPr>
        <w:ind w:left="720"/>
        <w:rPr>
          <w:rFonts w:eastAsia="Times New Roman"/>
          <w:sz w:val="24"/>
          <w:szCs w:val="24"/>
        </w:rPr>
      </w:pPr>
      <w:r>
        <w:rPr>
          <w:rFonts w:eastAsia="Times New Roman"/>
          <w:sz w:val="24"/>
          <w:szCs w:val="24"/>
        </w:rPr>
        <w:t>Statistical analysis</w:t>
      </w:r>
    </w:p>
    <w:p w14:paraId="6B6C4A1B" w14:textId="77777777" w:rsidR="00A30D43" w:rsidRDefault="00A30D43" w:rsidP="00A30D43">
      <w:pPr>
        <w:ind w:left="720"/>
        <w:rPr>
          <w:rFonts w:eastAsia="Times New Roman"/>
          <w:sz w:val="24"/>
          <w:szCs w:val="24"/>
        </w:rPr>
      </w:pPr>
    </w:p>
    <w:p w14:paraId="3463F07C" w14:textId="3E16030B" w:rsidR="00A30D43" w:rsidRDefault="00A30D43" w:rsidP="00A30D43">
      <w:pPr>
        <w:ind w:left="720"/>
        <w:rPr>
          <w:rFonts w:eastAsia="Times New Roman"/>
          <w:sz w:val="24"/>
          <w:szCs w:val="24"/>
        </w:rPr>
      </w:pPr>
      <w:r w:rsidRPr="001A4F4A">
        <w:rPr>
          <w:rFonts w:eastAsia="Times New Roman"/>
          <w:sz w:val="24"/>
          <w:szCs w:val="24"/>
        </w:rPr>
        <w:t xml:space="preserve">The classical </w:t>
      </w:r>
      <w:r w:rsidRPr="001A4F4A">
        <w:rPr>
          <w:rFonts w:eastAsia="Times New Roman"/>
          <w:i/>
          <w:sz w:val="24"/>
          <w:szCs w:val="24"/>
        </w:rPr>
        <w:t>in vivo</w:t>
      </w:r>
      <w:r w:rsidRPr="001A4F4A">
        <w:rPr>
          <w:rFonts w:eastAsia="Times New Roman"/>
          <w:sz w:val="24"/>
          <w:szCs w:val="24"/>
        </w:rPr>
        <w:t xml:space="preserve"> estimation of the response to selection can be biased because a unique event of random sampling without replacement of a fixed set of individuals from the base population is used to establish the control line. This protocol can potentially produce a sample of values that is upward or downward biased by chance alone. The remaining individuals available to establish the high and low selection lines are then biased towards average values. Our original protocol allowed us to overcome this potential bias although we applied the same logical random sampling of individuals without replacement to build the control line. This is because we replicated 1000 times this random sampling </w:t>
      </w:r>
      <w:r w:rsidRPr="001A4F4A">
        <w:rPr>
          <w:rFonts w:eastAsia="Times New Roman"/>
          <w:i/>
          <w:sz w:val="24"/>
          <w:szCs w:val="24"/>
        </w:rPr>
        <w:t xml:space="preserve">in </w:t>
      </w:r>
      <w:proofErr w:type="spellStart"/>
      <w:r w:rsidRPr="001A4F4A">
        <w:rPr>
          <w:rFonts w:eastAsia="Times New Roman"/>
          <w:i/>
          <w:sz w:val="24"/>
          <w:szCs w:val="24"/>
        </w:rPr>
        <w:t>silico</w:t>
      </w:r>
      <w:proofErr w:type="spellEnd"/>
      <w:r w:rsidRPr="001A4F4A">
        <w:rPr>
          <w:rFonts w:eastAsia="Times New Roman"/>
          <w:sz w:val="24"/>
          <w:szCs w:val="24"/>
        </w:rPr>
        <w:t xml:space="preserve">. We built the corresponding distribution and estimated unbiased estimates of the trait mean, Standard Error, and 95% Confidence Interval, for each line (control group, HSL, LSL) and each selection intensity. We used the lack of overlap between the 95% confidence intervals of phenotypic estimates to test for a significant difference between high and low selection lines. This is a conservative approach that provides information on the statistical effects (range, direction, strength and reliability) that is not provided by p values 40. Scripts in </w:t>
      </w:r>
      <w:proofErr w:type="spellStart"/>
      <w:r w:rsidRPr="001A4F4A">
        <w:rPr>
          <w:rFonts w:eastAsia="Times New Roman"/>
          <w:sz w:val="24"/>
          <w:szCs w:val="24"/>
        </w:rPr>
        <w:t>R are</w:t>
      </w:r>
      <w:proofErr w:type="spellEnd"/>
      <w:r w:rsidRPr="001A4F4A">
        <w:rPr>
          <w:rFonts w:eastAsia="Times New Roman"/>
          <w:sz w:val="24"/>
          <w:szCs w:val="24"/>
        </w:rPr>
        <w:t xml:space="preserve"> publicly available on the ZENODO repository: </w:t>
      </w:r>
      <w:r w:rsidR="007807CF" w:rsidRPr="0002194A">
        <w:rPr>
          <w:rFonts w:eastAsia="Times New Roman"/>
          <w:sz w:val="24"/>
          <w:szCs w:val="24"/>
        </w:rPr>
        <w:t>https://doi.org/10.5281/zenodo.7603324</w:t>
      </w:r>
      <w:r w:rsidRPr="001A4F4A">
        <w:rPr>
          <w:rFonts w:eastAsia="Times New Roman"/>
          <w:sz w:val="24"/>
          <w:szCs w:val="24"/>
        </w:rPr>
        <w:t>.</w:t>
      </w:r>
    </w:p>
    <w:p w14:paraId="790D967E" w14:textId="77777777" w:rsidR="00A30D43" w:rsidRDefault="00A30D43" w:rsidP="00A30D43">
      <w:pPr>
        <w:ind w:left="720"/>
        <w:rPr>
          <w:rFonts w:eastAsia="Times New Roman"/>
          <w:sz w:val="24"/>
          <w:szCs w:val="24"/>
        </w:rPr>
      </w:pPr>
    </w:p>
    <w:p w14:paraId="19534AA0" w14:textId="77777777" w:rsidR="00A30D43" w:rsidRDefault="00A30D43" w:rsidP="00A30D43">
      <w:pPr>
        <w:ind w:left="720"/>
        <w:rPr>
          <w:rFonts w:eastAsia="Times New Roman"/>
          <w:sz w:val="24"/>
          <w:szCs w:val="24"/>
        </w:rPr>
      </w:pPr>
      <w:r>
        <w:rPr>
          <w:rFonts w:eastAsia="Times New Roman"/>
          <w:sz w:val="24"/>
          <w:szCs w:val="24"/>
        </w:rPr>
        <w:t>Phenotypic selection analysis</w:t>
      </w:r>
    </w:p>
    <w:p w14:paraId="2B629080" w14:textId="77777777" w:rsidR="00A30D43" w:rsidRDefault="00A30D43" w:rsidP="00A30D43">
      <w:pPr>
        <w:ind w:left="720"/>
        <w:rPr>
          <w:rFonts w:eastAsia="Times New Roman"/>
          <w:sz w:val="24"/>
          <w:szCs w:val="24"/>
        </w:rPr>
      </w:pPr>
    </w:p>
    <w:p w14:paraId="7F4E5710" w14:textId="2E7FEBC7" w:rsidR="00A30D43" w:rsidRPr="001A4F4A" w:rsidRDefault="00A30D43" w:rsidP="00A30D43">
      <w:pPr>
        <w:ind w:left="720"/>
        <w:rPr>
          <w:rFonts w:eastAsia="Times New Roman"/>
          <w:sz w:val="24"/>
          <w:szCs w:val="24"/>
        </w:rPr>
      </w:pPr>
      <w:r w:rsidRPr="001A4F4A">
        <w:rPr>
          <w:rFonts w:eastAsia="Times New Roman"/>
          <w:sz w:val="24"/>
          <w:szCs w:val="24"/>
        </w:rPr>
        <w:t xml:space="preserve">On the basis of the unbiased control and selection line values obtained on the basis of 1000 replicates, we estimated the response to selection (R). In our selection experiment, the response to selection evaluates the change in trait mean obtained after one generation of selection. R was typically estimated by the difference of mean trait value between the </w:t>
      </w:r>
      <w:r w:rsidRPr="001A4F4A">
        <w:rPr>
          <w:rFonts w:eastAsia="Times New Roman"/>
          <w:sz w:val="24"/>
          <w:szCs w:val="24"/>
        </w:rPr>
        <w:lastRenderedPageBreak/>
        <w:t>selection line and control line in G1, which allows controlling for potential between-year environmental variation of the mean phenotype (</w:t>
      </w:r>
      <w:r w:rsidR="00FA5948">
        <w:rPr>
          <w:rFonts w:eastAsia="Times New Roman"/>
          <w:sz w:val="24"/>
          <w:szCs w:val="24"/>
        </w:rPr>
        <w:t>Walsh and Lynch 2018</w:t>
      </w:r>
      <w:r w:rsidRPr="001A4F4A">
        <w:rPr>
          <w:rFonts w:eastAsia="Times New Roman"/>
          <w:sz w:val="24"/>
          <w:szCs w:val="24"/>
        </w:rPr>
        <w:t xml:space="preserve">). We also estimated the different parameters of the breeder’s equation, R = </w:t>
      </w:r>
      <w:r w:rsidRPr="001A4F4A">
        <w:rPr>
          <w:rFonts w:eastAsia="Times New Roman"/>
          <w:i/>
          <w:sz w:val="24"/>
          <w:szCs w:val="24"/>
        </w:rPr>
        <w:t>h</w:t>
      </w:r>
      <w:r w:rsidRPr="001A4F4A">
        <w:rPr>
          <w:rFonts w:eastAsia="Times New Roman"/>
          <w:sz w:val="24"/>
          <w:szCs w:val="24"/>
        </w:rPr>
        <w:t xml:space="preserve">²S, where S is the selection differential and </w:t>
      </w:r>
      <w:r w:rsidRPr="001A4F4A">
        <w:rPr>
          <w:rFonts w:eastAsia="Times New Roman"/>
          <w:i/>
          <w:sz w:val="24"/>
          <w:szCs w:val="24"/>
        </w:rPr>
        <w:t>h</w:t>
      </w:r>
      <w:r w:rsidRPr="001A4F4A">
        <w:rPr>
          <w:rFonts w:eastAsia="Times New Roman"/>
          <w:sz w:val="24"/>
          <w:szCs w:val="24"/>
        </w:rPr>
        <w:t>² is the realized narrow-sense heritability (</w:t>
      </w:r>
      <w:r w:rsidR="00FA5948" w:rsidRPr="00FA5948">
        <w:rPr>
          <w:rFonts w:eastAsia="Times New Roman"/>
          <w:sz w:val="24"/>
          <w:szCs w:val="24"/>
        </w:rPr>
        <w:t>Lush</w:t>
      </w:r>
      <w:r w:rsidR="00FA5948">
        <w:rPr>
          <w:rFonts w:eastAsia="Times New Roman"/>
          <w:sz w:val="24"/>
          <w:szCs w:val="24"/>
        </w:rPr>
        <w:t xml:space="preserve"> 1937</w:t>
      </w:r>
      <w:r w:rsidRPr="001A4F4A">
        <w:rPr>
          <w:rFonts w:eastAsia="Times New Roman"/>
          <w:sz w:val="24"/>
          <w:szCs w:val="24"/>
        </w:rPr>
        <w:t>). The selection differential evaluates the selection pressure imposed on the base population by measuring the trait mean difference between the population and the selection line. The selection differential (S) was typically estimated by the difference of mean trait value between the selection and control line in G0 (</w:t>
      </w:r>
      <w:r w:rsidR="00FA5948">
        <w:rPr>
          <w:rFonts w:eastAsia="Times New Roman"/>
          <w:sz w:val="24"/>
          <w:szCs w:val="24"/>
        </w:rPr>
        <w:t>Walsh and Lynch 2018</w:t>
      </w:r>
      <w:r w:rsidRPr="001A4F4A">
        <w:rPr>
          <w:rFonts w:eastAsia="Times New Roman"/>
          <w:sz w:val="24"/>
          <w:szCs w:val="24"/>
        </w:rPr>
        <w:t xml:space="preserve">). We estimated </w:t>
      </w:r>
      <w:r w:rsidRPr="001A4F4A">
        <w:rPr>
          <w:rFonts w:eastAsia="Times New Roman"/>
          <w:i/>
          <w:sz w:val="24"/>
          <w:szCs w:val="24"/>
        </w:rPr>
        <w:t>h</w:t>
      </w:r>
      <w:r w:rsidRPr="001A4F4A">
        <w:rPr>
          <w:rFonts w:eastAsia="Times New Roman"/>
          <w:sz w:val="24"/>
          <w:szCs w:val="24"/>
        </w:rPr>
        <w:t>² for each trait on the basis of the available measurements of R and S. Caution must be taken when interpreting the heritability parameter calculated by the breeder’s equation in self-fertilizing plants because it might in fact estimate broad-sense heritability (H²).</w:t>
      </w:r>
    </w:p>
    <w:p w14:paraId="7B6EF579" w14:textId="77777777" w:rsidR="00A30D43" w:rsidRDefault="00A30D43" w:rsidP="00A30D43">
      <w:pPr>
        <w:ind w:left="720"/>
        <w:rPr>
          <w:rFonts w:eastAsia="Times New Roman"/>
          <w:sz w:val="24"/>
          <w:szCs w:val="24"/>
        </w:rPr>
      </w:pPr>
    </w:p>
    <w:p w14:paraId="6ACC1C1D" w14:textId="77777777" w:rsidR="00A30D43" w:rsidRDefault="00A30D43" w:rsidP="00A30D43">
      <w:pPr>
        <w:ind w:left="720"/>
        <w:rPr>
          <w:rFonts w:eastAsia="Times New Roman"/>
          <w:sz w:val="24"/>
          <w:szCs w:val="24"/>
        </w:rPr>
      </w:pPr>
      <w:r>
        <w:rPr>
          <w:rFonts w:eastAsia="Times New Roman"/>
          <w:sz w:val="24"/>
          <w:szCs w:val="24"/>
        </w:rPr>
        <w:t>Analysis of DNA methylation changes after selection</w:t>
      </w:r>
    </w:p>
    <w:p w14:paraId="335F79CD" w14:textId="77777777" w:rsidR="00A30D43" w:rsidRDefault="00A30D43" w:rsidP="00A30D43">
      <w:pPr>
        <w:ind w:left="720"/>
        <w:rPr>
          <w:rFonts w:eastAsia="Times New Roman"/>
          <w:sz w:val="24"/>
          <w:szCs w:val="24"/>
        </w:rPr>
      </w:pPr>
    </w:p>
    <w:p w14:paraId="70D06B49" w14:textId="36D55A64" w:rsidR="00A30D43" w:rsidRPr="001A4F4A" w:rsidRDefault="00A30D43" w:rsidP="00A30D43">
      <w:pPr>
        <w:ind w:left="720"/>
        <w:rPr>
          <w:rFonts w:eastAsia="Times New Roman"/>
          <w:sz w:val="24"/>
          <w:szCs w:val="24"/>
        </w:rPr>
      </w:pPr>
      <w:r w:rsidRPr="001A4F4A">
        <w:rPr>
          <w:rFonts w:eastAsia="Times New Roman"/>
          <w:sz w:val="24"/>
          <w:szCs w:val="24"/>
        </w:rPr>
        <w:t xml:space="preserve">We tested </w:t>
      </w:r>
      <w:r w:rsidRPr="00487773">
        <w:rPr>
          <w:rFonts w:eastAsia="Times New Roman"/>
          <w:i/>
          <w:sz w:val="24"/>
          <w:szCs w:val="24"/>
        </w:rPr>
        <w:t xml:space="preserve">in </w:t>
      </w:r>
      <w:proofErr w:type="spellStart"/>
      <w:r w:rsidRPr="00487773">
        <w:rPr>
          <w:rFonts w:eastAsia="Times New Roman"/>
          <w:i/>
          <w:sz w:val="24"/>
          <w:szCs w:val="24"/>
        </w:rPr>
        <w:t>silico</w:t>
      </w:r>
      <w:proofErr w:type="spellEnd"/>
      <w:r w:rsidRPr="001A4F4A">
        <w:rPr>
          <w:rFonts w:eastAsia="Times New Roman"/>
          <w:sz w:val="24"/>
          <w:szCs w:val="24"/>
        </w:rPr>
        <w:t xml:space="preserve"> for changes in DNA methylation frequencies in response to phenotypic selection conducted </w:t>
      </w:r>
      <w:r w:rsidRPr="00487773">
        <w:rPr>
          <w:rFonts w:eastAsia="Times New Roman"/>
          <w:i/>
          <w:sz w:val="24"/>
          <w:szCs w:val="24"/>
        </w:rPr>
        <w:t>in vivo</w:t>
      </w:r>
      <w:r w:rsidRPr="001A4F4A">
        <w:rPr>
          <w:rFonts w:eastAsia="Times New Roman"/>
          <w:sz w:val="24"/>
          <w:szCs w:val="24"/>
        </w:rPr>
        <w:t>. We constructed heat maps to visualize the changes in mean epi-allelic frequencies after selection for all the DMRs in both experimental populations by using the package ggplot2 (</w:t>
      </w:r>
      <w:r w:rsidR="00FA5948" w:rsidRPr="00FA5948">
        <w:rPr>
          <w:rFonts w:eastAsia="Times New Roman"/>
          <w:sz w:val="24"/>
          <w:szCs w:val="24"/>
        </w:rPr>
        <w:t>Wickham</w:t>
      </w:r>
      <w:r w:rsidR="009120DB">
        <w:rPr>
          <w:rFonts w:eastAsia="Times New Roman"/>
          <w:sz w:val="24"/>
          <w:szCs w:val="24"/>
        </w:rPr>
        <w:t xml:space="preserve"> 2016</w:t>
      </w:r>
      <w:r w:rsidRPr="001A4F4A">
        <w:rPr>
          <w:rFonts w:eastAsia="Times New Roman"/>
          <w:sz w:val="24"/>
          <w:szCs w:val="24"/>
        </w:rPr>
        <w:t xml:space="preserve">). To this aim, we estimated in G1 the mean epi-allelic frequencies at each of the 126 DMRs, for each selection and control line, and at each selection intensity and trait, on the basis of the 1000 resampled data sets. Epi-alleles were defined as “0” when originating from the </w:t>
      </w:r>
      <w:r w:rsidRPr="00487773">
        <w:rPr>
          <w:rFonts w:eastAsia="Times New Roman"/>
          <w:i/>
          <w:sz w:val="24"/>
          <w:szCs w:val="24"/>
        </w:rPr>
        <w:t>DDM1</w:t>
      </w:r>
      <w:r w:rsidRPr="001A4F4A">
        <w:rPr>
          <w:rFonts w:eastAsia="Times New Roman"/>
          <w:sz w:val="24"/>
          <w:szCs w:val="24"/>
        </w:rPr>
        <w:t xml:space="preserve"> wild type Col-</w:t>
      </w:r>
      <w:proofErr w:type="spellStart"/>
      <w:r w:rsidRPr="001A4F4A">
        <w:rPr>
          <w:rFonts w:eastAsia="Times New Roman"/>
          <w:sz w:val="24"/>
          <w:szCs w:val="24"/>
        </w:rPr>
        <w:t>wt</w:t>
      </w:r>
      <w:proofErr w:type="spellEnd"/>
      <w:r w:rsidRPr="001A4F4A">
        <w:rPr>
          <w:rFonts w:eastAsia="Times New Roman"/>
          <w:sz w:val="24"/>
          <w:szCs w:val="24"/>
        </w:rPr>
        <w:t xml:space="preserve"> and “1” when originating from the </w:t>
      </w:r>
      <w:r w:rsidRPr="00487773">
        <w:rPr>
          <w:rFonts w:eastAsia="Times New Roman"/>
          <w:i/>
          <w:sz w:val="24"/>
          <w:szCs w:val="24"/>
        </w:rPr>
        <w:t>ddm1-2</w:t>
      </w:r>
      <w:r w:rsidRPr="001A4F4A">
        <w:rPr>
          <w:rFonts w:eastAsia="Times New Roman"/>
          <w:sz w:val="24"/>
          <w:szCs w:val="24"/>
        </w:rPr>
        <w:t xml:space="preserve"> mutant col-ddm1. As a result, the more ddm1-2 mutant epi-alleles are present in a given line, the higher the frequency of DNA methylation.</w:t>
      </w:r>
    </w:p>
    <w:p w14:paraId="06B0CA1B" w14:textId="77777777" w:rsidR="00A30D43" w:rsidRDefault="00A30D43" w:rsidP="00A30D43">
      <w:pPr>
        <w:ind w:left="720"/>
        <w:rPr>
          <w:rFonts w:eastAsia="Times New Roman"/>
          <w:sz w:val="24"/>
          <w:szCs w:val="24"/>
        </w:rPr>
      </w:pPr>
    </w:p>
    <w:p w14:paraId="47462794" w14:textId="258B083D" w:rsidR="00A30D43" w:rsidRDefault="00A30D43" w:rsidP="00A30D43">
      <w:pPr>
        <w:ind w:left="720"/>
        <w:rPr>
          <w:rFonts w:eastAsia="Times New Roman"/>
          <w:sz w:val="24"/>
          <w:szCs w:val="24"/>
        </w:rPr>
      </w:pPr>
      <w:r w:rsidRPr="0002194A">
        <w:rPr>
          <w:rFonts w:eastAsia="Times New Roman"/>
          <w:sz w:val="24"/>
          <w:szCs w:val="24"/>
        </w:rPr>
        <w:t xml:space="preserve">We condensed the epi-allelic variation of each experimental population into a reduced number of linearly independent dimensions by using a Principal Component Analysis. PCA was done using the function </w:t>
      </w:r>
      <w:proofErr w:type="spellStart"/>
      <w:r w:rsidRPr="0002194A">
        <w:rPr>
          <w:rFonts w:eastAsia="Times New Roman"/>
          <w:sz w:val="24"/>
          <w:szCs w:val="24"/>
        </w:rPr>
        <w:t>dudi.pca</w:t>
      </w:r>
      <w:proofErr w:type="spellEnd"/>
      <w:r w:rsidRPr="0002194A">
        <w:rPr>
          <w:rFonts w:eastAsia="Times New Roman"/>
          <w:sz w:val="24"/>
          <w:szCs w:val="24"/>
        </w:rPr>
        <w:t xml:space="preserve"> of the ade4 package (</w:t>
      </w:r>
      <w:r w:rsidR="009120DB" w:rsidRPr="009120DB">
        <w:rPr>
          <w:rFonts w:eastAsia="Times New Roman"/>
          <w:sz w:val="24"/>
          <w:szCs w:val="24"/>
        </w:rPr>
        <w:t>Dray</w:t>
      </w:r>
      <w:r w:rsidR="009120DB">
        <w:rPr>
          <w:rFonts w:eastAsia="Times New Roman"/>
          <w:sz w:val="24"/>
          <w:szCs w:val="24"/>
        </w:rPr>
        <w:t xml:space="preserve"> and</w:t>
      </w:r>
      <w:r w:rsidR="009120DB" w:rsidRPr="009120DB">
        <w:rPr>
          <w:rFonts w:eastAsia="Times New Roman"/>
          <w:sz w:val="24"/>
          <w:szCs w:val="24"/>
        </w:rPr>
        <w:t xml:space="preserve"> </w:t>
      </w:r>
      <w:proofErr w:type="spellStart"/>
      <w:r w:rsidR="009120DB" w:rsidRPr="009120DB">
        <w:rPr>
          <w:rFonts w:eastAsia="Times New Roman"/>
          <w:sz w:val="24"/>
          <w:szCs w:val="24"/>
        </w:rPr>
        <w:t>Dufour</w:t>
      </w:r>
      <w:proofErr w:type="spellEnd"/>
      <w:r w:rsidR="009120DB">
        <w:rPr>
          <w:rFonts w:eastAsia="Times New Roman"/>
          <w:sz w:val="24"/>
          <w:szCs w:val="24"/>
        </w:rPr>
        <w:t xml:space="preserve"> 2007</w:t>
      </w:r>
      <w:r w:rsidRPr="0002194A">
        <w:rPr>
          <w:rFonts w:eastAsia="Times New Roman"/>
          <w:sz w:val="24"/>
          <w:szCs w:val="24"/>
        </w:rPr>
        <w:t>). It summarized more than 90 % of epi-allelic variation in 16 dimensions for population 1 and in 17 dimensions for population 2. As a result, every plant had a coordinate on each of those PCA dimensions. We estimated the average coordinate and its 95% CI based on the 1000 resampled datasets, for each PCA dimension, selection or control line, selection intensity, and trait. We tested for significant differences in DNA methylation associated with selection by comparing the 95% CIs of high and low lines in G1. We used the lack of overlap between the 95% confidence intervals to test for a significant difference between high and low selection lines. As mentioned above, this is a conservative approach providing information on the statistical effects (range, direction, strength and reliability) that is not provided by p values (</w:t>
      </w:r>
      <w:r w:rsidR="009120DB">
        <w:rPr>
          <w:rFonts w:eastAsia="Times New Roman"/>
          <w:sz w:val="24"/>
          <w:szCs w:val="24"/>
        </w:rPr>
        <w:t>Ho et al. 2019</w:t>
      </w:r>
      <w:r w:rsidRPr="0002194A">
        <w:rPr>
          <w:rFonts w:eastAsia="Times New Roman"/>
          <w:sz w:val="24"/>
          <w:szCs w:val="24"/>
        </w:rPr>
        <w:t>).</w:t>
      </w:r>
    </w:p>
    <w:p w14:paraId="69693453" w14:textId="77777777" w:rsidR="00A30D43" w:rsidRDefault="00A30D43" w:rsidP="00A30D43">
      <w:pPr>
        <w:ind w:left="720"/>
        <w:rPr>
          <w:rFonts w:eastAsia="Times New Roman"/>
          <w:sz w:val="24"/>
          <w:szCs w:val="24"/>
        </w:rPr>
      </w:pPr>
    </w:p>
    <w:p w14:paraId="04095303" w14:textId="77777777" w:rsidR="00A30D43" w:rsidRDefault="00A30D43" w:rsidP="00A30D43">
      <w:pPr>
        <w:ind w:left="720"/>
        <w:rPr>
          <w:rFonts w:eastAsia="Times New Roman"/>
          <w:sz w:val="24"/>
          <w:szCs w:val="24"/>
        </w:rPr>
      </w:pPr>
      <w:r>
        <w:rPr>
          <w:rFonts w:eastAsia="Times New Roman"/>
          <w:sz w:val="24"/>
          <w:szCs w:val="24"/>
        </w:rPr>
        <w:t xml:space="preserve">Analysis of molecular </w:t>
      </w:r>
      <w:proofErr w:type="spellStart"/>
      <w:r>
        <w:rPr>
          <w:rFonts w:eastAsia="Times New Roman"/>
          <w:sz w:val="24"/>
          <w:szCs w:val="24"/>
        </w:rPr>
        <w:t>epigenomic</w:t>
      </w:r>
      <w:proofErr w:type="spellEnd"/>
      <w:r>
        <w:rPr>
          <w:rFonts w:eastAsia="Times New Roman"/>
          <w:sz w:val="24"/>
          <w:szCs w:val="24"/>
        </w:rPr>
        <w:t xml:space="preserve"> integrity</w:t>
      </w:r>
    </w:p>
    <w:p w14:paraId="74C23B0E" w14:textId="77777777" w:rsidR="00A30D43" w:rsidRDefault="00A30D43" w:rsidP="00A30D43">
      <w:pPr>
        <w:ind w:left="720"/>
        <w:rPr>
          <w:rFonts w:eastAsia="Times New Roman"/>
          <w:sz w:val="24"/>
          <w:szCs w:val="24"/>
        </w:rPr>
      </w:pPr>
    </w:p>
    <w:p w14:paraId="5A60854A" w14:textId="4C7DE017" w:rsidR="00A30D43" w:rsidRPr="0002194A" w:rsidRDefault="00A30D43" w:rsidP="00A30D43">
      <w:pPr>
        <w:ind w:left="720"/>
        <w:rPr>
          <w:rFonts w:eastAsia="Times New Roman"/>
          <w:sz w:val="24"/>
          <w:szCs w:val="24"/>
        </w:rPr>
      </w:pPr>
      <w:r w:rsidRPr="0002194A">
        <w:rPr>
          <w:rFonts w:eastAsia="Times New Roman"/>
          <w:sz w:val="24"/>
          <w:szCs w:val="24"/>
        </w:rPr>
        <w:t xml:space="preserve">Molecular </w:t>
      </w:r>
      <w:proofErr w:type="spellStart"/>
      <w:r w:rsidRPr="0002194A">
        <w:rPr>
          <w:rFonts w:eastAsia="Times New Roman"/>
          <w:sz w:val="24"/>
          <w:szCs w:val="24"/>
        </w:rPr>
        <w:t>epigenomic</w:t>
      </w:r>
      <w:proofErr w:type="spellEnd"/>
      <w:r w:rsidRPr="0002194A">
        <w:rPr>
          <w:rFonts w:eastAsia="Times New Roman"/>
          <w:sz w:val="24"/>
          <w:szCs w:val="24"/>
        </w:rPr>
        <w:t xml:space="preserve"> sequence data covering the whole genome were used to confirm the integrity of the DMRs in the </w:t>
      </w:r>
      <w:proofErr w:type="spellStart"/>
      <w:r w:rsidRPr="0002194A">
        <w:rPr>
          <w:rFonts w:eastAsia="Times New Roman"/>
          <w:sz w:val="24"/>
          <w:szCs w:val="24"/>
        </w:rPr>
        <w:t>epiRILs</w:t>
      </w:r>
      <w:proofErr w:type="spellEnd"/>
      <w:r w:rsidRPr="0002194A">
        <w:rPr>
          <w:rFonts w:eastAsia="Times New Roman"/>
          <w:sz w:val="24"/>
          <w:szCs w:val="24"/>
        </w:rPr>
        <w:t xml:space="preserve"> that were used in the plant selection experiment. Tissue sampling of 24 </w:t>
      </w:r>
      <w:proofErr w:type="spellStart"/>
      <w:r w:rsidRPr="0002194A">
        <w:rPr>
          <w:rFonts w:eastAsia="Times New Roman"/>
          <w:sz w:val="24"/>
          <w:szCs w:val="24"/>
        </w:rPr>
        <w:t>epiRILs</w:t>
      </w:r>
      <w:proofErr w:type="spellEnd"/>
      <w:r w:rsidRPr="0002194A">
        <w:rPr>
          <w:rFonts w:eastAsia="Times New Roman"/>
          <w:sz w:val="24"/>
          <w:szCs w:val="24"/>
        </w:rPr>
        <w:t xml:space="preserve"> (12 per population) and Col-</w:t>
      </w:r>
      <w:proofErr w:type="spellStart"/>
      <w:r w:rsidRPr="0002194A">
        <w:rPr>
          <w:rFonts w:eastAsia="Times New Roman"/>
          <w:sz w:val="24"/>
          <w:szCs w:val="24"/>
        </w:rPr>
        <w:t>wt</w:t>
      </w:r>
      <w:proofErr w:type="spellEnd"/>
      <w:r w:rsidRPr="0002194A">
        <w:rPr>
          <w:rFonts w:eastAsia="Times New Roman"/>
          <w:sz w:val="24"/>
          <w:szCs w:val="24"/>
        </w:rPr>
        <w:t xml:space="preserve"> was done 24 days after germination. Two rosette leaves were sampled and put into a 2-ml tube that was directly dropped into liquid nitrogen for instant freezing to ensure DNA conservation. Samples were kept at – 80°C. DNA extraction was performed using </w:t>
      </w:r>
      <w:proofErr w:type="spellStart"/>
      <w:r w:rsidRPr="0002194A">
        <w:rPr>
          <w:rFonts w:eastAsia="Times New Roman"/>
          <w:sz w:val="24"/>
          <w:szCs w:val="24"/>
        </w:rPr>
        <w:t>DNeasy</w:t>
      </w:r>
      <w:proofErr w:type="spellEnd"/>
      <w:r w:rsidRPr="0002194A">
        <w:rPr>
          <w:rFonts w:eastAsia="Times New Roman"/>
          <w:sz w:val="24"/>
          <w:szCs w:val="24"/>
        </w:rPr>
        <w:t xml:space="preserve"> kit (</w:t>
      </w:r>
      <w:proofErr w:type="spellStart"/>
      <w:r w:rsidRPr="0002194A">
        <w:rPr>
          <w:rFonts w:eastAsia="Times New Roman"/>
          <w:sz w:val="24"/>
          <w:szCs w:val="24"/>
        </w:rPr>
        <w:t>Qiagen</w:t>
      </w:r>
      <w:proofErr w:type="spellEnd"/>
      <w:r w:rsidRPr="0002194A">
        <w:rPr>
          <w:rFonts w:eastAsia="Times New Roman"/>
          <w:sz w:val="24"/>
          <w:szCs w:val="24"/>
        </w:rPr>
        <w:t xml:space="preserve">, Germany) following the manufacturer’s protocol. Three replicates per </w:t>
      </w:r>
      <w:proofErr w:type="spellStart"/>
      <w:r w:rsidRPr="0002194A">
        <w:rPr>
          <w:rFonts w:eastAsia="Times New Roman"/>
          <w:sz w:val="24"/>
          <w:szCs w:val="24"/>
        </w:rPr>
        <w:t>EpiRIL</w:t>
      </w:r>
      <w:proofErr w:type="spellEnd"/>
      <w:r w:rsidRPr="0002194A">
        <w:rPr>
          <w:rFonts w:eastAsia="Times New Roman"/>
          <w:sz w:val="24"/>
          <w:szCs w:val="24"/>
        </w:rPr>
        <w:t xml:space="preserve"> were extracted separately and DNA content was quantified by using a Qubit </w:t>
      </w:r>
      <w:proofErr w:type="spellStart"/>
      <w:r w:rsidRPr="0002194A">
        <w:rPr>
          <w:rFonts w:eastAsia="Times New Roman"/>
          <w:sz w:val="24"/>
          <w:szCs w:val="24"/>
        </w:rPr>
        <w:t>fluorometer</w:t>
      </w:r>
      <w:proofErr w:type="spellEnd"/>
      <w:r w:rsidRPr="0002194A">
        <w:rPr>
          <w:rFonts w:eastAsia="Times New Roman"/>
          <w:sz w:val="24"/>
          <w:szCs w:val="24"/>
        </w:rPr>
        <w:t xml:space="preserve"> with the dsDNA HS Assay Kit (Invitrogen, USA). Quality was controlled using a </w:t>
      </w:r>
      <w:proofErr w:type="spellStart"/>
      <w:r w:rsidRPr="0002194A">
        <w:rPr>
          <w:rFonts w:eastAsia="Times New Roman"/>
          <w:sz w:val="24"/>
          <w:szCs w:val="24"/>
        </w:rPr>
        <w:t>NanoDrop</w:t>
      </w:r>
      <w:proofErr w:type="spellEnd"/>
      <w:r w:rsidRPr="0002194A">
        <w:rPr>
          <w:rFonts w:eastAsia="Times New Roman"/>
          <w:sz w:val="24"/>
          <w:szCs w:val="24"/>
        </w:rPr>
        <w:t xml:space="preserve"> spectrophotometer (</w:t>
      </w:r>
      <w:proofErr w:type="spellStart"/>
      <w:r w:rsidRPr="0002194A">
        <w:rPr>
          <w:rFonts w:eastAsia="Times New Roman"/>
          <w:sz w:val="24"/>
          <w:szCs w:val="24"/>
        </w:rPr>
        <w:t>Thermo</w:t>
      </w:r>
      <w:proofErr w:type="spellEnd"/>
      <w:r w:rsidRPr="0002194A">
        <w:rPr>
          <w:rFonts w:eastAsia="Times New Roman"/>
          <w:sz w:val="24"/>
          <w:szCs w:val="24"/>
        </w:rPr>
        <w:t xml:space="preserve"> Fisher Scientific, USA). The three DNA replicates were then </w:t>
      </w:r>
      <w:r w:rsidRPr="0002194A">
        <w:rPr>
          <w:rFonts w:eastAsia="Times New Roman"/>
          <w:sz w:val="24"/>
          <w:szCs w:val="24"/>
        </w:rPr>
        <w:lastRenderedPageBreak/>
        <w:t xml:space="preserve">pooled together and a control of the possible degradation of the DNA was performed by using </w:t>
      </w:r>
      <w:proofErr w:type="spellStart"/>
      <w:r w:rsidRPr="0002194A">
        <w:rPr>
          <w:rFonts w:eastAsia="Times New Roman"/>
          <w:sz w:val="24"/>
          <w:szCs w:val="24"/>
        </w:rPr>
        <w:t>TapeStation</w:t>
      </w:r>
      <w:proofErr w:type="spellEnd"/>
      <w:r w:rsidRPr="0002194A">
        <w:rPr>
          <w:rFonts w:eastAsia="Times New Roman"/>
          <w:sz w:val="24"/>
          <w:szCs w:val="24"/>
        </w:rPr>
        <w:t xml:space="preserve"> automated electrophoresis (Agilent, USA). Enzymatic Methyl-sequencing (EM-</w:t>
      </w:r>
      <w:proofErr w:type="spellStart"/>
      <w:r w:rsidRPr="0002194A">
        <w:rPr>
          <w:rFonts w:eastAsia="Times New Roman"/>
          <w:sz w:val="24"/>
          <w:szCs w:val="24"/>
        </w:rPr>
        <w:t>seq</w:t>
      </w:r>
      <w:proofErr w:type="spellEnd"/>
      <w:r w:rsidRPr="0002194A">
        <w:rPr>
          <w:rFonts w:eastAsia="Times New Roman"/>
          <w:sz w:val="24"/>
          <w:szCs w:val="24"/>
        </w:rPr>
        <w:t xml:space="preserve">) was then conducted on these DNA samples by the </w:t>
      </w:r>
      <w:proofErr w:type="spellStart"/>
      <w:r w:rsidRPr="0002194A">
        <w:rPr>
          <w:rFonts w:eastAsia="Times New Roman"/>
          <w:sz w:val="24"/>
          <w:szCs w:val="24"/>
        </w:rPr>
        <w:t>IGen</w:t>
      </w:r>
      <w:proofErr w:type="spellEnd"/>
      <w:r w:rsidRPr="0002194A">
        <w:rPr>
          <w:rFonts w:eastAsia="Times New Roman"/>
          <w:sz w:val="24"/>
          <w:szCs w:val="24"/>
        </w:rPr>
        <w:t xml:space="preserve"> </w:t>
      </w:r>
      <w:proofErr w:type="spellStart"/>
      <w:r w:rsidRPr="0002194A">
        <w:rPr>
          <w:rFonts w:eastAsia="Times New Roman"/>
          <w:sz w:val="24"/>
          <w:szCs w:val="24"/>
        </w:rPr>
        <w:t>Seq</w:t>
      </w:r>
      <w:proofErr w:type="spellEnd"/>
      <w:r w:rsidRPr="0002194A">
        <w:rPr>
          <w:rFonts w:eastAsia="Times New Roman"/>
          <w:sz w:val="24"/>
          <w:szCs w:val="24"/>
        </w:rPr>
        <w:t xml:space="preserve"> platform (ICM, Paris, France). EM-</w:t>
      </w:r>
      <w:proofErr w:type="spellStart"/>
      <w:r w:rsidRPr="0002194A">
        <w:rPr>
          <w:rFonts w:eastAsia="Times New Roman"/>
          <w:sz w:val="24"/>
          <w:szCs w:val="24"/>
        </w:rPr>
        <w:t>seq</w:t>
      </w:r>
      <w:proofErr w:type="spellEnd"/>
      <w:r w:rsidRPr="0002194A">
        <w:rPr>
          <w:rFonts w:eastAsia="Times New Roman"/>
          <w:sz w:val="24"/>
          <w:szCs w:val="24"/>
        </w:rPr>
        <w:t xml:space="preserve"> library was prepared with the </w:t>
      </w:r>
      <w:proofErr w:type="spellStart"/>
      <w:r w:rsidRPr="0002194A">
        <w:rPr>
          <w:rFonts w:eastAsia="Times New Roman"/>
          <w:sz w:val="24"/>
          <w:szCs w:val="24"/>
        </w:rPr>
        <w:t>NEBNext</w:t>
      </w:r>
      <w:proofErr w:type="spellEnd"/>
      <w:r w:rsidRPr="0002194A">
        <w:rPr>
          <w:rFonts w:eastAsia="Times New Roman"/>
          <w:sz w:val="24"/>
          <w:szCs w:val="24"/>
        </w:rPr>
        <w:t>® Enzymatic Methyl-</w:t>
      </w:r>
      <w:proofErr w:type="spellStart"/>
      <w:r w:rsidRPr="0002194A">
        <w:rPr>
          <w:rFonts w:eastAsia="Times New Roman"/>
          <w:sz w:val="24"/>
          <w:szCs w:val="24"/>
        </w:rPr>
        <w:t>seq</w:t>
      </w:r>
      <w:proofErr w:type="spellEnd"/>
      <w:r w:rsidRPr="0002194A">
        <w:rPr>
          <w:rFonts w:eastAsia="Times New Roman"/>
          <w:sz w:val="24"/>
          <w:szCs w:val="24"/>
        </w:rPr>
        <w:t xml:space="preserve"> (EM-</w:t>
      </w:r>
      <w:proofErr w:type="spellStart"/>
      <w:r w:rsidRPr="0002194A">
        <w:rPr>
          <w:rFonts w:eastAsia="Times New Roman"/>
          <w:sz w:val="24"/>
          <w:szCs w:val="24"/>
        </w:rPr>
        <w:t>seq</w:t>
      </w:r>
      <w:proofErr w:type="spellEnd"/>
      <w:r w:rsidRPr="0002194A">
        <w:rPr>
          <w:rFonts w:eastAsia="Times New Roman"/>
          <w:sz w:val="24"/>
          <w:szCs w:val="24"/>
        </w:rPr>
        <w:t xml:space="preserve">™) (New England </w:t>
      </w:r>
      <w:proofErr w:type="spellStart"/>
      <w:r w:rsidRPr="0002194A">
        <w:rPr>
          <w:rFonts w:eastAsia="Times New Roman"/>
          <w:sz w:val="24"/>
          <w:szCs w:val="24"/>
        </w:rPr>
        <w:t>Biolabs</w:t>
      </w:r>
      <w:proofErr w:type="spellEnd"/>
      <w:r w:rsidRPr="0002194A">
        <w:rPr>
          <w:rFonts w:eastAsia="Times New Roman"/>
          <w:sz w:val="24"/>
          <w:szCs w:val="24"/>
        </w:rPr>
        <w:t>, USA) following the manufacturer’s protocol. This method is known to provide accuracy and reliability at least equivalent to that achieved by Whole Genome Bisulfite Sequencing (WGBS) with similar global methylation levels indicating high resemblance in the overall detection of methylated Cs (</w:t>
      </w:r>
      <w:r w:rsidR="009120DB">
        <w:rPr>
          <w:rFonts w:eastAsia="Times New Roman"/>
          <w:sz w:val="24"/>
          <w:szCs w:val="24"/>
        </w:rPr>
        <w:t>Feng et al. 2020</w:t>
      </w:r>
      <w:r w:rsidRPr="0002194A">
        <w:rPr>
          <w:rFonts w:eastAsia="Times New Roman"/>
          <w:sz w:val="24"/>
          <w:szCs w:val="24"/>
        </w:rPr>
        <w:t xml:space="preserve">, </w:t>
      </w:r>
      <w:r w:rsidR="009120DB">
        <w:rPr>
          <w:rFonts w:eastAsia="Times New Roman"/>
          <w:sz w:val="24"/>
          <w:szCs w:val="24"/>
        </w:rPr>
        <w:t>Hoppers et al. 2020</w:t>
      </w:r>
      <w:r w:rsidRPr="0002194A">
        <w:rPr>
          <w:rFonts w:eastAsia="Times New Roman"/>
          <w:sz w:val="24"/>
          <w:szCs w:val="24"/>
        </w:rPr>
        <w:t>). Only the bisulfite conversion step differs between these two approaches; it is an enzymatic reaction in the EM-</w:t>
      </w:r>
      <w:proofErr w:type="spellStart"/>
      <w:r w:rsidRPr="0002194A">
        <w:rPr>
          <w:rFonts w:eastAsia="Times New Roman"/>
          <w:sz w:val="24"/>
          <w:szCs w:val="24"/>
        </w:rPr>
        <w:t>seq</w:t>
      </w:r>
      <w:proofErr w:type="spellEnd"/>
      <w:r w:rsidRPr="0002194A">
        <w:rPr>
          <w:rFonts w:eastAsia="Times New Roman"/>
          <w:sz w:val="24"/>
          <w:szCs w:val="24"/>
        </w:rPr>
        <w:t xml:space="preserve"> approach while it is a sodium bisulfite chemical treatment in the WGBS approach. The first EM-</w:t>
      </w:r>
      <w:proofErr w:type="spellStart"/>
      <w:r w:rsidRPr="0002194A">
        <w:rPr>
          <w:rFonts w:eastAsia="Times New Roman"/>
          <w:sz w:val="24"/>
          <w:szCs w:val="24"/>
        </w:rPr>
        <w:t>seq</w:t>
      </w:r>
      <w:proofErr w:type="spellEnd"/>
      <w:r w:rsidRPr="0002194A">
        <w:rPr>
          <w:rFonts w:eastAsia="Times New Roman"/>
          <w:sz w:val="24"/>
          <w:szCs w:val="24"/>
        </w:rPr>
        <w:t xml:space="preserve"> conversion step uses TET2 and an Oxidation Enhancer to protect modified </w:t>
      </w:r>
      <w:proofErr w:type="spellStart"/>
      <w:r w:rsidRPr="0002194A">
        <w:rPr>
          <w:rFonts w:eastAsia="Times New Roman"/>
          <w:sz w:val="24"/>
          <w:szCs w:val="24"/>
        </w:rPr>
        <w:t>cytosines</w:t>
      </w:r>
      <w:proofErr w:type="spellEnd"/>
      <w:r w:rsidRPr="0002194A">
        <w:rPr>
          <w:rFonts w:eastAsia="Times New Roman"/>
          <w:sz w:val="24"/>
          <w:szCs w:val="24"/>
        </w:rPr>
        <w:t xml:space="preserve"> from downstream deamination. TET2 enzymatically oxidizes 5mC through a cascade reaction into 5-carboxycytosine, protecting 5mC from deamination. The second enzymatic step uses APOBEC, which </w:t>
      </w:r>
      <w:proofErr w:type="spellStart"/>
      <w:r w:rsidRPr="0002194A">
        <w:rPr>
          <w:rFonts w:eastAsia="Times New Roman"/>
          <w:sz w:val="24"/>
          <w:szCs w:val="24"/>
        </w:rPr>
        <w:t>deaminates</w:t>
      </w:r>
      <w:proofErr w:type="spellEnd"/>
      <w:r w:rsidRPr="0002194A">
        <w:rPr>
          <w:rFonts w:eastAsia="Times New Roman"/>
          <w:sz w:val="24"/>
          <w:szCs w:val="24"/>
        </w:rPr>
        <w:t xml:space="preserve"> </w:t>
      </w:r>
      <w:proofErr w:type="spellStart"/>
      <w:r w:rsidRPr="0002194A">
        <w:rPr>
          <w:rFonts w:eastAsia="Times New Roman"/>
          <w:sz w:val="24"/>
          <w:szCs w:val="24"/>
        </w:rPr>
        <w:t>cytosines</w:t>
      </w:r>
      <w:proofErr w:type="spellEnd"/>
      <w:r w:rsidRPr="0002194A">
        <w:rPr>
          <w:rFonts w:eastAsia="Times New Roman"/>
          <w:sz w:val="24"/>
          <w:szCs w:val="24"/>
        </w:rPr>
        <w:t xml:space="preserve"> but does not affect 5caC. As a result, converted sequences are similar in the data generated by these two approaches and can be analyzed in the same way. Sequencing was done on an Illumina </w:t>
      </w:r>
      <w:proofErr w:type="spellStart"/>
      <w:r w:rsidRPr="0002194A">
        <w:rPr>
          <w:rFonts w:eastAsia="Times New Roman"/>
          <w:sz w:val="24"/>
          <w:szCs w:val="24"/>
        </w:rPr>
        <w:t>Novaseq</w:t>
      </w:r>
      <w:proofErr w:type="spellEnd"/>
      <w:r w:rsidRPr="0002194A">
        <w:rPr>
          <w:rFonts w:eastAsia="Times New Roman"/>
          <w:sz w:val="24"/>
          <w:szCs w:val="24"/>
        </w:rPr>
        <w:t xml:space="preserve"> 6000 sequencer (Illumina </w:t>
      </w:r>
      <w:proofErr w:type="spellStart"/>
      <w:r w:rsidRPr="0002194A">
        <w:rPr>
          <w:rFonts w:eastAsia="Times New Roman"/>
          <w:sz w:val="24"/>
          <w:szCs w:val="24"/>
        </w:rPr>
        <w:t>Inc</w:t>
      </w:r>
      <w:proofErr w:type="spellEnd"/>
      <w:r w:rsidRPr="0002194A">
        <w:rPr>
          <w:rFonts w:eastAsia="Times New Roman"/>
          <w:sz w:val="24"/>
          <w:szCs w:val="24"/>
        </w:rPr>
        <w:t>, USA) with a flow cell S1 (300 cycles of 1600 million of reads (2*53 million reads of 150 base pairs per sample).</w:t>
      </w:r>
    </w:p>
    <w:p w14:paraId="43E655CD" w14:textId="77777777" w:rsidR="00A30D43" w:rsidRDefault="00A30D43" w:rsidP="00A30D43">
      <w:pPr>
        <w:ind w:left="720"/>
        <w:rPr>
          <w:rFonts w:eastAsia="Times New Roman"/>
          <w:sz w:val="24"/>
          <w:szCs w:val="24"/>
        </w:rPr>
      </w:pPr>
    </w:p>
    <w:p w14:paraId="76768537" w14:textId="5B17B3ED" w:rsidR="00A30D43" w:rsidRPr="0002194A" w:rsidRDefault="00A30D43" w:rsidP="00A30D43">
      <w:pPr>
        <w:ind w:left="720"/>
        <w:rPr>
          <w:rFonts w:eastAsia="Times New Roman"/>
          <w:sz w:val="24"/>
          <w:szCs w:val="24"/>
        </w:rPr>
      </w:pPr>
      <w:r w:rsidRPr="0002194A">
        <w:rPr>
          <w:rFonts w:eastAsia="Times New Roman"/>
          <w:sz w:val="24"/>
          <w:szCs w:val="24"/>
        </w:rPr>
        <w:t xml:space="preserve">We verified the quality of the sequence reads by using the </w:t>
      </w:r>
      <w:proofErr w:type="spellStart"/>
      <w:r w:rsidRPr="0002194A">
        <w:rPr>
          <w:rFonts w:eastAsia="Times New Roman"/>
          <w:sz w:val="24"/>
          <w:szCs w:val="24"/>
        </w:rPr>
        <w:t>FastQC</w:t>
      </w:r>
      <w:proofErr w:type="spellEnd"/>
      <w:r w:rsidRPr="0002194A">
        <w:rPr>
          <w:rFonts w:eastAsia="Times New Roman"/>
          <w:sz w:val="24"/>
          <w:szCs w:val="24"/>
        </w:rPr>
        <w:t xml:space="preserve"> software Version 0.11.9 (https://www.bioinformatics.babraham.ac.uk/projects/fastqc/). We then trimmed 10 </w:t>
      </w:r>
      <w:proofErr w:type="spellStart"/>
      <w:r w:rsidRPr="0002194A">
        <w:rPr>
          <w:rFonts w:eastAsia="Times New Roman"/>
          <w:sz w:val="24"/>
          <w:szCs w:val="24"/>
        </w:rPr>
        <w:t>bp</w:t>
      </w:r>
      <w:proofErr w:type="spellEnd"/>
      <w:r w:rsidRPr="0002194A">
        <w:rPr>
          <w:rFonts w:eastAsia="Times New Roman"/>
          <w:sz w:val="24"/>
          <w:szCs w:val="24"/>
        </w:rPr>
        <w:t xml:space="preserve"> from each end of the paired-end reads and removed adapter sequences using Tri</w:t>
      </w:r>
      <w:r>
        <w:rPr>
          <w:rFonts w:eastAsia="Times New Roman"/>
          <w:sz w:val="24"/>
          <w:szCs w:val="24"/>
        </w:rPr>
        <w:t xml:space="preserve">m Galore </w:t>
      </w:r>
      <w:proofErr w:type="gramStart"/>
      <w:r>
        <w:rPr>
          <w:rFonts w:eastAsia="Times New Roman"/>
          <w:sz w:val="24"/>
          <w:szCs w:val="24"/>
        </w:rPr>
        <w:t>software</w:t>
      </w:r>
      <w:proofErr w:type="gramEnd"/>
      <w:r>
        <w:rPr>
          <w:rFonts w:eastAsia="Times New Roman"/>
          <w:sz w:val="24"/>
          <w:szCs w:val="24"/>
        </w:rPr>
        <w:t xml:space="preserve"> Version 0.6.5 </w:t>
      </w:r>
      <w:r w:rsidRPr="0002194A">
        <w:rPr>
          <w:rFonts w:eastAsia="Times New Roman"/>
          <w:sz w:val="24"/>
          <w:szCs w:val="24"/>
        </w:rPr>
        <w:t xml:space="preserve">(https://www.bioinformatics.babraham.ac.uk/projects/trim_galore/). Trimmed reads were subsequently aligned to the reference TAIR10 genome version of </w:t>
      </w:r>
      <w:r w:rsidRPr="0002194A">
        <w:rPr>
          <w:rFonts w:eastAsia="Times New Roman"/>
          <w:i/>
          <w:sz w:val="24"/>
          <w:szCs w:val="24"/>
        </w:rPr>
        <w:t>Arabidopsis thaliana</w:t>
      </w:r>
      <w:r w:rsidRPr="0002194A">
        <w:rPr>
          <w:rFonts w:eastAsia="Times New Roman"/>
          <w:sz w:val="24"/>
          <w:szCs w:val="24"/>
        </w:rPr>
        <w:t xml:space="preserve"> (Assembly: GCA_000001735.1) using BSMAP aligner Version 2.9 (</w:t>
      </w:r>
      <w:r w:rsidR="009120DB">
        <w:rPr>
          <w:rFonts w:eastAsia="Times New Roman"/>
          <w:sz w:val="24"/>
          <w:szCs w:val="24"/>
        </w:rPr>
        <w:t>Xi and Li 2009</w:t>
      </w:r>
      <w:r w:rsidRPr="0002194A">
        <w:rPr>
          <w:rFonts w:eastAsia="Times New Roman"/>
          <w:sz w:val="24"/>
          <w:szCs w:val="24"/>
        </w:rPr>
        <w:t xml:space="preserve">) specifying an allowed minimal insert size of 40 </w:t>
      </w:r>
      <w:proofErr w:type="spellStart"/>
      <w:r w:rsidRPr="0002194A">
        <w:rPr>
          <w:rFonts w:eastAsia="Times New Roman"/>
          <w:sz w:val="24"/>
          <w:szCs w:val="24"/>
        </w:rPr>
        <w:t>pb</w:t>
      </w:r>
      <w:proofErr w:type="spellEnd"/>
      <w:r w:rsidRPr="0002194A">
        <w:rPr>
          <w:rFonts w:eastAsia="Times New Roman"/>
          <w:sz w:val="24"/>
          <w:szCs w:val="24"/>
        </w:rPr>
        <w:t xml:space="preserve"> and a maximal insert size of 2500 </w:t>
      </w:r>
      <w:proofErr w:type="spellStart"/>
      <w:r w:rsidRPr="0002194A">
        <w:rPr>
          <w:rFonts w:eastAsia="Times New Roman"/>
          <w:sz w:val="24"/>
          <w:szCs w:val="24"/>
        </w:rPr>
        <w:t>bp.</w:t>
      </w:r>
      <w:proofErr w:type="spellEnd"/>
      <w:r w:rsidRPr="0002194A">
        <w:rPr>
          <w:rFonts w:eastAsia="Times New Roman"/>
          <w:sz w:val="24"/>
          <w:szCs w:val="24"/>
        </w:rPr>
        <w:t xml:space="preserve"> Only reads aligning uniquely to the reference genome were used for subsequent analyses. </w:t>
      </w:r>
      <w:proofErr w:type="spellStart"/>
      <w:r w:rsidRPr="0002194A">
        <w:rPr>
          <w:rFonts w:eastAsia="Times New Roman"/>
          <w:sz w:val="24"/>
          <w:szCs w:val="24"/>
        </w:rPr>
        <w:t>Cytosines</w:t>
      </w:r>
      <w:proofErr w:type="spellEnd"/>
      <w:r w:rsidRPr="0002194A">
        <w:rPr>
          <w:rFonts w:eastAsia="Times New Roman"/>
          <w:sz w:val="24"/>
          <w:szCs w:val="24"/>
        </w:rPr>
        <w:t xml:space="preserve"> with an average coverage below 8 (and above 100) across each line were removed to avoid a potential bias. Average genome coverage was 73.6 after filtering, which is well above most previous studies on DNA methylation in plants (</w:t>
      </w:r>
      <w:proofErr w:type="spellStart"/>
      <w:r w:rsidR="009120DB">
        <w:rPr>
          <w:rFonts w:eastAsia="Times New Roman"/>
          <w:sz w:val="24"/>
          <w:szCs w:val="24"/>
        </w:rPr>
        <w:t>Schmid</w:t>
      </w:r>
      <w:proofErr w:type="spellEnd"/>
      <w:r w:rsidR="009120DB">
        <w:rPr>
          <w:rFonts w:eastAsia="Times New Roman"/>
          <w:sz w:val="24"/>
          <w:szCs w:val="24"/>
        </w:rPr>
        <w:t xml:space="preserve"> et al. 2018</w:t>
      </w:r>
      <w:r w:rsidRPr="0002194A">
        <w:rPr>
          <w:rFonts w:eastAsia="Times New Roman"/>
          <w:sz w:val="24"/>
          <w:szCs w:val="24"/>
        </w:rPr>
        <w:t>). Mapped reads were then used as input data in the BSMAP methylation caller Version 1.0.0 implemented in the Galaxy interface (http://usegalaxy.org) (</w:t>
      </w:r>
      <w:proofErr w:type="spellStart"/>
      <w:r w:rsidR="009120DB" w:rsidRPr="009120DB">
        <w:rPr>
          <w:rFonts w:eastAsia="Times New Roman"/>
          <w:sz w:val="24"/>
          <w:szCs w:val="24"/>
        </w:rPr>
        <w:t>Goecks</w:t>
      </w:r>
      <w:proofErr w:type="spellEnd"/>
      <w:r w:rsidR="009120DB">
        <w:rPr>
          <w:rFonts w:eastAsia="Times New Roman"/>
          <w:sz w:val="24"/>
          <w:szCs w:val="24"/>
        </w:rPr>
        <w:t xml:space="preserve"> et al. 2010</w:t>
      </w:r>
      <w:r w:rsidRPr="0002194A">
        <w:rPr>
          <w:rFonts w:eastAsia="Times New Roman"/>
          <w:sz w:val="24"/>
          <w:szCs w:val="24"/>
        </w:rPr>
        <w:t xml:space="preserve">) to extract the methylation of each cytosine call and distinguish between the three contexts of methylation: CG, CHG and CHH. We used the </w:t>
      </w:r>
      <w:proofErr w:type="spellStart"/>
      <w:r w:rsidRPr="0002194A">
        <w:rPr>
          <w:rFonts w:eastAsia="Times New Roman"/>
          <w:sz w:val="24"/>
          <w:szCs w:val="24"/>
        </w:rPr>
        <w:t>methylKit</w:t>
      </w:r>
      <w:proofErr w:type="spellEnd"/>
      <w:r w:rsidRPr="0002194A">
        <w:rPr>
          <w:rFonts w:eastAsia="Times New Roman"/>
          <w:sz w:val="24"/>
          <w:szCs w:val="24"/>
        </w:rPr>
        <w:t xml:space="preserve"> package Version 1.20.0 for DMR analysis (</w:t>
      </w:r>
      <w:proofErr w:type="spellStart"/>
      <w:r w:rsidR="009120DB" w:rsidRPr="009120DB">
        <w:rPr>
          <w:rFonts w:eastAsia="Times New Roman"/>
          <w:sz w:val="24"/>
          <w:szCs w:val="24"/>
        </w:rPr>
        <w:t>Akalin</w:t>
      </w:r>
      <w:proofErr w:type="spellEnd"/>
      <w:r w:rsidR="009120DB">
        <w:rPr>
          <w:rFonts w:eastAsia="Times New Roman"/>
          <w:sz w:val="24"/>
          <w:szCs w:val="24"/>
        </w:rPr>
        <w:t xml:space="preserve"> et al. 2012</w:t>
      </w:r>
      <w:r w:rsidRPr="0002194A">
        <w:rPr>
          <w:rFonts w:eastAsia="Times New Roman"/>
          <w:sz w:val="24"/>
          <w:szCs w:val="24"/>
        </w:rPr>
        <w:t xml:space="preserve">). False-positive methylation levels were measured by calculating methylation levels in the </w:t>
      </w:r>
      <w:proofErr w:type="spellStart"/>
      <w:r w:rsidRPr="0002194A">
        <w:rPr>
          <w:rFonts w:eastAsia="Times New Roman"/>
          <w:sz w:val="24"/>
          <w:szCs w:val="24"/>
        </w:rPr>
        <w:t>unmethylated</w:t>
      </w:r>
      <w:proofErr w:type="spellEnd"/>
      <w:r w:rsidRPr="0002194A">
        <w:rPr>
          <w:rFonts w:eastAsia="Times New Roman"/>
          <w:sz w:val="24"/>
          <w:szCs w:val="24"/>
        </w:rPr>
        <w:t xml:space="preserve"> chloroplast genome. The 126 DMRs were identified in the </w:t>
      </w:r>
      <w:proofErr w:type="spellStart"/>
      <w:r w:rsidRPr="0002194A">
        <w:rPr>
          <w:rFonts w:eastAsia="Times New Roman"/>
          <w:sz w:val="24"/>
          <w:szCs w:val="24"/>
        </w:rPr>
        <w:t>epiRILs</w:t>
      </w:r>
      <w:proofErr w:type="spellEnd"/>
      <w:r w:rsidRPr="0002194A">
        <w:rPr>
          <w:rFonts w:eastAsia="Times New Roman"/>
          <w:sz w:val="24"/>
          <w:szCs w:val="24"/>
        </w:rPr>
        <w:t xml:space="preserve"> used in our experiment by calculating the mean methylation ratio of each marker found by filtering genomic positions (chromosome and start and stop </w:t>
      </w:r>
      <w:proofErr w:type="spellStart"/>
      <w:r w:rsidRPr="0002194A">
        <w:rPr>
          <w:rFonts w:eastAsia="Times New Roman"/>
          <w:sz w:val="24"/>
          <w:szCs w:val="24"/>
        </w:rPr>
        <w:t>bp</w:t>
      </w:r>
      <w:proofErr w:type="spellEnd"/>
      <w:r w:rsidRPr="0002194A">
        <w:rPr>
          <w:rFonts w:eastAsia="Times New Roman"/>
          <w:sz w:val="24"/>
          <w:szCs w:val="24"/>
        </w:rPr>
        <w:t xml:space="preserve">) from the BSMAP methylation calling files with a custom script in R made publicly available using the packages </w:t>
      </w:r>
      <w:proofErr w:type="spellStart"/>
      <w:r w:rsidRPr="0002194A">
        <w:rPr>
          <w:rFonts w:eastAsia="Times New Roman"/>
          <w:sz w:val="24"/>
          <w:szCs w:val="24"/>
        </w:rPr>
        <w:t>tidyverse</w:t>
      </w:r>
      <w:proofErr w:type="spellEnd"/>
      <w:r w:rsidRPr="0002194A">
        <w:rPr>
          <w:rFonts w:eastAsia="Times New Roman"/>
          <w:sz w:val="24"/>
          <w:szCs w:val="24"/>
        </w:rPr>
        <w:t xml:space="preserve"> and </w:t>
      </w:r>
      <w:proofErr w:type="spellStart"/>
      <w:r w:rsidRPr="0002194A">
        <w:rPr>
          <w:rFonts w:eastAsia="Times New Roman"/>
          <w:sz w:val="24"/>
          <w:szCs w:val="24"/>
        </w:rPr>
        <w:t>dplyr</w:t>
      </w:r>
      <w:proofErr w:type="spellEnd"/>
      <w:r w:rsidRPr="0002194A">
        <w:rPr>
          <w:rFonts w:eastAsia="Times New Roman"/>
          <w:sz w:val="24"/>
          <w:szCs w:val="24"/>
        </w:rPr>
        <w:t xml:space="preserve"> (</w:t>
      </w:r>
      <w:proofErr w:type="spellStart"/>
      <w:r w:rsidR="00382A85">
        <w:rPr>
          <w:rFonts w:eastAsia="Times New Roman"/>
          <w:sz w:val="24"/>
          <w:szCs w:val="24"/>
        </w:rPr>
        <w:t>Mailund</w:t>
      </w:r>
      <w:proofErr w:type="spellEnd"/>
      <w:r w:rsidR="00382A85">
        <w:rPr>
          <w:rFonts w:eastAsia="Times New Roman"/>
          <w:sz w:val="24"/>
          <w:szCs w:val="24"/>
        </w:rPr>
        <w:t xml:space="preserve"> 2019, </w:t>
      </w:r>
      <w:r w:rsidR="009120DB" w:rsidRPr="009120DB">
        <w:rPr>
          <w:rFonts w:eastAsia="Times New Roman"/>
          <w:sz w:val="24"/>
          <w:szCs w:val="24"/>
        </w:rPr>
        <w:t>Wickham</w:t>
      </w:r>
      <w:r w:rsidR="009120DB">
        <w:rPr>
          <w:rFonts w:eastAsia="Times New Roman"/>
          <w:sz w:val="24"/>
          <w:szCs w:val="24"/>
        </w:rPr>
        <w:t xml:space="preserve"> et al. 2019</w:t>
      </w:r>
      <w:r w:rsidRPr="0002194A">
        <w:rPr>
          <w:rFonts w:eastAsia="Times New Roman"/>
          <w:sz w:val="24"/>
          <w:szCs w:val="24"/>
        </w:rPr>
        <w:t>). These DMRs cover genomic regions of a size ranging from 200 base pairs to 11 kb. The distribution of the Bisulfite Sequence signals was verified for the 126 markers by plotting the distribution of BS signals in boxplots of the WT-inherited (Methylated) and the ddm1-inherited (</w:t>
      </w:r>
      <w:proofErr w:type="spellStart"/>
      <w:r w:rsidRPr="0002194A">
        <w:rPr>
          <w:rFonts w:eastAsia="Times New Roman"/>
          <w:sz w:val="24"/>
          <w:szCs w:val="24"/>
        </w:rPr>
        <w:t>Unmethylated</w:t>
      </w:r>
      <w:proofErr w:type="spellEnd"/>
      <w:r w:rsidRPr="0002194A">
        <w:rPr>
          <w:rFonts w:eastAsia="Times New Roman"/>
          <w:sz w:val="24"/>
          <w:szCs w:val="24"/>
        </w:rPr>
        <w:t>) markers with a custom script in R made publicly available on the ZENODO repository</w:t>
      </w:r>
      <w:r w:rsidR="007807CF">
        <w:rPr>
          <w:rFonts w:eastAsia="Times New Roman"/>
          <w:sz w:val="24"/>
          <w:szCs w:val="24"/>
        </w:rPr>
        <w:t xml:space="preserve">: </w:t>
      </w:r>
      <w:r w:rsidR="007807CF" w:rsidRPr="0002194A">
        <w:rPr>
          <w:rFonts w:eastAsia="Times New Roman"/>
          <w:sz w:val="24"/>
          <w:szCs w:val="24"/>
        </w:rPr>
        <w:t>https://doi.org/10.5281/zenodo.7603324</w:t>
      </w:r>
      <w:r w:rsidRPr="0002194A">
        <w:rPr>
          <w:rFonts w:eastAsia="Times New Roman"/>
          <w:sz w:val="24"/>
          <w:szCs w:val="24"/>
        </w:rPr>
        <w:t>.</w:t>
      </w:r>
    </w:p>
    <w:p w14:paraId="3BE196D3" w14:textId="77777777" w:rsidR="00A30D43" w:rsidRDefault="00A30D43" w:rsidP="00A30D43">
      <w:pPr>
        <w:ind w:left="720"/>
        <w:rPr>
          <w:rFonts w:eastAsia="Times New Roman"/>
          <w:sz w:val="24"/>
          <w:szCs w:val="24"/>
        </w:rPr>
      </w:pPr>
    </w:p>
    <w:p w14:paraId="586402A1" w14:textId="2A34F4B1" w:rsidR="00A30D43" w:rsidRDefault="00A30D43" w:rsidP="00A30D43">
      <w:pPr>
        <w:ind w:left="720"/>
        <w:rPr>
          <w:rFonts w:eastAsia="Times New Roman"/>
          <w:sz w:val="24"/>
          <w:szCs w:val="24"/>
        </w:rPr>
      </w:pPr>
      <w:r w:rsidRPr="0002194A">
        <w:rPr>
          <w:rFonts w:eastAsia="Times New Roman"/>
          <w:sz w:val="24"/>
          <w:szCs w:val="24"/>
        </w:rPr>
        <w:t xml:space="preserve">For each DMR marker, percentages of methylated </w:t>
      </w:r>
      <w:proofErr w:type="spellStart"/>
      <w:r w:rsidRPr="0002194A">
        <w:rPr>
          <w:rFonts w:eastAsia="Times New Roman"/>
          <w:sz w:val="24"/>
          <w:szCs w:val="24"/>
        </w:rPr>
        <w:t>cytosines</w:t>
      </w:r>
      <w:proofErr w:type="spellEnd"/>
      <w:r w:rsidRPr="0002194A">
        <w:rPr>
          <w:rFonts w:eastAsia="Times New Roman"/>
          <w:sz w:val="24"/>
          <w:szCs w:val="24"/>
        </w:rPr>
        <w:t xml:space="preserve"> were compared between Col-</w:t>
      </w:r>
      <w:proofErr w:type="spellStart"/>
      <w:r w:rsidRPr="0002194A">
        <w:rPr>
          <w:rFonts w:eastAsia="Times New Roman"/>
          <w:sz w:val="24"/>
          <w:szCs w:val="24"/>
        </w:rPr>
        <w:t>wt</w:t>
      </w:r>
      <w:proofErr w:type="spellEnd"/>
      <w:r w:rsidRPr="0002194A">
        <w:rPr>
          <w:rFonts w:eastAsia="Times New Roman"/>
          <w:sz w:val="24"/>
          <w:szCs w:val="24"/>
        </w:rPr>
        <w:t xml:space="preserve"> and each </w:t>
      </w:r>
      <w:proofErr w:type="spellStart"/>
      <w:r w:rsidRPr="0002194A">
        <w:rPr>
          <w:rFonts w:eastAsia="Times New Roman"/>
          <w:sz w:val="24"/>
          <w:szCs w:val="24"/>
        </w:rPr>
        <w:t>epiRIL</w:t>
      </w:r>
      <w:proofErr w:type="spellEnd"/>
      <w:r w:rsidRPr="0002194A">
        <w:rPr>
          <w:rFonts w:eastAsia="Times New Roman"/>
          <w:sz w:val="24"/>
          <w:szCs w:val="24"/>
        </w:rPr>
        <w:t xml:space="preserve"> by using Fisher’s exact tests to confirm whether they were WT-</w:t>
      </w:r>
      <w:r w:rsidRPr="0002194A">
        <w:rPr>
          <w:rFonts w:eastAsia="Times New Roman"/>
          <w:sz w:val="24"/>
          <w:szCs w:val="24"/>
        </w:rPr>
        <w:lastRenderedPageBreak/>
        <w:t>inherited (not significantly different from Col-</w:t>
      </w:r>
      <w:proofErr w:type="spellStart"/>
      <w:r w:rsidRPr="0002194A">
        <w:rPr>
          <w:rFonts w:eastAsia="Times New Roman"/>
          <w:sz w:val="24"/>
          <w:szCs w:val="24"/>
        </w:rPr>
        <w:t>wt</w:t>
      </w:r>
      <w:proofErr w:type="spellEnd"/>
      <w:r w:rsidRPr="0002194A">
        <w:rPr>
          <w:rFonts w:eastAsia="Times New Roman"/>
          <w:sz w:val="24"/>
          <w:szCs w:val="24"/>
        </w:rPr>
        <w:t xml:space="preserve">) or ddm1-inherited (significantly </w:t>
      </w:r>
      <w:proofErr w:type="spellStart"/>
      <w:r w:rsidRPr="0002194A">
        <w:rPr>
          <w:rFonts w:eastAsia="Times New Roman"/>
          <w:sz w:val="24"/>
          <w:szCs w:val="24"/>
        </w:rPr>
        <w:t>hypomethylated</w:t>
      </w:r>
      <w:proofErr w:type="spellEnd"/>
      <w:r w:rsidRPr="0002194A">
        <w:rPr>
          <w:rFonts w:eastAsia="Times New Roman"/>
          <w:sz w:val="24"/>
          <w:szCs w:val="24"/>
        </w:rPr>
        <w:t xml:space="preserve"> in comparison to Col-</w:t>
      </w:r>
      <w:proofErr w:type="spellStart"/>
      <w:r w:rsidRPr="0002194A">
        <w:rPr>
          <w:rFonts w:eastAsia="Times New Roman"/>
          <w:sz w:val="24"/>
          <w:szCs w:val="24"/>
        </w:rPr>
        <w:t>wt</w:t>
      </w:r>
      <w:proofErr w:type="spellEnd"/>
      <w:r w:rsidRPr="0002194A">
        <w:rPr>
          <w:rFonts w:eastAsia="Times New Roman"/>
          <w:sz w:val="24"/>
          <w:szCs w:val="24"/>
        </w:rPr>
        <w:t xml:space="preserve">). To this aim, we used the </w:t>
      </w:r>
      <w:proofErr w:type="spellStart"/>
      <w:r w:rsidRPr="0002194A">
        <w:rPr>
          <w:rFonts w:eastAsia="Times New Roman"/>
          <w:sz w:val="24"/>
          <w:szCs w:val="24"/>
        </w:rPr>
        <w:t>methylKit</w:t>
      </w:r>
      <w:proofErr w:type="spellEnd"/>
      <w:r w:rsidRPr="0002194A">
        <w:rPr>
          <w:rFonts w:eastAsia="Times New Roman"/>
          <w:sz w:val="24"/>
          <w:szCs w:val="24"/>
        </w:rPr>
        <w:t xml:space="preserve"> package. Parameters used to call for differentially methylated markers were defined as follows: differential methylation &gt; 25% and q value &lt; 0.01 as established by other work on the same species (</w:t>
      </w:r>
      <w:r w:rsidR="00382A85">
        <w:rPr>
          <w:rFonts w:eastAsia="Times New Roman"/>
          <w:sz w:val="24"/>
          <w:szCs w:val="24"/>
        </w:rPr>
        <w:t>Kim et al. 2017</w:t>
      </w:r>
      <w:r w:rsidRPr="0002194A">
        <w:rPr>
          <w:rFonts w:eastAsia="Times New Roman"/>
          <w:sz w:val="24"/>
          <w:szCs w:val="24"/>
        </w:rPr>
        <w:t>). This approach allowed us to identify statistical differences between Col-</w:t>
      </w:r>
      <w:proofErr w:type="spellStart"/>
      <w:r w:rsidRPr="0002194A">
        <w:rPr>
          <w:rFonts w:eastAsia="Times New Roman"/>
          <w:sz w:val="24"/>
          <w:szCs w:val="24"/>
        </w:rPr>
        <w:t>wt</w:t>
      </w:r>
      <w:proofErr w:type="spellEnd"/>
      <w:r w:rsidRPr="0002194A">
        <w:rPr>
          <w:rFonts w:eastAsia="Times New Roman"/>
          <w:sz w:val="24"/>
          <w:szCs w:val="24"/>
        </w:rPr>
        <w:t xml:space="preserve"> and each </w:t>
      </w:r>
      <w:proofErr w:type="spellStart"/>
      <w:r w:rsidRPr="0002194A">
        <w:rPr>
          <w:rFonts w:eastAsia="Times New Roman"/>
          <w:sz w:val="24"/>
          <w:szCs w:val="24"/>
        </w:rPr>
        <w:t>epiRIL</w:t>
      </w:r>
      <w:proofErr w:type="spellEnd"/>
      <w:r w:rsidRPr="0002194A">
        <w:rPr>
          <w:rFonts w:eastAsia="Times New Roman"/>
          <w:sz w:val="24"/>
          <w:szCs w:val="24"/>
        </w:rPr>
        <w:t xml:space="preserve"> for the 126 differentially methylated regions (DMRs) published in </w:t>
      </w:r>
      <w:proofErr w:type="spellStart"/>
      <w:r w:rsidRPr="0002194A">
        <w:rPr>
          <w:rFonts w:eastAsia="Times New Roman"/>
          <w:sz w:val="24"/>
          <w:szCs w:val="24"/>
        </w:rPr>
        <w:t>Colomé-Tatché</w:t>
      </w:r>
      <w:proofErr w:type="spellEnd"/>
      <w:r w:rsidRPr="0002194A">
        <w:rPr>
          <w:rFonts w:eastAsia="Times New Roman"/>
          <w:sz w:val="24"/>
          <w:szCs w:val="24"/>
        </w:rPr>
        <w:t xml:space="preserve"> et al. (</w:t>
      </w:r>
      <w:r w:rsidR="00FA5948">
        <w:rPr>
          <w:rFonts w:eastAsia="Times New Roman"/>
          <w:sz w:val="24"/>
          <w:szCs w:val="24"/>
        </w:rPr>
        <w:t>2012</w:t>
      </w:r>
      <w:r w:rsidRPr="0002194A">
        <w:rPr>
          <w:rFonts w:eastAsia="Times New Roman"/>
          <w:sz w:val="24"/>
          <w:szCs w:val="24"/>
        </w:rPr>
        <w:t xml:space="preserve">), and then compare the DMRs found in our experiment with those already published in the literature. To this aim, we calculated the percentage of overlapping probe classification following the methods developed by </w:t>
      </w:r>
      <w:proofErr w:type="spellStart"/>
      <w:r w:rsidRPr="0002194A">
        <w:rPr>
          <w:rFonts w:eastAsia="Times New Roman"/>
          <w:sz w:val="24"/>
          <w:szCs w:val="24"/>
        </w:rPr>
        <w:t>Colomé-Taché</w:t>
      </w:r>
      <w:proofErr w:type="spellEnd"/>
      <w:r w:rsidRPr="0002194A">
        <w:rPr>
          <w:rFonts w:eastAsia="Times New Roman"/>
          <w:sz w:val="24"/>
          <w:szCs w:val="24"/>
        </w:rPr>
        <w:t xml:space="preserve"> et al. (</w:t>
      </w:r>
      <w:r w:rsidR="00FA5948">
        <w:rPr>
          <w:rFonts w:eastAsia="Times New Roman"/>
          <w:sz w:val="24"/>
          <w:szCs w:val="24"/>
        </w:rPr>
        <w:t>2012</w:t>
      </w:r>
      <w:r w:rsidRPr="0002194A">
        <w:rPr>
          <w:rFonts w:eastAsia="Times New Roman"/>
          <w:sz w:val="24"/>
          <w:szCs w:val="24"/>
        </w:rPr>
        <w:t xml:space="preserve">) between published </w:t>
      </w:r>
      <w:proofErr w:type="spellStart"/>
      <w:r w:rsidRPr="0002194A">
        <w:rPr>
          <w:rFonts w:eastAsia="Times New Roman"/>
          <w:sz w:val="24"/>
          <w:szCs w:val="24"/>
        </w:rPr>
        <w:t>epiRIL</w:t>
      </w:r>
      <w:proofErr w:type="spellEnd"/>
      <w:r w:rsidRPr="0002194A">
        <w:rPr>
          <w:rFonts w:eastAsia="Times New Roman"/>
          <w:sz w:val="24"/>
          <w:szCs w:val="24"/>
        </w:rPr>
        <w:t xml:space="preserve"> DMR data and our EM-</w:t>
      </w:r>
      <w:proofErr w:type="spellStart"/>
      <w:r w:rsidRPr="0002194A">
        <w:rPr>
          <w:rFonts w:eastAsia="Times New Roman"/>
          <w:sz w:val="24"/>
          <w:szCs w:val="24"/>
        </w:rPr>
        <w:t>seq</w:t>
      </w:r>
      <w:proofErr w:type="spellEnd"/>
      <w:r w:rsidRPr="0002194A">
        <w:rPr>
          <w:rFonts w:eastAsia="Times New Roman"/>
          <w:sz w:val="24"/>
          <w:szCs w:val="24"/>
        </w:rPr>
        <w:t xml:space="preserve"> data for the plants used in our experiment. We considered percentages of similarity greater than 80% as a signal of very strong molecular correspondence, &gt; 70% as strong, &gt; 60% as moderate, and &lt; 50% as weak. We also evaluated the molecular correspondence between the available WGBS data published for 8 </w:t>
      </w:r>
      <w:proofErr w:type="spellStart"/>
      <w:r w:rsidRPr="0002194A">
        <w:rPr>
          <w:rFonts w:eastAsia="Times New Roman"/>
          <w:sz w:val="24"/>
          <w:szCs w:val="24"/>
        </w:rPr>
        <w:t>epiRILs</w:t>
      </w:r>
      <w:proofErr w:type="spellEnd"/>
      <w:r w:rsidRPr="0002194A">
        <w:rPr>
          <w:rFonts w:eastAsia="Times New Roman"/>
          <w:sz w:val="24"/>
          <w:szCs w:val="24"/>
        </w:rPr>
        <w:t xml:space="preserve"> (60, 92, 150, 193, 202, 232, 260 and 480) (</w:t>
      </w:r>
      <w:proofErr w:type="spellStart"/>
      <w:r w:rsidR="00382A85" w:rsidRPr="00382A85">
        <w:rPr>
          <w:rFonts w:eastAsia="Times New Roman"/>
          <w:sz w:val="24"/>
          <w:szCs w:val="24"/>
        </w:rPr>
        <w:t>Bewick</w:t>
      </w:r>
      <w:proofErr w:type="spellEnd"/>
      <w:r w:rsidR="00382A85" w:rsidRPr="00382A85">
        <w:rPr>
          <w:rFonts w:eastAsia="Times New Roman"/>
          <w:sz w:val="24"/>
          <w:szCs w:val="24"/>
        </w:rPr>
        <w:t xml:space="preserve"> </w:t>
      </w:r>
      <w:r w:rsidR="00382A85">
        <w:rPr>
          <w:rFonts w:eastAsia="Times New Roman"/>
          <w:sz w:val="24"/>
          <w:szCs w:val="24"/>
        </w:rPr>
        <w:t xml:space="preserve">et al. 2016, </w:t>
      </w:r>
      <w:proofErr w:type="spellStart"/>
      <w:r w:rsidR="00382A85">
        <w:rPr>
          <w:rFonts w:eastAsia="Times New Roman"/>
          <w:sz w:val="24"/>
          <w:szCs w:val="24"/>
        </w:rPr>
        <w:t>Kooke</w:t>
      </w:r>
      <w:proofErr w:type="spellEnd"/>
      <w:r w:rsidR="00382A85">
        <w:rPr>
          <w:rFonts w:eastAsia="Times New Roman"/>
          <w:sz w:val="24"/>
          <w:szCs w:val="24"/>
        </w:rPr>
        <w:t xml:space="preserve"> et al. 2019, </w:t>
      </w:r>
      <w:proofErr w:type="spellStart"/>
      <w:r w:rsidR="00382A85">
        <w:rPr>
          <w:rFonts w:eastAsia="Times New Roman"/>
          <w:sz w:val="24"/>
          <w:szCs w:val="24"/>
        </w:rPr>
        <w:t>Lauss</w:t>
      </w:r>
      <w:proofErr w:type="spellEnd"/>
      <w:r w:rsidR="00382A85">
        <w:rPr>
          <w:rFonts w:eastAsia="Times New Roman"/>
          <w:sz w:val="24"/>
          <w:szCs w:val="24"/>
        </w:rPr>
        <w:t xml:space="preserve"> et al. 2018)</w:t>
      </w:r>
      <w:r w:rsidRPr="0002194A">
        <w:rPr>
          <w:rFonts w:eastAsia="Times New Roman"/>
          <w:sz w:val="24"/>
          <w:szCs w:val="24"/>
        </w:rPr>
        <w:t xml:space="preserve"> and the EM-</w:t>
      </w:r>
      <w:proofErr w:type="spellStart"/>
      <w:r w:rsidRPr="0002194A">
        <w:rPr>
          <w:rFonts w:eastAsia="Times New Roman"/>
          <w:sz w:val="24"/>
          <w:szCs w:val="24"/>
        </w:rPr>
        <w:t>seq</w:t>
      </w:r>
      <w:proofErr w:type="spellEnd"/>
      <w:r w:rsidRPr="0002194A">
        <w:rPr>
          <w:rFonts w:eastAsia="Times New Roman"/>
          <w:sz w:val="24"/>
          <w:szCs w:val="24"/>
        </w:rPr>
        <w:t xml:space="preserve"> data of these same </w:t>
      </w:r>
      <w:proofErr w:type="spellStart"/>
      <w:r w:rsidRPr="0002194A">
        <w:rPr>
          <w:rFonts w:eastAsia="Times New Roman"/>
          <w:sz w:val="24"/>
          <w:szCs w:val="24"/>
        </w:rPr>
        <w:t>epiRILs</w:t>
      </w:r>
      <w:proofErr w:type="spellEnd"/>
      <w:r w:rsidRPr="0002194A">
        <w:rPr>
          <w:rFonts w:eastAsia="Times New Roman"/>
          <w:sz w:val="24"/>
          <w:szCs w:val="24"/>
        </w:rPr>
        <w:t xml:space="preserve"> used in our experiment by comparing directly the </w:t>
      </w:r>
      <w:proofErr w:type="spellStart"/>
      <w:r w:rsidRPr="0002194A">
        <w:rPr>
          <w:rFonts w:eastAsia="Times New Roman"/>
          <w:sz w:val="24"/>
          <w:szCs w:val="24"/>
        </w:rPr>
        <w:t>bisulfited</w:t>
      </w:r>
      <w:proofErr w:type="spellEnd"/>
      <w:r w:rsidRPr="0002194A">
        <w:rPr>
          <w:rFonts w:eastAsia="Times New Roman"/>
          <w:sz w:val="24"/>
          <w:szCs w:val="24"/>
        </w:rPr>
        <w:t xml:space="preserve"> sequencing signal. To this aim, we estimated the correlation between the 126 regions methylation ratios obtained from both techniques by using a Kendall rank correlation coefficient for each methylation context and for global methylation (cumulated information for all methylation contexts). We also conducted a hierarchical cluster analysis of the global methylation at the 126 DMRs of </w:t>
      </w:r>
      <w:proofErr w:type="spellStart"/>
      <w:r w:rsidRPr="0002194A">
        <w:rPr>
          <w:rFonts w:eastAsia="Times New Roman"/>
          <w:sz w:val="24"/>
          <w:szCs w:val="24"/>
        </w:rPr>
        <w:t>epiRILs</w:t>
      </w:r>
      <w:proofErr w:type="spellEnd"/>
      <w:r w:rsidRPr="0002194A">
        <w:rPr>
          <w:rFonts w:eastAsia="Times New Roman"/>
          <w:sz w:val="24"/>
          <w:szCs w:val="24"/>
        </w:rPr>
        <w:t xml:space="preserve"> and Col-</w:t>
      </w:r>
      <w:proofErr w:type="spellStart"/>
      <w:r w:rsidRPr="0002194A">
        <w:rPr>
          <w:rFonts w:eastAsia="Times New Roman"/>
          <w:sz w:val="24"/>
          <w:szCs w:val="24"/>
        </w:rPr>
        <w:t>wt</w:t>
      </w:r>
      <w:proofErr w:type="spellEnd"/>
      <w:r w:rsidRPr="0002194A">
        <w:rPr>
          <w:rFonts w:eastAsia="Times New Roman"/>
          <w:sz w:val="24"/>
          <w:szCs w:val="24"/>
        </w:rPr>
        <w:t xml:space="preserve">, and then compared the hierarchical clusters by using </w:t>
      </w:r>
      <w:proofErr w:type="spellStart"/>
      <w:r w:rsidRPr="0002194A">
        <w:rPr>
          <w:rFonts w:eastAsia="Times New Roman"/>
          <w:sz w:val="24"/>
          <w:szCs w:val="24"/>
        </w:rPr>
        <w:t>cophenetic</w:t>
      </w:r>
      <w:proofErr w:type="spellEnd"/>
      <w:r w:rsidRPr="0002194A">
        <w:rPr>
          <w:rFonts w:eastAsia="Times New Roman"/>
          <w:sz w:val="24"/>
          <w:szCs w:val="24"/>
        </w:rPr>
        <w:t xml:space="preserve"> correlation coefficients. We also annotated the 126 DMRs using the </w:t>
      </w:r>
      <w:proofErr w:type="spellStart"/>
      <w:r w:rsidRPr="0002194A">
        <w:rPr>
          <w:rFonts w:eastAsia="Times New Roman"/>
          <w:sz w:val="24"/>
          <w:szCs w:val="24"/>
        </w:rPr>
        <w:t>PlantGDB</w:t>
      </w:r>
      <w:proofErr w:type="spellEnd"/>
      <w:r w:rsidRPr="0002194A">
        <w:rPr>
          <w:rFonts w:eastAsia="Times New Roman"/>
          <w:sz w:val="24"/>
          <w:szCs w:val="24"/>
        </w:rPr>
        <w:t xml:space="preserve"> database (</w:t>
      </w:r>
      <w:r w:rsidR="00382A85">
        <w:rPr>
          <w:rFonts w:eastAsia="Times New Roman"/>
          <w:sz w:val="24"/>
          <w:szCs w:val="24"/>
        </w:rPr>
        <w:t>Dong et al. 2004</w:t>
      </w:r>
      <w:r w:rsidRPr="0002194A">
        <w:rPr>
          <w:rFonts w:eastAsia="Times New Roman"/>
          <w:sz w:val="24"/>
          <w:szCs w:val="24"/>
        </w:rPr>
        <w:t xml:space="preserve">) and the Assembly version: </w:t>
      </w:r>
      <w:proofErr w:type="spellStart"/>
      <w:r w:rsidRPr="0002194A">
        <w:rPr>
          <w:rFonts w:eastAsia="Times New Roman"/>
          <w:sz w:val="24"/>
          <w:szCs w:val="24"/>
        </w:rPr>
        <w:t>AtGDB</w:t>
      </w:r>
      <w:proofErr w:type="spellEnd"/>
      <w:r w:rsidRPr="0002194A">
        <w:rPr>
          <w:rFonts w:eastAsia="Times New Roman"/>
          <w:sz w:val="24"/>
          <w:szCs w:val="24"/>
        </w:rPr>
        <w:t xml:space="preserve"> TAIR9/10 v171 (https://plantgdb.org/AtGDB/).</w:t>
      </w:r>
    </w:p>
    <w:p w14:paraId="0FC5BC7F" w14:textId="77777777" w:rsidR="00A30D43" w:rsidRDefault="00A30D43" w:rsidP="00A30D43">
      <w:pPr>
        <w:ind w:left="720"/>
        <w:rPr>
          <w:rFonts w:eastAsia="Times New Roman"/>
          <w:sz w:val="24"/>
          <w:szCs w:val="24"/>
        </w:rPr>
      </w:pPr>
    </w:p>
    <w:p w14:paraId="2FDD1E18" w14:textId="77777777" w:rsidR="00A30D43" w:rsidRDefault="00A30D43" w:rsidP="00A30D43">
      <w:pPr>
        <w:ind w:left="720"/>
        <w:rPr>
          <w:rFonts w:eastAsia="Times New Roman"/>
          <w:sz w:val="24"/>
          <w:szCs w:val="24"/>
        </w:rPr>
      </w:pPr>
      <w:r>
        <w:rPr>
          <w:rFonts w:eastAsia="Times New Roman"/>
          <w:sz w:val="24"/>
          <w:szCs w:val="24"/>
        </w:rPr>
        <w:t>Data and code availability</w:t>
      </w:r>
    </w:p>
    <w:p w14:paraId="50D83CE9" w14:textId="77777777" w:rsidR="00A30D43" w:rsidRDefault="00A30D43" w:rsidP="00A30D43">
      <w:pPr>
        <w:ind w:left="720"/>
        <w:rPr>
          <w:rFonts w:eastAsia="Times New Roman"/>
          <w:sz w:val="24"/>
          <w:szCs w:val="24"/>
        </w:rPr>
      </w:pPr>
    </w:p>
    <w:p w14:paraId="12A58758" w14:textId="77777777" w:rsidR="00A30D43" w:rsidRDefault="00A30D43" w:rsidP="00A30D43">
      <w:pPr>
        <w:ind w:left="720"/>
        <w:rPr>
          <w:rFonts w:eastAsia="Times New Roman"/>
          <w:sz w:val="24"/>
          <w:szCs w:val="24"/>
        </w:rPr>
      </w:pPr>
      <w:r w:rsidRPr="0002194A">
        <w:rPr>
          <w:rFonts w:eastAsia="Times New Roman"/>
          <w:sz w:val="24"/>
          <w:szCs w:val="24"/>
        </w:rPr>
        <w:t>The EM-</w:t>
      </w:r>
      <w:proofErr w:type="spellStart"/>
      <w:r w:rsidRPr="0002194A">
        <w:rPr>
          <w:rFonts w:eastAsia="Times New Roman"/>
          <w:sz w:val="24"/>
          <w:szCs w:val="24"/>
        </w:rPr>
        <w:t>seq</w:t>
      </w:r>
      <w:proofErr w:type="spellEnd"/>
      <w:r w:rsidRPr="0002194A">
        <w:rPr>
          <w:rFonts w:eastAsia="Times New Roman"/>
          <w:sz w:val="24"/>
          <w:szCs w:val="24"/>
        </w:rPr>
        <w:t xml:space="preserve"> data used in this study are available on the NCBI </w:t>
      </w:r>
      <w:proofErr w:type="spellStart"/>
      <w:r w:rsidRPr="0002194A">
        <w:rPr>
          <w:rFonts w:eastAsia="Times New Roman"/>
          <w:sz w:val="24"/>
          <w:szCs w:val="24"/>
        </w:rPr>
        <w:t>bioproject</w:t>
      </w:r>
      <w:proofErr w:type="spellEnd"/>
      <w:r w:rsidRPr="0002194A">
        <w:rPr>
          <w:rFonts w:eastAsia="Times New Roman"/>
          <w:sz w:val="24"/>
          <w:szCs w:val="24"/>
        </w:rPr>
        <w:t xml:space="preserve"> online repository. The names of the repository/repositories and accession number(s) can be found below: https://www.ncbi.nlm.nih.gov/bioproject/PRJNA773039.</w:t>
      </w:r>
      <w:r>
        <w:rPr>
          <w:rFonts w:eastAsia="Times New Roman"/>
          <w:sz w:val="24"/>
          <w:szCs w:val="24"/>
        </w:rPr>
        <w:t xml:space="preserve"> </w:t>
      </w:r>
      <w:r w:rsidRPr="0002194A">
        <w:rPr>
          <w:rFonts w:eastAsia="Times New Roman"/>
          <w:sz w:val="24"/>
          <w:szCs w:val="24"/>
        </w:rPr>
        <w:t>Data and R protocols used for the statistical analyses are available from the ZENODO Digital Repository https://doi.org/10.5281/zenodo.7603324.</w:t>
      </w:r>
    </w:p>
    <w:p w14:paraId="5147B3B7" w14:textId="77777777" w:rsidR="00A30D43" w:rsidRDefault="00A30D43" w:rsidP="005C046A">
      <w:pPr>
        <w:spacing w:after="100" w:afterAutospacing="1"/>
        <w:ind w:left="720"/>
        <w:rPr>
          <w:rFonts w:eastAsia="Times New Roman"/>
          <w:sz w:val="24"/>
          <w:szCs w:val="24"/>
        </w:rPr>
      </w:pPr>
    </w:p>
    <w:p w14:paraId="5FFC665E" w14:textId="77777777" w:rsidR="00AB5717" w:rsidRDefault="00AB5717" w:rsidP="00AC2069">
      <w:pPr>
        <w:pStyle w:val="Paragraph"/>
        <w:spacing w:before="0"/>
        <w:ind w:firstLine="0"/>
        <w:rPr>
          <w:b/>
        </w:rPr>
      </w:pPr>
    </w:p>
    <w:p w14:paraId="3E578EE9" w14:textId="6F40760C" w:rsidR="00543E14" w:rsidRDefault="004A10BE" w:rsidP="00FA13B0">
      <w:pPr>
        <w:pStyle w:val="Paragraph"/>
        <w:spacing w:before="0"/>
        <w:ind w:firstLine="0"/>
      </w:pPr>
      <w:r w:rsidRPr="008B1FB9">
        <w:rPr>
          <w:b/>
        </w:rPr>
        <w:t>Results</w:t>
      </w:r>
      <w:r>
        <w:t xml:space="preserve"> </w:t>
      </w:r>
    </w:p>
    <w:p w14:paraId="16FDA060" w14:textId="77777777" w:rsidR="00FA13B0" w:rsidRDefault="00FA13B0" w:rsidP="00FA13B0">
      <w:pPr>
        <w:pStyle w:val="Paragraph"/>
        <w:spacing w:before="0"/>
        <w:ind w:firstLine="0"/>
      </w:pPr>
    </w:p>
    <w:p w14:paraId="14BA5736" w14:textId="7B769A75" w:rsidR="00FA13B0" w:rsidRDefault="00FA13B0" w:rsidP="00FA13B0">
      <w:pPr>
        <w:spacing w:after="100" w:afterAutospacing="1"/>
        <w:ind w:left="720"/>
        <w:rPr>
          <w:rFonts w:eastAsia="Times New Roman"/>
          <w:sz w:val="24"/>
          <w:szCs w:val="24"/>
        </w:rPr>
      </w:pPr>
      <w:r w:rsidRPr="00543E14">
        <w:rPr>
          <w:rFonts w:eastAsia="Times New Roman"/>
          <w:sz w:val="24"/>
          <w:szCs w:val="24"/>
        </w:rPr>
        <w:t>DNA methylation and phenotypic traits vary</w:t>
      </w:r>
    </w:p>
    <w:p w14:paraId="5CF3D30B" w14:textId="1B2A81C3" w:rsidR="00543E14" w:rsidRDefault="00543E14" w:rsidP="00AC2069">
      <w:pPr>
        <w:spacing w:after="100" w:afterAutospacing="1"/>
        <w:ind w:left="720"/>
        <w:rPr>
          <w:rFonts w:eastAsia="Times New Roman"/>
          <w:sz w:val="24"/>
          <w:szCs w:val="24"/>
        </w:rPr>
      </w:pPr>
      <w:r w:rsidRPr="00543E14">
        <w:rPr>
          <w:rFonts w:eastAsia="Times New Roman"/>
          <w:sz w:val="24"/>
          <w:szCs w:val="24"/>
        </w:rPr>
        <w:t xml:space="preserve">We assessed and confirmed that the two </w:t>
      </w:r>
      <w:r w:rsidRPr="00543E14">
        <w:rPr>
          <w:rFonts w:eastAsia="Times New Roman"/>
          <w:i/>
          <w:sz w:val="24"/>
          <w:szCs w:val="24"/>
        </w:rPr>
        <w:t>A. thaliana</w:t>
      </w:r>
      <w:r w:rsidRPr="00543E14">
        <w:rPr>
          <w:rFonts w:eastAsia="Times New Roman"/>
          <w:sz w:val="24"/>
          <w:szCs w:val="24"/>
        </w:rPr>
        <w:t xml:space="preserve"> experimental populations harbored DNA methylation polymorphism and trait variation in the </w:t>
      </w:r>
      <w:r w:rsidRPr="00543E14">
        <w:rPr>
          <w:rFonts w:eastAsia="Times New Roman"/>
          <w:i/>
          <w:sz w:val="24"/>
          <w:szCs w:val="24"/>
        </w:rPr>
        <w:t>Columbia</w:t>
      </w:r>
      <w:r w:rsidRPr="00543E14">
        <w:rPr>
          <w:rFonts w:eastAsia="Times New Roman"/>
          <w:sz w:val="24"/>
          <w:szCs w:val="24"/>
        </w:rPr>
        <w:t xml:space="preserve"> wild type (Col-0) genetic background. DNA methylation is the most studied epigenetic mark that influences chromatin structure and the silencing of transposable elements (TE) and genes (19). Each experimental population (n = 180 plants per population; Fig. 1A) consisted of a different set of 60 distinct epigenetic recombinant inbred lines (</w:t>
      </w:r>
      <w:proofErr w:type="spellStart"/>
      <w:r w:rsidRPr="00543E14">
        <w:rPr>
          <w:rFonts w:eastAsia="Times New Roman"/>
          <w:sz w:val="24"/>
          <w:szCs w:val="24"/>
        </w:rPr>
        <w:t>epiRILs</w:t>
      </w:r>
      <w:proofErr w:type="spellEnd"/>
      <w:r w:rsidRPr="00543E14">
        <w:rPr>
          <w:rFonts w:eastAsia="Times New Roman"/>
          <w:sz w:val="24"/>
          <w:szCs w:val="24"/>
        </w:rPr>
        <w:t xml:space="preserve">) out of the 123 available </w:t>
      </w:r>
      <w:proofErr w:type="spellStart"/>
      <w:r w:rsidRPr="00543E14">
        <w:rPr>
          <w:rFonts w:eastAsia="Times New Roman"/>
          <w:sz w:val="24"/>
          <w:szCs w:val="24"/>
        </w:rPr>
        <w:t>epiRILs</w:t>
      </w:r>
      <w:proofErr w:type="spellEnd"/>
      <w:r w:rsidRPr="00543E14">
        <w:rPr>
          <w:rFonts w:eastAsia="Times New Roman"/>
          <w:sz w:val="24"/>
          <w:szCs w:val="24"/>
        </w:rPr>
        <w:t xml:space="preserve"> produced in </w:t>
      </w:r>
      <w:r w:rsidRPr="00543E14">
        <w:rPr>
          <w:rFonts w:eastAsia="Times New Roman"/>
          <w:i/>
          <w:sz w:val="24"/>
          <w:szCs w:val="24"/>
        </w:rPr>
        <w:t>A. thaliana</w:t>
      </w:r>
      <w:r w:rsidRPr="00543E14">
        <w:rPr>
          <w:rFonts w:eastAsia="Times New Roman"/>
          <w:sz w:val="24"/>
          <w:szCs w:val="24"/>
        </w:rPr>
        <w:t xml:space="preserve"> (17, see materials and methods for details). </w:t>
      </w:r>
    </w:p>
    <w:p w14:paraId="344EF472" w14:textId="16C0B720" w:rsidR="00543E14" w:rsidRPr="00543E14" w:rsidRDefault="00543E14" w:rsidP="00543E14">
      <w:pPr>
        <w:spacing w:after="100" w:afterAutospacing="1"/>
        <w:ind w:left="720"/>
        <w:rPr>
          <w:rFonts w:eastAsia="Times New Roman"/>
          <w:sz w:val="24"/>
          <w:szCs w:val="24"/>
        </w:rPr>
      </w:pPr>
      <w:r w:rsidRPr="00543E14">
        <w:rPr>
          <w:rFonts w:eastAsia="Times New Roman"/>
          <w:sz w:val="24"/>
          <w:szCs w:val="24"/>
        </w:rPr>
        <w:t xml:space="preserve">Molecular </w:t>
      </w:r>
      <w:proofErr w:type="spellStart"/>
      <w:r w:rsidRPr="00543E14">
        <w:rPr>
          <w:rFonts w:eastAsia="Times New Roman"/>
          <w:sz w:val="24"/>
          <w:szCs w:val="24"/>
        </w:rPr>
        <w:t>epigenomic</w:t>
      </w:r>
      <w:proofErr w:type="spellEnd"/>
      <w:r w:rsidRPr="00543E14">
        <w:rPr>
          <w:rFonts w:eastAsia="Times New Roman"/>
          <w:sz w:val="24"/>
          <w:szCs w:val="24"/>
        </w:rPr>
        <w:t xml:space="preserve"> sequence data covering the whole genome were used to confirm the integrity of the DMRs in the </w:t>
      </w:r>
      <w:proofErr w:type="spellStart"/>
      <w:r w:rsidRPr="00543E14">
        <w:rPr>
          <w:rFonts w:eastAsia="Times New Roman"/>
          <w:sz w:val="24"/>
          <w:szCs w:val="24"/>
        </w:rPr>
        <w:t>epiRILs</w:t>
      </w:r>
      <w:proofErr w:type="spellEnd"/>
      <w:r w:rsidRPr="00543E14">
        <w:rPr>
          <w:rFonts w:eastAsia="Times New Roman"/>
          <w:sz w:val="24"/>
          <w:szCs w:val="24"/>
        </w:rPr>
        <w:t xml:space="preserve"> on the basis of three biological replicates per </w:t>
      </w:r>
      <w:proofErr w:type="spellStart"/>
      <w:r w:rsidRPr="00543E14">
        <w:rPr>
          <w:rFonts w:eastAsia="Times New Roman"/>
          <w:sz w:val="24"/>
          <w:szCs w:val="24"/>
        </w:rPr>
        <w:t>epiRIL</w:t>
      </w:r>
      <w:proofErr w:type="spellEnd"/>
      <w:r w:rsidRPr="00543E14">
        <w:rPr>
          <w:rFonts w:eastAsia="Times New Roman"/>
          <w:sz w:val="24"/>
          <w:szCs w:val="24"/>
        </w:rPr>
        <w:t xml:space="preserve"> for 24 </w:t>
      </w:r>
      <w:proofErr w:type="spellStart"/>
      <w:r w:rsidRPr="00543E14">
        <w:rPr>
          <w:rFonts w:eastAsia="Times New Roman"/>
          <w:sz w:val="24"/>
          <w:szCs w:val="24"/>
        </w:rPr>
        <w:t>epiRILs</w:t>
      </w:r>
      <w:proofErr w:type="spellEnd"/>
      <w:r w:rsidRPr="00543E14">
        <w:rPr>
          <w:rFonts w:eastAsia="Times New Roman"/>
          <w:sz w:val="24"/>
          <w:szCs w:val="24"/>
        </w:rPr>
        <w:t xml:space="preserve">. This molecular analysis confirmed that </w:t>
      </w:r>
      <w:proofErr w:type="spellStart"/>
      <w:r w:rsidRPr="00543E14">
        <w:rPr>
          <w:rFonts w:eastAsia="Times New Roman"/>
          <w:sz w:val="24"/>
          <w:szCs w:val="24"/>
        </w:rPr>
        <w:t>epiRILs</w:t>
      </w:r>
      <w:proofErr w:type="spellEnd"/>
      <w:r w:rsidRPr="00543E14">
        <w:rPr>
          <w:rFonts w:eastAsia="Times New Roman"/>
          <w:sz w:val="24"/>
          <w:szCs w:val="24"/>
        </w:rPr>
        <w:t xml:space="preserve"> differed as </w:t>
      </w:r>
      <w:r w:rsidRPr="00543E14">
        <w:rPr>
          <w:rFonts w:eastAsia="Times New Roman"/>
          <w:sz w:val="24"/>
          <w:szCs w:val="24"/>
        </w:rPr>
        <w:lastRenderedPageBreak/>
        <w:t xml:space="preserve">expected by harboring DNA methylation polymorphism in the form of 126 Differentially Methylated Regions (DMRs) previously identified and whose stable inheritance is acknowledged (18, 20) (Figs. S1 and S2, Tables S1 and S2). Some of these 126 DMRs function as epigenetic quantitative trait loci (13) that underlie the variation of the four traits that we measured. Although we do not expect biomass, rosette diameter, flowering time and height to be independent at the phenotypic level, the extent to which their variation is associated with DNA methylation polymorphism was found to vary (20). In the two artificial populations, we found 14% to 25% variation (estimated by the coefficient of variation 100*SE/mean) in above-ground dry biomass (average ± SE in populations 1 and 2, respectively; 0.64 ± 0.09 g and 0.60 ± 0.15 g), 12% to 23% variation in rosette diameter (9.7 ± 1.12 cm and 7.7 ± 1.80 cm), 7% to 9% variation in flowering time (27.3 ± 1.92 d and 28.3 ± 2.4 d), and 21% to 23% variation in height at first fruit (12.1 ± 2.50 cm and 11.6 ± 2.69 cm). Thus, in accordance with the making of these experimental populations as different subsets of </w:t>
      </w:r>
      <w:proofErr w:type="spellStart"/>
      <w:r w:rsidRPr="00543E14">
        <w:rPr>
          <w:rFonts w:eastAsia="Times New Roman"/>
          <w:sz w:val="24"/>
          <w:szCs w:val="24"/>
        </w:rPr>
        <w:t>epiRILs</w:t>
      </w:r>
      <w:proofErr w:type="spellEnd"/>
      <w:r w:rsidRPr="00543E14">
        <w:rPr>
          <w:rFonts w:eastAsia="Times New Roman"/>
          <w:sz w:val="24"/>
          <w:szCs w:val="24"/>
        </w:rPr>
        <w:t>, we found phenotypic trait variation and epigenetic variation in each of these two populations.</w:t>
      </w:r>
    </w:p>
    <w:p w14:paraId="7BE10312" w14:textId="42A98FB8" w:rsidR="00543E14" w:rsidRDefault="00543E14" w:rsidP="00AC2069">
      <w:pPr>
        <w:spacing w:after="100" w:afterAutospacing="1"/>
        <w:ind w:left="720"/>
        <w:rPr>
          <w:rFonts w:eastAsia="Times New Roman"/>
          <w:sz w:val="24"/>
          <w:szCs w:val="24"/>
        </w:rPr>
      </w:pPr>
      <w:r w:rsidRPr="00543E14">
        <w:rPr>
          <w:rFonts w:eastAsia="Times New Roman"/>
          <w:sz w:val="24"/>
          <w:szCs w:val="24"/>
        </w:rPr>
        <w:t>DNA methylation stability</w:t>
      </w:r>
      <w:r w:rsidR="00FA13B0">
        <w:rPr>
          <w:rFonts w:eastAsia="Times New Roman"/>
          <w:sz w:val="24"/>
          <w:szCs w:val="24"/>
        </w:rPr>
        <w:t xml:space="preserve"> across generations</w:t>
      </w:r>
    </w:p>
    <w:p w14:paraId="3C921089" w14:textId="3D1DDD86" w:rsidR="00543E14" w:rsidRDefault="00543E14" w:rsidP="00AC2069">
      <w:pPr>
        <w:spacing w:after="100" w:afterAutospacing="1"/>
        <w:ind w:left="720"/>
        <w:rPr>
          <w:rFonts w:eastAsia="Times New Roman"/>
          <w:sz w:val="24"/>
          <w:szCs w:val="24"/>
        </w:rPr>
      </w:pPr>
      <w:r w:rsidRPr="00543E14">
        <w:rPr>
          <w:rFonts w:eastAsia="Times New Roman"/>
          <w:sz w:val="24"/>
          <w:szCs w:val="24"/>
        </w:rPr>
        <w:t>The potential lack of stability of DNA methylation across generations has raised the very question of their evolutionary significance as a source of variation subject to selection (21-24). Here, we conducted molecular correspondence analyses that confirmed the broad stability of the 126 DMRs. Stability of DNA methylation polymorphism was assessed by comparing the 126 DMRs (</w:t>
      </w:r>
      <w:proofErr w:type="spellStart"/>
      <w:r w:rsidR="00FA5948" w:rsidRPr="00FA5948">
        <w:rPr>
          <w:rFonts w:eastAsia="Times New Roman"/>
          <w:sz w:val="24"/>
          <w:szCs w:val="24"/>
        </w:rPr>
        <w:t>Colomé-Tatché</w:t>
      </w:r>
      <w:proofErr w:type="spellEnd"/>
      <w:r w:rsidR="00FA5948">
        <w:rPr>
          <w:rFonts w:eastAsia="Times New Roman"/>
          <w:sz w:val="24"/>
          <w:szCs w:val="24"/>
        </w:rPr>
        <w:t xml:space="preserve"> et al. 2012</w:t>
      </w:r>
      <w:r w:rsidRPr="00543E14">
        <w:rPr>
          <w:rFonts w:eastAsia="Times New Roman"/>
          <w:sz w:val="24"/>
          <w:szCs w:val="24"/>
        </w:rPr>
        <w:t xml:space="preserve">) between reference </w:t>
      </w:r>
      <w:proofErr w:type="spellStart"/>
      <w:r w:rsidRPr="00543E14">
        <w:rPr>
          <w:rFonts w:eastAsia="Times New Roman"/>
          <w:sz w:val="24"/>
          <w:szCs w:val="24"/>
        </w:rPr>
        <w:t>epiRILs</w:t>
      </w:r>
      <w:proofErr w:type="spellEnd"/>
      <w:r w:rsidRPr="00543E14">
        <w:rPr>
          <w:rFonts w:eastAsia="Times New Roman"/>
          <w:sz w:val="24"/>
          <w:szCs w:val="24"/>
        </w:rPr>
        <w:t xml:space="preserve"> established by Johannes et al. (</w:t>
      </w:r>
      <w:r w:rsidR="00FA5948">
        <w:rPr>
          <w:rFonts w:eastAsia="Times New Roman"/>
          <w:sz w:val="24"/>
          <w:szCs w:val="24"/>
        </w:rPr>
        <w:t>2009</w:t>
      </w:r>
      <w:r w:rsidRPr="00543E14">
        <w:rPr>
          <w:rFonts w:eastAsia="Times New Roman"/>
          <w:sz w:val="24"/>
          <w:szCs w:val="24"/>
        </w:rPr>
        <w:t xml:space="preserve">) and the same </w:t>
      </w:r>
      <w:proofErr w:type="spellStart"/>
      <w:r w:rsidRPr="00543E14">
        <w:rPr>
          <w:rFonts w:eastAsia="Times New Roman"/>
          <w:sz w:val="24"/>
          <w:szCs w:val="24"/>
        </w:rPr>
        <w:t>epiRILs</w:t>
      </w:r>
      <w:proofErr w:type="spellEnd"/>
      <w:r w:rsidRPr="00543E14">
        <w:rPr>
          <w:rFonts w:eastAsia="Times New Roman"/>
          <w:sz w:val="24"/>
          <w:szCs w:val="24"/>
        </w:rPr>
        <w:t xml:space="preserve"> used in our selection experiments</w:t>
      </w:r>
      <w:r w:rsidR="002158A5">
        <w:rPr>
          <w:rFonts w:eastAsia="Times New Roman"/>
          <w:sz w:val="24"/>
          <w:szCs w:val="24"/>
        </w:rPr>
        <w:t>, therefore</w:t>
      </w:r>
      <w:r w:rsidR="00DE4D61">
        <w:rPr>
          <w:rFonts w:eastAsia="Times New Roman"/>
          <w:sz w:val="24"/>
          <w:szCs w:val="24"/>
        </w:rPr>
        <w:t xml:space="preserve"> after regeneration</w:t>
      </w:r>
      <w:r w:rsidRPr="00543E14">
        <w:rPr>
          <w:rFonts w:eastAsia="Times New Roman"/>
          <w:sz w:val="24"/>
          <w:szCs w:val="24"/>
        </w:rPr>
        <w:t>. This comparison confirmed their molecular correspondence (Fig. S1). We used an Enzymatic Methyl-</w:t>
      </w:r>
      <w:proofErr w:type="spellStart"/>
      <w:r w:rsidRPr="00543E14">
        <w:rPr>
          <w:rFonts w:eastAsia="Times New Roman"/>
          <w:sz w:val="24"/>
          <w:szCs w:val="24"/>
        </w:rPr>
        <w:t>seq</w:t>
      </w:r>
      <w:proofErr w:type="spellEnd"/>
      <w:r w:rsidRPr="00543E14">
        <w:rPr>
          <w:rFonts w:eastAsia="Times New Roman"/>
          <w:sz w:val="24"/>
          <w:szCs w:val="24"/>
        </w:rPr>
        <w:t xml:space="preserve"> (EM-</w:t>
      </w:r>
      <w:proofErr w:type="spellStart"/>
      <w:r w:rsidRPr="00543E14">
        <w:rPr>
          <w:rFonts w:eastAsia="Times New Roman"/>
          <w:sz w:val="24"/>
          <w:szCs w:val="24"/>
        </w:rPr>
        <w:t>seq</w:t>
      </w:r>
      <w:proofErr w:type="spellEnd"/>
      <w:r w:rsidRPr="00543E14">
        <w:rPr>
          <w:rFonts w:eastAsia="Times New Roman"/>
          <w:sz w:val="24"/>
          <w:szCs w:val="24"/>
        </w:rPr>
        <w:t xml:space="preserve">, 26) molecular sequencing approach that provided us with the methylation status of the whole genome </w:t>
      </w:r>
      <w:proofErr w:type="spellStart"/>
      <w:r w:rsidRPr="00543E14">
        <w:rPr>
          <w:rFonts w:eastAsia="Times New Roman"/>
          <w:sz w:val="24"/>
          <w:szCs w:val="24"/>
        </w:rPr>
        <w:t>cytosines</w:t>
      </w:r>
      <w:proofErr w:type="spellEnd"/>
      <w:r w:rsidRPr="00543E14">
        <w:rPr>
          <w:rFonts w:eastAsia="Times New Roman"/>
          <w:sz w:val="24"/>
          <w:szCs w:val="24"/>
        </w:rPr>
        <w:t xml:space="preserve"> of 24 </w:t>
      </w:r>
      <w:proofErr w:type="spellStart"/>
      <w:r w:rsidRPr="00543E14">
        <w:rPr>
          <w:rFonts w:eastAsia="Times New Roman"/>
          <w:sz w:val="24"/>
          <w:szCs w:val="24"/>
        </w:rPr>
        <w:t>epiRILs</w:t>
      </w:r>
      <w:proofErr w:type="spellEnd"/>
      <w:r w:rsidRPr="00543E14">
        <w:rPr>
          <w:rFonts w:eastAsia="Times New Roman"/>
          <w:sz w:val="24"/>
          <w:szCs w:val="24"/>
        </w:rPr>
        <w:t xml:space="preserve"> (12 per experimental population) with a high sequencing coverage (see methods and Table S3). In plants, DNA methylation can occur in Cytosine-</w:t>
      </w:r>
      <w:proofErr w:type="gramStart"/>
      <w:r w:rsidRPr="00543E14">
        <w:rPr>
          <w:rFonts w:eastAsia="Times New Roman"/>
          <w:sz w:val="24"/>
          <w:szCs w:val="24"/>
        </w:rPr>
        <w:t>phosphate</w:t>
      </w:r>
      <w:proofErr w:type="gramEnd"/>
      <w:r w:rsidRPr="00543E14">
        <w:rPr>
          <w:rFonts w:eastAsia="Times New Roman"/>
          <w:sz w:val="24"/>
          <w:szCs w:val="24"/>
        </w:rPr>
        <w:t>-Guanine dinucleotides (</w:t>
      </w:r>
      <w:proofErr w:type="spellStart"/>
      <w:r w:rsidRPr="00543E14">
        <w:rPr>
          <w:rFonts w:eastAsia="Times New Roman"/>
          <w:sz w:val="24"/>
          <w:szCs w:val="24"/>
        </w:rPr>
        <w:t>CpG</w:t>
      </w:r>
      <w:proofErr w:type="spellEnd"/>
      <w:r w:rsidRPr="00543E14">
        <w:rPr>
          <w:rFonts w:eastAsia="Times New Roman"/>
          <w:sz w:val="24"/>
          <w:szCs w:val="24"/>
        </w:rPr>
        <w:t xml:space="preserve">), CHG and CHH contexts (H = A, T or C) (19). We found high molecular correspondence by using the overlapping probe classification approach developed by </w:t>
      </w:r>
      <w:proofErr w:type="spellStart"/>
      <w:r w:rsidRPr="00543E14">
        <w:rPr>
          <w:rFonts w:eastAsia="Times New Roman"/>
          <w:sz w:val="24"/>
          <w:szCs w:val="24"/>
        </w:rPr>
        <w:t>Colomé-Tatché</w:t>
      </w:r>
      <w:proofErr w:type="spellEnd"/>
      <w:r w:rsidRPr="00543E14">
        <w:rPr>
          <w:rFonts w:eastAsia="Times New Roman"/>
          <w:sz w:val="24"/>
          <w:szCs w:val="24"/>
        </w:rPr>
        <w:t xml:space="preserve"> et al. (</w:t>
      </w:r>
      <w:r w:rsidR="00FA5948">
        <w:rPr>
          <w:rFonts w:eastAsia="Times New Roman"/>
          <w:sz w:val="24"/>
          <w:szCs w:val="24"/>
        </w:rPr>
        <w:t>2012</w:t>
      </w:r>
      <w:r w:rsidRPr="00543E14">
        <w:rPr>
          <w:rFonts w:eastAsia="Times New Roman"/>
          <w:sz w:val="24"/>
          <w:szCs w:val="24"/>
        </w:rPr>
        <w:t xml:space="preserve">). This correspondence reached on average 87%, ranging from 69% to 97%, for the </w:t>
      </w:r>
      <w:proofErr w:type="spellStart"/>
      <w:r w:rsidRPr="00543E14">
        <w:rPr>
          <w:rFonts w:eastAsia="Times New Roman"/>
          <w:sz w:val="24"/>
          <w:szCs w:val="24"/>
        </w:rPr>
        <w:t>CpG</w:t>
      </w:r>
      <w:proofErr w:type="spellEnd"/>
      <w:r w:rsidRPr="00543E14">
        <w:rPr>
          <w:rFonts w:eastAsia="Times New Roman"/>
          <w:sz w:val="24"/>
          <w:szCs w:val="24"/>
        </w:rPr>
        <w:t xml:space="preserve"> methylation context and on average 86%, ranging from 64% to 98%, for the CHG methylation context (</w:t>
      </w:r>
      <w:r w:rsidRPr="00D649BD">
        <w:rPr>
          <w:rFonts w:eastAsia="Times New Roman"/>
          <w:sz w:val="24"/>
          <w:szCs w:val="24"/>
        </w:rPr>
        <w:t>Tables S</w:t>
      </w:r>
      <w:r w:rsidR="00D649BD" w:rsidRPr="00D649BD">
        <w:rPr>
          <w:rFonts w:eastAsia="Times New Roman"/>
          <w:sz w:val="24"/>
          <w:szCs w:val="24"/>
        </w:rPr>
        <w:t>1</w:t>
      </w:r>
      <w:r w:rsidRPr="00D649BD">
        <w:rPr>
          <w:rFonts w:eastAsia="Times New Roman"/>
          <w:sz w:val="24"/>
          <w:szCs w:val="24"/>
        </w:rPr>
        <w:t xml:space="preserve"> and S</w:t>
      </w:r>
      <w:r w:rsidR="00D649BD" w:rsidRPr="00D649BD">
        <w:rPr>
          <w:rFonts w:eastAsia="Times New Roman"/>
          <w:sz w:val="24"/>
          <w:szCs w:val="24"/>
        </w:rPr>
        <w:t>2</w:t>
      </w:r>
      <w:r w:rsidRPr="00D649BD">
        <w:rPr>
          <w:rFonts w:eastAsia="Times New Roman"/>
          <w:sz w:val="24"/>
          <w:szCs w:val="24"/>
        </w:rPr>
        <w:t>). We did not investigate the CHH methylation context because it presents a l</w:t>
      </w:r>
      <w:r w:rsidRPr="00543E14">
        <w:rPr>
          <w:rFonts w:eastAsia="Times New Roman"/>
          <w:sz w:val="24"/>
          <w:szCs w:val="24"/>
        </w:rPr>
        <w:t xml:space="preserve">ow methylation ratio, varies among cells, is often stochastic (27) and is less stable than </w:t>
      </w:r>
      <w:proofErr w:type="spellStart"/>
      <w:r w:rsidRPr="00543E14">
        <w:rPr>
          <w:rFonts w:eastAsia="Times New Roman"/>
          <w:sz w:val="24"/>
          <w:szCs w:val="24"/>
        </w:rPr>
        <w:t>CpG</w:t>
      </w:r>
      <w:proofErr w:type="spellEnd"/>
      <w:r w:rsidRPr="00543E14">
        <w:rPr>
          <w:rFonts w:eastAsia="Times New Roman"/>
          <w:sz w:val="24"/>
          <w:szCs w:val="24"/>
        </w:rPr>
        <w:t xml:space="preserve"> and CHG contexts (28), and was not available in the literature (</w:t>
      </w:r>
      <w:proofErr w:type="spellStart"/>
      <w:r w:rsidR="00FA5948" w:rsidRPr="00FA5948">
        <w:rPr>
          <w:rFonts w:eastAsia="Times New Roman"/>
          <w:sz w:val="24"/>
          <w:szCs w:val="24"/>
        </w:rPr>
        <w:t>Colomé-Tatché</w:t>
      </w:r>
      <w:proofErr w:type="spellEnd"/>
      <w:r w:rsidR="00FA5948">
        <w:rPr>
          <w:rFonts w:eastAsia="Times New Roman"/>
          <w:sz w:val="24"/>
          <w:szCs w:val="24"/>
        </w:rPr>
        <w:t xml:space="preserve"> et al. 2012</w:t>
      </w:r>
      <w:r w:rsidRPr="00543E14">
        <w:rPr>
          <w:rFonts w:eastAsia="Times New Roman"/>
          <w:sz w:val="24"/>
          <w:szCs w:val="24"/>
        </w:rPr>
        <w:t>). Additionally, we compared the EM-</w:t>
      </w:r>
      <w:proofErr w:type="spellStart"/>
      <w:r w:rsidRPr="00543E14">
        <w:rPr>
          <w:rFonts w:eastAsia="Times New Roman"/>
          <w:sz w:val="24"/>
          <w:szCs w:val="24"/>
        </w:rPr>
        <w:t>seq</w:t>
      </w:r>
      <w:proofErr w:type="spellEnd"/>
      <w:r w:rsidRPr="00543E14">
        <w:rPr>
          <w:rFonts w:eastAsia="Times New Roman"/>
          <w:sz w:val="24"/>
          <w:szCs w:val="24"/>
        </w:rPr>
        <w:t xml:space="preserve"> data of 126 DMRs with the published WGBS data available for eight </w:t>
      </w:r>
      <w:proofErr w:type="spellStart"/>
      <w:r w:rsidRPr="00543E14">
        <w:rPr>
          <w:rFonts w:eastAsia="Times New Roman"/>
          <w:sz w:val="24"/>
          <w:szCs w:val="24"/>
        </w:rPr>
        <w:t>epiRILs</w:t>
      </w:r>
      <w:proofErr w:type="spellEnd"/>
      <w:r w:rsidRPr="00543E14">
        <w:rPr>
          <w:rFonts w:eastAsia="Times New Roman"/>
          <w:sz w:val="24"/>
          <w:szCs w:val="24"/>
        </w:rPr>
        <w:t xml:space="preserve"> (29-31) (Fig. S2 and Table </w:t>
      </w:r>
      <w:r w:rsidRPr="00B34824">
        <w:rPr>
          <w:rFonts w:eastAsia="Times New Roman"/>
          <w:sz w:val="24"/>
          <w:szCs w:val="24"/>
        </w:rPr>
        <w:t>S</w:t>
      </w:r>
      <w:r w:rsidR="00B34824" w:rsidRPr="00B34824">
        <w:rPr>
          <w:rFonts w:eastAsia="Times New Roman"/>
          <w:sz w:val="24"/>
          <w:szCs w:val="24"/>
        </w:rPr>
        <w:t>4</w:t>
      </w:r>
      <w:r w:rsidRPr="00543E14">
        <w:rPr>
          <w:rFonts w:eastAsia="Times New Roman"/>
          <w:sz w:val="24"/>
          <w:szCs w:val="24"/>
        </w:rPr>
        <w:t xml:space="preserve">). We found an average correlation of 0.65 (ranging between 0.49 and 0.79) for the </w:t>
      </w:r>
      <w:proofErr w:type="spellStart"/>
      <w:r w:rsidRPr="00543E14">
        <w:rPr>
          <w:rFonts w:eastAsia="Times New Roman"/>
          <w:sz w:val="24"/>
          <w:szCs w:val="24"/>
        </w:rPr>
        <w:t>CpG</w:t>
      </w:r>
      <w:proofErr w:type="spellEnd"/>
      <w:r w:rsidRPr="00543E14">
        <w:rPr>
          <w:rFonts w:eastAsia="Times New Roman"/>
          <w:sz w:val="24"/>
          <w:szCs w:val="24"/>
        </w:rPr>
        <w:t xml:space="preserve"> context, and an average correlation of 0.73 (ranging between 0.64 and 0.79) for the CHG context. Furthermore, the hierarchical clustering analysis indicated a high similarity of the methylation in </w:t>
      </w:r>
      <w:proofErr w:type="spellStart"/>
      <w:r w:rsidRPr="00543E14">
        <w:rPr>
          <w:rFonts w:eastAsia="Times New Roman"/>
          <w:sz w:val="24"/>
          <w:szCs w:val="24"/>
        </w:rPr>
        <w:t>epiRILs</w:t>
      </w:r>
      <w:proofErr w:type="spellEnd"/>
      <w:r w:rsidRPr="00543E14">
        <w:rPr>
          <w:rFonts w:eastAsia="Times New Roman"/>
          <w:sz w:val="24"/>
          <w:szCs w:val="24"/>
        </w:rPr>
        <w:t xml:space="preserve"> sequenced by both EM-</w:t>
      </w:r>
      <w:proofErr w:type="spellStart"/>
      <w:r w:rsidRPr="00543E14">
        <w:rPr>
          <w:rFonts w:eastAsia="Times New Roman"/>
          <w:sz w:val="24"/>
          <w:szCs w:val="24"/>
        </w:rPr>
        <w:t>seq</w:t>
      </w:r>
      <w:proofErr w:type="spellEnd"/>
      <w:r w:rsidRPr="00543E14">
        <w:rPr>
          <w:rFonts w:eastAsia="Times New Roman"/>
          <w:sz w:val="24"/>
          <w:szCs w:val="24"/>
        </w:rPr>
        <w:t xml:space="preserve"> and WGBS approaches, with a high (0.89) </w:t>
      </w:r>
      <w:proofErr w:type="spellStart"/>
      <w:r w:rsidRPr="00543E14">
        <w:rPr>
          <w:rFonts w:eastAsia="Times New Roman"/>
          <w:sz w:val="24"/>
          <w:szCs w:val="24"/>
        </w:rPr>
        <w:t>cophenetic</w:t>
      </w:r>
      <w:proofErr w:type="spellEnd"/>
      <w:r w:rsidRPr="00543E14">
        <w:rPr>
          <w:rFonts w:eastAsia="Times New Roman"/>
          <w:sz w:val="24"/>
          <w:szCs w:val="24"/>
        </w:rPr>
        <w:t xml:space="preserve"> correlation coefficient (Fig. S2). Our results were coherent with the knowledge that </w:t>
      </w:r>
      <w:proofErr w:type="spellStart"/>
      <w:r w:rsidRPr="00543E14">
        <w:rPr>
          <w:rFonts w:eastAsia="Times New Roman"/>
          <w:sz w:val="24"/>
          <w:szCs w:val="24"/>
        </w:rPr>
        <w:t>hypomethylation</w:t>
      </w:r>
      <w:proofErr w:type="spellEnd"/>
      <w:r w:rsidRPr="00543E14">
        <w:rPr>
          <w:rFonts w:eastAsia="Times New Roman"/>
          <w:sz w:val="24"/>
          <w:szCs w:val="24"/>
        </w:rPr>
        <w:t xml:space="preserve"> is stable across generations in the </w:t>
      </w:r>
      <w:proofErr w:type="spellStart"/>
      <w:r w:rsidRPr="00543E14">
        <w:rPr>
          <w:rFonts w:eastAsia="Times New Roman"/>
          <w:sz w:val="24"/>
          <w:szCs w:val="24"/>
        </w:rPr>
        <w:t>CpG</w:t>
      </w:r>
      <w:proofErr w:type="spellEnd"/>
      <w:r w:rsidRPr="00543E14">
        <w:rPr>
          <w:rFonts w:eastAsia="Times New Roman"/>
          <w:sz w:val="24"/>
          <w:szCs w:val="24"/>
        </w:rPr>
        <w:t xml:space="preserve"> context (32) and with the stability of </w:t>
      </w:r>
      <w:proofErr w:type="spellStart"/>
      <w:r w:rsidRPr="00543E14">
        <w:rPr>
          <w:rFonts w:eastAsia="Times New Roman"/>
          <w:sz w:val="24"/>
          <w:szCs w:val="24"/>
        </w:rPr>
        <w:t>hypomethylation</w:t>
      </w:r>
      <w:proofErr w:type="spellEnd"/>
      <w:r w:rsidRPr="00543E14">
        <w:rPr>
          <w:rFonts w:eastAsia="Times New Roman"/>
          <w:sz w:val="24"/>
          <w:szCs w:val="24"/>
        </w:rPr>
        <w:t xml:space="preserve"> in the CHG context where molecular mechanisms driving modifications differ (33). Although the methylation status is known to be reversible in DMRs (34, 35), we detected a very small number of changes in the 126 DMRs, illustrating the broad stability across generations of DNA methylation polymorphism (Tables S1 and S2).</w:t>
      </w:r>
    </w:p>
    <w:p w14:paraId="4243816D" w14:textId="12F87F28" w:rsidR="00543E14" w:rsidRPr="00543E14" w:rsidRDefault="00543E14" w:rsidP="00543E14">
      <w:pPr>
        <w:spacing w:after="100" w:afterAutospacing="1"/>
        <w:ind w:left="720"/>
        <w:rPr>
          <w:rFonts w:eastAsia="Times New Roman"/>
          <w:sz w:val="24"/>
          <w:szCs w:val="24"/>
        </w:rPr>
      </w:pPr>
      <w:r w:rsidRPr="00543E14">
        <w:rPr>
          <w:rFonts w:eastAsia="Times New Roman"/>
          <w:sz w:val="24"/>
          <w:szCs w:val="24"/>
        </w:rPr>
        <w:lastRenderedPageBreak/>
        <w:t xml:space="preserve">DNA </w:t>
      </w:r>
      <w:proofErr w:type="spellStart"/>
      <w:r w:rsidRPr="00543E14">
        <w:rPr>
          <w:rFonts w:eastAsia="Times New Roman"/>
          <w:sz w:val="24"/>
          <w:szCs w:val="24"/>
        </w:rPr>
        <w:t>hypomethylation</w:t>
      </w:r>
      <w:proofErr w:type="spellEnd"/>
      <w:r w:rsidRPr="00543E14">
        <w:rPr>
          <w:rFonts w:eastAsia="Times New Roman"/>
          <w:sz w:val="24"/>
          <w:szCs w:val="24"/>
        </w:rPr>
        <w:t xml:space="preserve"> can release TEs that can potentially impact gene expression and compromise genome integrity (18, 35, 36). Novel TE insertions have been shown to contribute to phenotypic variability in </w:t>
      </w:r>
      <w:r w:rsidRPr="00543E14">
        <w:rPr>
          <w:rFonts w:eastAsia="Times New Roman"/>
          <w:i/>
          <w:sz w:val="24"/>
          <w:szCs w:val="24"/>
        </w:rPr>
        <w:t>A. thaliana</w:t>
      </w:r>
      <w:r w:rsidRPr="00543E14">
        <w:rPr>
          <w:rFonts w:eastAsia="Times New Roman"/>
          <w:sz w:val="24"/>
          <w:szCs w:val="24"/>
        </w:rPr>
        <w:t xml:space="preserve"> </w:t>
      </w:r>
      <w:proofErr w:type="spellStart"/>
      <w:r w:rsidRPr="00543E14">
        <w:rPr>
          <w:rFonts w:eastAsia="Times New Roman"/>
          <w:sz w:val="24"/>
          <w:szCs w:val="24"/>
        </w:rPr>
        <w:t>epiRIL</w:t>
      </w:r>
      <w:proofErr w:type="spellEnd"/>
      <w:r w:rsidRPr="00543E14">
        <w:rPr>
          <w:rFonts w:eastAsia="Times New Roman"/>
          <w:sz w:val="24"/>
          <w:szCs w:val="24"/>
        </w:rPr>
        <w:t xml:space="preserve"> populations (35, 37). However, several studies on </w:t>
      </w:r>
      <w:r w:rsidRPr="00543E14">
        <w:rPr>
          <w:rFonts w:eastAsia="Times New Roman"/>
          <w:i/>
          <w:sz w:val="24"/>
          <w:szCs w:val="24"/>
        </w:rPr>
        <w:t>A. thaliana</w:t>
      </w:r>
      <w:r w:rsidRPr="00543E14">
        <w:rPr>
          <w:rFonts w:eastAsia="Times New Roman"/>
          <w:sz w:val="24"/>
          <w:szCs w:val="24"/>
        </w:rPr>
        <w:t xml:space="preserve"> </w:t>
      </w:r>
      <w:proofErr w:type="spellStart"/>
      <w:r w:rsidRPr="00543E14">
        <w:rPr>
          <w:rFonts w:eastAsia="Times New Roman"/>
          <w:sz w:val="24"/>
          <w:szCs w:val="24"/>
        </w:rPr>
        <w:t>epiRILs</w:t>
      </w:r>
      <w:proofErr w:type="spellEnd"/>
      <w:r w:rsidRPr="00543E14">
        <w:rPr>
          <w:rFonts w:eastAsia="Times New Roman"/>
          <w:sz w:val="24"/>
          <w:szCs w:val="24"/>
        </w:rPr>
        <w:t xml:space="preserve"> however did not find that novel TE insertions contributed to phenotypic variation (13, 18, 29, 35, 39). These studies qualified these insertions as rare and random; most of them were found to be neutral (13, 23, 24, 39). Most of these insertions are described as private, i.e., found in a single </w:t>
      </w:r>
      <w:proofErr w:type="spellStart"/>
      <w:r w:rsidRPr="00543E14">
        <w:rPr>
          <w:rFonts w:eastAsia="Times New Roman"/>
          <w:sz w:val="24"/>
          <w:szCs w:val="24"/>
        </w:rPr>
        <w:t>epiRIL</w:t>
      </w:r>
      <w:proofErr w:type="spellEnd"/>
      <w:r w:rsidRPr="00543E14">
        <w:rPr>
          <w:rFonts w:eastAsia="Times New Roman"/>
          <w:sz w:val="24"/>
          <w:szCs w:val="24"/>
        </w:rPr>
        <w:t xml:space="preserve">, at the </w:t>
      </w:r>
      <w:proofErr w:type="spellStart"/>
      <w:r w:rsidRPr="00543E14">
        <w:rPr>
          <w:rFonts w:eastAsia="Times New Roman"/>
          <w:sz w:val="24"/>
          <w:szCs w:val="24"/>
        </w:rPr>
        <w:t>hemizygous</w:t>
      </w:r>
      <w:proofErr w:type="spellEnd"/>
      <w:r w:rsidRPr="00543E14">
        <w:rPr>
          <w:rFonts w:eastAsia="Times New Roman"/>
          <w:sz w:val="24"/>
          <w:szCs w:val="24"/>
        </w:rPr>
        <w:t xml:space="preserve"> state (24). </w:t>
      </w:r>
      <w:r w:rsidR="004617F6">
        <w:rPr>
          <w:rFonts w:eastAsia="Times New Roman"/>
          <w:sz w:val="24"/>
          <w:szCs w:val="24"/>
        </w:rPr>
        <w:t>TEs</w:t>
      </w:r>
      <w:r w:rsidRPr="00543E14">
        <w:rPr>
          <w:rFonts w:eastAsia="Times New Roman"/>
          <w:sz w:val="24"/>
          <w:szCs w:val="24"/>
        </w:rPr>
        <w:t xml:space="preserve"> are often considered not to affect estimates of phenotypic variation and DNA methylation polymorphism estimated on the basis of multiple </w:t>
      </w:r>
      <w:proofErr w:type="spellStart"/>
      <w:r w:rsidRPr="00543E14">
        <w:rPr>
          <w:rFonts w:eastAsia="Times New Roman"/>
          <w:sz w:val="24"/>
          <w:szCs w:val="24"/>
        </w:rPr>
        <w:t>epiRILs</w:t>
      </w:r>
      <w:proofErr w:type="spellEnd"/>
      <w:r w:rsidRPr="00543E14">
        <w:rPr>
          <w:rFonts w:eastAsia="Times New Roman"/>
          <w:sz w:val="24"/>
          <w:szCs w:val="24"/>
        </w:rPr>
        <w:t xml:space="preserve"> </w:t>
      </w:r>
      <w:r w:rsidR="004617F6">
        <w:rPr>
          <w:rFonts w:eastAsia="Times New Roman"/>
          <w:sz w:val="24"/>
          <w:szCs w:val="24"/>
        </w:rPr>
        <w:t xml:space="preserve">because their effect would be diluted in a population made of multiple </w:t>
      </w:r>
      <w:proofErr w:type="spellStart"/>
      <w:r w:rsidR="004617F6">
        <w:rPr>
          <w:rFonts w:eastAsia="Times New Roman"/>
          <w:sz w:val="24"/>
          <w:szCs w:val="24"/>
        </w:rPr>
        <w:t>epiRILs</w:t>
      </w:r>
      <w:proofErr w:type="spellEnd"/>
      <w:r w:rsidR="004617F6">
        <w:rPr>
          <w:rFonts w:eastAsia="Times New Roman"/>
          <w:sz w:val="24"/>
          <w:szCs w:val="24"/>
        </w:rPr>
        <w:t xml:space="preserve"> as a result of DMRs differing by definition between </w:t>
      </w:r>
      <w:proofErr w:type="spellStart"/>
      <w:r w:rsidR="004617F6">
        <w:rPr>
          <w:rFonts w:eastAsia="Times New Roman"/>
          <w:sz w:val="24"/>
          <w:szCs w:val="24"/>
        </w:rPr>
        <w:t>epiRILs</w:t>
      </w:r>
      <w:proofErr w:type="spellEnd"/>
      <w:r w:rsidR="004617F6">
        <w:rPr>
          <w:rFonts w:eastAsia="Times New Roman"/>
          <w:sz w:val="24"/>
          <w:szCs w:val="24"/>
        </w:rPr>
        <w:t xml:space="preserve"> </w:t>
      </w:r>
      <w:r w:rsidRPr="00543E14">
        <w:rPr>
          <w:rFonts w:eastAsia="Times New Roman"/>
          <w:sz w:val="24"/>
          <w:szCs w:val="24"/>
        </w:rPr>
        <w:t>(13, 22, 39</w:t>
      </w:r>
      <w:r w:rsidR="004617F6" w:rsidRPr="00543E14">
        <w:rPr>
          <w:rFonts w:eastAsia="Times New Roman"/>
          <w:sz w:val="24"/>
          <w:szCs w:val="24"/>
        </w:rPr>
        <w:t>)</w:t>
      </w:r>
      <w:r w:rsidR="004617F6">
        <w:rPr>
          <w:rFonts w:eastAsia="Times New Roman"/>
          <w:sz w:val="24"/>
          <w:szCs w:val="24"/>
        </w:rPr>
        <w:t xml:space="preserve">. Our </w:t>
      </w:r>
      <w:r w:rsidR="004617F6" w:rsidRPr="002C5B58">
        <w:rPr>
          <w:rFonts w:eastAsia="Times New Roman"/>
          <w:i/>
          <w:sz w:val="24"/>
          <w:szCs w:val="24"/>
        </w:rPr>
        <w:t xml:space="preserve">in </w:t>
      </w:r>
      <w:proofErr w:type="spellStart"/>
      <w:r w:rsidR="004617F6" w:rsidRPr="002C5B58">
        <w:rPr>
          <w:rFonts w:eastAsia="Times New Roman"/>
          <w:i/>
          <w:sz w:val="24"/>
          <w:szCs w:val="24"/>
        </w:rPr>
        <w:t>silico</w:t>
      </w:r>
      <w:proofErr w:type="spellEnd"/>
      <w:r w:rsidR="004617F6">
        <w:rPr>
          <w:rFonts w:eastAsia="Times New Roman"/>
          <w:sz w:val="24"/>
          <w:szCs w:val="24"/>
        </w:rPr>
        <w:t xml:space="preserve"> resampling approach also warrants our results against any bias produced by a given </w:t>
      </w:r>
      <w:proofErr w:type="spellStart"/>
      <w:r w:rsidR="004617F6">
        <w:rPr>
          <w:rFonts w:eastAsia="Times New Roman"/>
          <w:sz w:val="24"/>
          <w:szCs w:val="24"/>
        </w:rPr>
        <w:t>epiRIL</w:t>
      </w:r>
      <w:proofErr w:type="spellEnd"/>
      <w:r w:rsidR="004617F6">
        <w:rPr>
          <w:rFonts w:eastAsia="Times New Roman"/>
          <w:sz w:val="24"/>
          <w:szCs w:val="24"/>
        </w:rPr>
        <w:t xml:space="preserve"> by making any such potential effect infinitesimal. In the absence of resequencing approach, </w:t>
      </w:r>
      <w:r w:rsidRPr="00543E14">
        <w:rPr>
          <w:rFonts w:eastAsia="Times New Roman"/>
          <w:sz w:val="24"/>
          <w:szCs w:val="24"/>
        </w:rPr>
        <w:t xml:space="preserve">changes in copy numbers of private TE insertions </w:t>
      </w:r>
      <w:r w:rsidR="004617F6">
        <w:rPr>
          <w:rFonts w:eastAsia="Times New Roman"/>
          <w:sz w:val="24"/>
          <w:szCs w:val="24"/>
        </w:rPr>
        <w:t xml:space="preserve">affecting a given </w:t>
      </w:r>
      <w:proofErr w:type="spellStart"/>
      <w:r w:rsidR="004617F6">
        <w:rPr>
          <w:rFonts w:eastAsia="Times New Roman"/>
          <w:sz w:val="24"/>
          <w:szCs w:val="24"/>
        </w:rPr>
        <w:t>epiRIL</w:t>
      </w:r>
      <w:proofErr w:type="spellEnd"/>
      <w:r w:rsidR="004617F6">
        <w:rPr>
          <w:rFonts w:eastAsia="Times New Roman"/>
          <w:sz w:val="24"/>
          <w:szCs w:val="24"/>
        </w:rPr>
        <w:t xml:space="preserve"> </w:t>
      </w:r>
      <w:r w:rsidRPr="00543E14">
        <w:rPr>
          <w:rFonts w:eastAsia="Times New Roman"/>
          <w:sz w:val="24"/>
          <w:szCs w:val="24"/>
        </w:rPr>
        <w:t>phenotype</w:t>
      </w:r>
      <w:r w:rsidR="004617F6">
        <w:rPr>
          <w:rFonts w:eastAsia="Times New Roman"/>
          <w:sz w:val="24"/>
          <w:szCs w:val="24"/>
        </w:rPr>
        <w:t xml:space="preserve"> cannot be strictly excluded</w:t>
      </w:r>
      <w:r w:rsidRPr="00543E14">
        <w:rPr>
          <w:rFonts w:eastAsia="Times New Roman"/>
          <w:sz w:val="24"/>
          <w:szCs w:val="24"/>
        </w:rPr>
        <w:t>. Our results showed that over the 126 DMRs, which included protein coding genes, intergenic regions, and TEs, only 25 DMRs included potentially mobile TEs (23) that could affect traits of interest (24) (</w:t>
      </w:r>
      <w:r w:rsidR="00B34824" w:rsidRPr="00B34824">
        <w:rPr>
          <w:rFonts w:eastAsia="Times New Roman"/>
          <w:sz w:val="24"/>
          <w:szCs w:val="24"/>
        </w:rPr>
        <w:t>Table S5</w:t>
      </w:r>
      <w:r w:rsidRPr="00543E14">
        <w:rPr>
          <w:rFonts w:eastAsia="Times New Roman"/>
          <w:sz w:val="24"/>
          <w:szCs w:val="24"/>
        </w:rPr>
        <w:t xml:space="preserve">). We therefore identified methylation changes occurring at these 25 DMRs between the 24 </w:t>
      </w:r>
      <w:proofErr w:type="spellStart"/>
      <w:r w:rsidRPr="00543E14">
        <w:rPr>
          <w:rFonts w:eastAsia="Times New Roman"/>
          <w:sz w:val="24"/>
          <w:szCs w:val="24"/>
        </w:rPr>
        <w:t>epiRILs</w:t>
      </w:r>
      <w:proofErr w:type="spellEnd"/>
      <w:r w:rsidRPr="00543E14">
        <w:rPr>
          <w:rFonts w:eastAsia="Times New Roman"/>
          <w:sz w:val="24"/>
          <w:szCs w:val="24"/>
        </w:rPr>
        <w:t xml:space="preserve"> sequenced by the EM-</w:t>
      </w:r>
      <w:proofErr w:type="spellStart"/>
      <w:r w:rsidRPr="00543E14">
        <w:rPr>
          <w:rFonts w:eastAsia="Times New Roman"/>
          <w:sz w:val="24"/>
          <w:szCs w:val="24"/>
        </w:rPr>
        <w:t>seq</w:t>
      </w:r>
      <w:proofErr w:type="spellEnd"/>
      <w:r w:rsidRPr="00543E14">
        <w:rPr>
          <w:rFonts w:eastAsia="Times New Roman"/>
          <w:sz w:val="24"/>
          <w:szCs w:val="24"/>
        </w:rPr>
        <w:t xml:space="preserve"> approach and the same </w:t>
      </w:r>
      <w:proofErr w:type="spellStart"/>
      <w:r w:rsidRPr="00543E14">
        <w:rPr>
          <w:rFonts w:eastAsia="Times New Roman"/>
          <w:sz w:val="24"/>
          <w:szCs w:val="24"/>
        </w:rPr>
        <w:t>epiRILs</w:t>
      </w:r>
      <w:proofErr w:type="spellEnd"/>
      <w:r w:rsidRPr="00543E14">
        <w:rPr>
          <w:rFonts w:eastAsia="Times New Roman"/>
          <w:sz w:val="24"/>
          <w:szCs w:val="24"/>
        </w:rPr>
        <w:t xml:space="preserve"> from the reference </w:t>
      </w:r>
      <w:proofErr w:type="spellStart"/>
      <w:r w:rsidRPr="00543E14">
        <w:rPr>
          <w:rFonts w:eastAsia="Times New Roman"/>
          <w:sz w:val="24"/>
          <w:szCs w:val="24"/>
        </w:rPr>
        <w:t>epiRIL</w:t>
      </w:r>
      <w:proofErr w:type="spellEnd"/>
      <w:r w:rsidRPr="00543E14">
        <w:rPr>
          <w:rFonts w:eastAsia="Times New Roman"/>
          <w:sz w:val="24"/>
          <w:szCs w:val="24"/>
        </w:rPr>
        <w:t xml:space="preserve"> data established by Johannes et al. 2009 (18). Most of these DMRs did not change. Very few new </w:t>
      </w:r>
      <w:proofErr w:type="spellStart"/>
      <w:r w:rsidRPr="00543E14">
        <w:rPr>
          <w:rFonts w:eastAsia="Times New Roman"/>
          <w:sz w:val="24"/>
          <w:szCs w:val="24"/>
        </w:rPr>
        <w:t>hypomethylation</w:t>
      </w:r>
      <w:proofErr w:type="spellEnd"/>
      <w:r w:rsidRPr="00543E14">
        <w:rPr>
          <w:rFonts w:eastAsia="Times New Roman"/>
          <w:sz w:val="24"/>
          <w:szCs w:val="24"/>
        </w:rPr>
        <w:t xml:space="preserve"> changes occurred in these DMRs, a mean of 0.2% (ranging from 0% to 4%) in </w:t>
      </w:r>
      <w:proofErr w:type="spellStart"/>
      <w:r w:rsidRPr="00543E14">
        <w:rPr>
          <w:rFonts w:eastAsia="Times New Roman"/>
          <w:sz w:val="24"/>
          <w:szCs w:val="24"/>
        </w:rPr>
        <w:t>CpG</w:t>
      </w:r>
      <w:proofErr w:type="spellEnd"/>
      <w:r w:rsidRPr="00543E14">
        <w:rPr>
          <w:rFonts w:eastAsia="Times New Roman"/>
          <w:sz w:val="24"/>
          <w:szCs w:val="24"/>
        </w:rPr>
        <w:t xml:space="preserve"> context, and of 0.3% (ranging from 0% to 4%) in CHG context. On average 6.3% (ranging from 0% to 32%) of these DMRs in the CG context and 9.6% (ranging from 0% to 36%) of these DMRs in the CHG context reverted from a </w:t>
      </w:r>
      <w:proofErr w:type="spellStart"/>
      <w:r w:rsidRPr="00543E14">
        <w:rPr>
          <w:rFonts w:eastAsia="Times New Roman"/>
          <w:sz w:val="24"/>
          <w:szCs w:val="24"/>
        </w:rPr>
        <w:t>hypomethylated</w:t>
      </w:r>
      <w:proofErr w:type="spellEnd"/>
      <w:r w:rsidRPr="00543E14">
        <w:rPr>
          <w:rFonts w:eastAsia="Times New Roman"/>
          <w:sz w:val="24"/>
          <w:szCs w:val="24"/>
        </w:rPr>
        <w:t xml:space="preserve"> state to the wild-type methylation state that is known to silence TEs and therefore keep the integrity of the genome structure (Tables S1 and S2). One can nevertheless not exclude that high copy numbers of private TEs might affect the phenotype</w:t>
      </w:r>
      <w:r w:rsidR="004617F6">
        <w:rPr>
          <w:rFonts w:eastAsia="Times New Roman"/>
          <w:sz w:val="24"/>
          <w:szCs w:val="24"/>
        </w:rPr>
        <w:t xml:space="preserve"> of a given </w:t>
      </w:r>
      <w:proofErr w:type="spellStart"/>
      <w:r w:rsidR="004617F6">
        <w:rPr>
          <w:rFonts w:eastAsia="Times New Roman"/>
          <w:sz w:val="24"/>
          <w:szCs w:val="24"/>
        </w:rPr>
        <w:t>epiRIL</w:t>
      </w:r>
      <w:proofErr w:type="spellEnd"/>
      <w:r w:rsidR="004617F6">
        <w:rPr>
          <w:rFonts w:eastAsia="Times New Roman"/>
          <w:sz w:val="24"/>
          <w:szCs w:val="24"/>
        </w:rPr>
        <w:t xml:space="preserve"> even if as mentioned above, the likelihood is low and the potential effect greatly diluted by our resampling approach</w:t>
      </w:r>
      <w:r w:rsidRPr="00543E14">
        <w:rPr>
          <w:rFonts w:eastAsia="Times New Roman"/>
          <w:sz w:val="24"/>
          <w:szCs w:val="24"/>
        </w:rPr>
        <w:t xml:space="preserve">. Our selection experiment should therefore mostly target </w:t>
      </w:r>
      <w:proofErr w:type="spellStart"/>
      <w:r w:rsidRPr="00543E14">
        <w:rPr>
          <w:rFonts w:eastAsia="Times New Roman"/>
          <w:sz w:val="24"/>
          <w:szCs w:val="24"/>
        </w:rPr>
        <w:t>epiRIL</w:t>
      </w:r>
      <w:proofErr w:type="spellEnd"/>
      <w:r w:rsidRPr="00543E14">
        <w:rPr>
          <w:rFonts w:eastAsia="Times New Roman"/>
          <w:sz w:val="24"/>
          <w:szCs w:val="24"/>
        </w:rPr>
        <w:t xml:space="preserve"> phenotypic variation directly caused by DMRs but </w:t>
      </w:r>
      <w:r w:rsidR="004617F6">
        <w:rPr>
          <w:rFonts w:eastAsia="Times New Roman"/>
          <w:sz w:val="24"/>
          <w:szCs w:val="24"/>
        </w:rPr>
        <w:t>caution is necessary</w:t>
      </w:r>
      <w:r w:rsidR="004617F6" w:rsidRPr="00543E14">
        <w:rPr>
          <w:rFonts w:eastAsia="Times New Roman"/>
          <w:sz w:val="24"/>
          <w:szCs w:val="24"/>
        </w:rPr>
        <w:t xml:space="preserve"> </w:t>
      </w:r>
      <w:r w:rsidR="004617F6">
        <w:rPr>
          <w:rFonts w:eastAsia="Times New Roman"/>
          <w:sz w:val="24"/>
          <w:szCs w:val="24"/>
        </w:rPr>
        <w:t xml:space="preserve">because it may </w:t>
      </w:r>
      <w:r w:rsidRPr="00543E14">
        <w:rPr>
          <w:rFonts w:eastAsia="Times New Roman"/>
          <w:sz w:val="24"/>
          <w:szCs w:val="24"/>
        </w:rPr>
        <w:t xml:space="preserve">act occasionally on genomic variants caused by high copy number TEs, which release </w:t>
      </w:r>
      <w:r w:rsidR="004617F6">
        <w:rPr>
          <w:rFonts w:eastAsia="Times New Roman"/>
          <w:sz w:val="24"/>
          <w:szCs w:val="24"/>
        </w:rPr>
        <w:t>would</w:t>
      </w:r>
      <w:r w:rsidR="004617F6" w:rsidRPr="00543E14">
        <w:rPr>
          <w:rFonts w:eastAsia="Times New Roman"/>
          <w:sz w:val="24"/>
          <w:szCs w:val="24"/>
        </w:rPr>
        <w:t xml:space="preserve"> </w:t>
      </w:r>
      <w:r w:rsidR="004617F6">
        <w:rPr>
          <w:rFonts w:eastAsia="Times New Roman"/>
          <w:sz w:val="24"/>
          <w:szCs w:val="24"/>
        </w:rPr>
        <w:t xml:space="preserve">be </w:t>
      </w:r>
      <w:r w:rsidRPr="00543E14">
        <w:rPr>
          <w:rFonts w:eastAsia="Times New Roman"/>
          <w:sz w:val="24"/>
          <w:szCs w:val="24"/>
        </w:rPr>
        <w:t xml:space="preserve">due to </w:t>
      </w:r>
      <w:proofErr w:type="spellStart"/>
      <w:r w:rsidRPr="00543E14">
        <w:rPr>
          <w:rFonts w:eastAsia="Times New Roman"/>
          <w:sz w:val="24"/>
          <w:szCs w:val="24"/>
        </w:rPr>
        <w:t>hypomethylation</w:t>
      </w:r>
      <w:proofErr w:type="spellEnd"/>
      <w:r w:rsidRPr="00543E14">
        <w:rPr>
          <w:rFonts w:eastAsia="Times New Roman"/>
          <w:sz w:val="24"/>
          <w:szCs w:val="24"/>
        </w:rPr>
        <w:t>.</w:t>
      </w:r>
    </w:p>
    <w:p w14:paraId="2F4E8047" w14:textId="7A1E7924" w:rsidR="00543E14" w:rsidRDefault="00543E14" w:rsidP="00AC2069">
      <w:pPr>
        <w:spacing w:after="100" w:afterAutospacing="1"/>
        <w:ind w:left="720"/>
        <w:rPr>
          <w:rFonts w:eastAsia="Times New Roman"/>
          <w:sz w:val="24"/>
          <w:szCs w:val="24"/>
        </w:rPr>
      </w:pPr>
      <w:r w:rsidRPr="00543E14">
        <w:rPr>
          <w:rFonts w:eastAsia="Times New Roman"/>
          <w:sz w:val="24"/>
          <w:szCs w:val="24"/>
        </w:rPr>
        <w:t>Phenotypic response to selection</w:t>
      </w:r>
    </w:p>
    <w:p w14:paraId="285B7648" w14:textId="5E5AEEF5" w:rsidR="00543E14" w:rsidRDefault="00FA13B0" w:rsidP="00AC2069">
      <w:pPr>
        <w:spacing w:after="100" w:afterAutospacing="1"/>
        <w:ind w:left="720"/>
        <w:rPr>
          <w:rFonts w:eastAsia="Times New Roman"/>
          <w:sz w:val="24"/>
          <w:szCs w:val="24"/>
        </w:rPr>
      </w:pPr>
      <w:r w:rsidRPr="00FA13B0">
        <w:rPr>
          <w:rFonts w:eastAsia="Times New Roman"/>
          <w:sz w:val="24"/>
          <w:szCs w:val="24"/>
        </w:rPr>
        <w:t xml:space="preserve">Despite the absence of genetic variation, we tested whether each experimental population responded to directional selection for higher and lower trait values. We artificially selected plants based on their morphological (above ground biomass, rosette diameter, flowering time) and reproductive trait (flowering time, height of first silique) values independently in each population, and for each trait. We selected for upper and lower trait values in G0 plants and reproduced them to observe the response to selection in G1 plants. Typical selection experiments require to use different sets of plants; one for each selection trial based on a given trait. Here, we multiplied each G0 plant as if it had been positively selected for (three descendants per parent). As a result, we obtained a large number of plants in G1, so that we could build </w:t>
      </w:r>
      <w:r w:rsidRPr="00FA13B0">
        <w:rPr>
          <w:rFonts w:eastAsia="Times New Roman"/>
          <w:i/>
          <w:sz w:val="24"/>
          <w:szCs w:val="24"/>
        </w:rPr>
        <w:t xml:space="preserve">in </w:t>
      </w:r>
      <w:proofErr w:type="spellStart"/>
      <w:r w:rsidRPr="00FA13B0">
        <w:rPr>
          <w:rFonts w:eastAsia="Times New Roman"/>
          <w:i/>
          <w:sz w:val="24"/>
          <w:szCs w:val="24"/>
        </w:rPr>
        <w:t>silico</w:t>
      </w:r>
      <w:proofErr w:type="spellEnd"/>
      <w:r w:rsidRPr="00FA13B0">
        <w:rPr>
          <w:rFonts w:eastAsia="Times New Roman"/>
          <w:sz w:val="24"/>
          <w:szCs w:val="24"/>
        </w:rPr>
        <w:t xml:space="preserve"> the G1 dataset corresponding to a given selection intensity based on a given trait. For each population (n = 180 plants per population) and each trait, we randomly sampled a third of the plants to build a control group. We then selected the remaining upper and the lower third (weak selection line; n = 60) of plants in terms of trait values to comprise high and low selection lines (HSL and LSL, respectively), in each population and for each trait. In parallel, also between G0 and </w:t>
      </w:r>
      <w:r w:rsidRPr="00FA13B0">
        <w:rPr>
          <w:rFonts w:eastAsia="Times New Roman"/>
          <w:sz w:val="24"/>
          <w:szCs w:val="24"/>
        </w:rPr>
        <w:lastRenderedPageBreak/>
        <w:t>G1, we applied a stronger selection pressure by randomly sampling ca. 11% of the plants to build a control group and selecting the upper and lower ca. 11% (strong selection line; n = 20) of the remaining plants (Fig. 1a, b).</w:t>
      </w:r>
    </w:p>
    <w:p w14:paraId="765EDA11" w14:textId="6A017467" w:rsidR="00543E14" w:rsidRDefault="00151705" w:rsidP="00AC2069">
      <w:pPr>
        <w:spacing w:after="100" w:afterAutospacing="1"/>
        <w:ind w:left="720"/>
        <w:rPr>
          <w:rFonts w:eastAsia="Times New Roman"/>
          <w:sz w:val="24"/>
          <w:szCs w:val="24"/>
        </w:rPr>
      </w:pPr>
      <w:r w:rsidRPr="00151705">
        <w:rPr>
          <w:rFonts w:eastAsia="Times New Roman"/>
          <w:noProof/>
          <w:sz w:val="24"/>
          <w:szCs w:val="24"/>
          <w:lang w:val="fr-FR" w:eastAsia="fr-FR"/>
        </w:rPr>
        <w:drawing>
          <wp:inline distT="0" distB="0" distL="0" distR="0" wp14:anchorId="03166907" wp14:editId="218A463F">
            <wp:extent cx="5998845" cy="3525682"/>
            <wp:effectExtent l="0" t="0" r="1905" b="0"/>
            <wp:docPr id="9" name="Image 9" descr="C:\Users\Benoit\Desktop\MANUSCRIPT  SUBMITTED - PUJOL - Arabidopsis\Fig 1ab.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Benoit\Desktop\MANUSCRIPT  SUBMITTED - PUJOL - Arabidopsis\Fig 1ab.tif"/>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98845" cy="3525682"/>
                    </a:xfrm>
                    <a:prstGeom prst="rect">
                      <a:avLst/>
                    </a:prstGeom>
                    <a:noFill/>
                    <a:ln>
                      <a:noFill/>
                    </a:ln>
                  </pic:spPr>
                </pic:pic>
              </a:graphicData>
            </a:graphic>
          </wp:inline>
        </w:drawing>
      </w:r>
    </w:p>
    <w:p w14:paraId="0BCB0BBF" w14:textId="235593A1" w:rsidR="00543E14" w:rsidRPr="00FA13B0" w:rsidRDefault="00FA13B0" w:rsidP="00AC2069">
      <w:pPr>
        <w:spacing w:after="100" w:afterAutospacing="1"/>
        <w:ind w:left="720"/>
        <w:rPr>
          <w:rFonts w:ascii="Arial" w:eastAsia="Times New Roman" w:hAnsi="Arial" w:cs="Arial"/>
          <w:sz w:val="22"/>
          <w:szCs w:val="22"/>
        </w:rPr>
      </w:pPr>
      <w:r w:rsidRPr="00FA13B0">
        <w:rPr>
          <w:rFonts w:ascii="Arial" w:eastAsia="Times New Roman" w:hAnsi="Arial" w:cs="Arial"/>
          <w:b/>
          <w:sz w:val="22"/>
          <w:szCs w:val="22"/>
        </w:rPr>
        <w:t>Fig. 1. Selection experiment drives phenotypic trait changes.</w:t>
      </w:r>
      <w:r w:rsidRPr="00FA13B0">
        <w:rPr>
          <w:rFonts w:ascii="Arial" w:eastAsia="Times New Roman" w:hAnsi="Arial" w:cs="Arial"/>
          <w:sz w:val="22"/>
          <w:szCs w:val="22"/>
        </w:rPr>
        <w:t xml:space="preserve"> </w:t>
      </w:r>
      <w:r w:rsidR="00AA4F12">
        <w:rPr>
          <w:rFonts w:ascii="Arial" w:eastAsia="Times New Roman" w:hAnsi="Arial" w:cs="Arial"/>
          <w:b/>
          <w:sz w:val="22"/>
          <w:szCs w:val="22"/>
        </w:rPr>
        <w:t>A</w:t>
      </w:r>
      <w:r w:rsidRPr="00FA13B0">
        <w:rPr>
          <w:rFonts w:ascii="Arial" w:eastAsia="Times New Roman" w:hAnsi="Arial" w:cs="Arial"/>
          <w:sz w:val="22"/>
          <w:szCs w:val="22"/>
        </w:rPr>
        <w:t xml:space="preserve">, Plant experiment: Two sets of 60 different </w:t>
      </w:r>
      <w:proofErr w:type="spellStart"/>
      <w:r w:rsidRPr="00FA13B0">
        <w:rPr>
          <w:rFonts w:ascii="Arial" w:eastAsia="Times New Roman" w:hAnsi="Arial" w:cs="Arial"/>
          <w:sz w:val="22"/>
          <w:szCs w:val="22"/>
        </w:rPr>
        <w:t>epiRILs</w:t>
      </w:r>
      <w:proofErr w:type="spellEnd"/>
      <w:r w:rsidRPr="00FA13B0">
        <w:rPr>
          <w:rFonts w:ascii="Arial" w:eastAsia="Times New Roman" w:hAnsi="Arial" w:cs="Arial"/>
          <w:sz w:val="22"/>
          <w:szCs w:val="22"/>
        </w:rPr>
        <w:t xml:space="preserve"> (</w:t>
      </w:r>
      <w:r w:rsidRPr="00FA13B0">
        <w:rPr>
          <w:rFonts w:ascii="Arial" w:eastAsia="Times New Roman" w:hAnsi="Arial" w:cs="Arial"/>
          <w:i/>
          <w:sz w:val="22"/>
          <w:szCs w:val="22"/>
        </w:rPr>
        <w:t>Arabidopsis thaliana</w:t>
      </w:r>
      <w:r w:rsidRPr="00FA13B0">
        <w:rPr>
          <w:rFonts w:ascii="Arial" w:eastAsia="Times New Roman" w:hAnsi="Arial" w:cs="Arial"/>
          <w:sz w:val="22"/>
          <w:szCs w:val="22"/>
        </w:rPr>
        <w:t xml:space="preserve"> Col-ddm1) were randomly assembled to build the two different experimental populations that were cultivated at different periods in the cultivation chamber. Seeds from the collection were grown to produce a buffer generation without selection and generate the seeds used to grow G0 plants. G1 plants – the progeny of G0 – were produced by self-fertilization. </w:t>
      </w:r>
      <w:r w:rsidR="00AA4F12">
        <w:rPr>
          <w:rFonts w:ascii="Arial" w:eastAsia="Times New Roman" w:hAnsi="Arial" w:cs="Arial"/>
          <w:b/>
          <w:sz w:val="22"/>
          <w:szCs w:val="22"/>
        </w:rPr>
        <w:t>B</w:t>
      </w:r>
      <w:r w:rsidRPr="00FA13B0">
        <w:rPr>
          <w:rFonts w:ascii="Arial" w:eastAsia="Times New Roman" w:hAnsi="Arial" w:cs="Arial"/>
          <w:sz w:val="22"/>
          <w:szCs w:val="22"/>
        </w:rPr>
        <w:t>, Selection design: At G0, a control group was made of randomly selected plants. Plants with the highest and lowest trait values were respectively used to build the high and low selection lines. Weak and strong selection lines were respectively made up of 33% and 11% of the population. Corresponding progenies were used to build control groups and selection lines in G1, with differences between G1 lines reflecting responses to selection.</w:t>
      </w:r>
    </w:p>
    <w:p w14:paraId="2DEA9DFC" w14:textId="55293D25" w:rsidR="00543E14" w:rsidRPr="00FA13B0" w:rsidRDefault="00FA13B0" w:rsidP="002158A5">
      <w:pPr>
        <w:spacing w:after="100" w:afterAutospacing="1"/>
        <w:ind w:left="720"/>
        <w:rPr>
          <w:rFonts w:eastAsia="Times New Roman"/>
          <w:sz w:val="24"/>
          <w:szCs w:val="24"/>
        </w:rPr>
      </w:pPr>
      <w:r w:rsidRPr="00FA13B0">
        <w:rPr>
          <w:rFonts w:eastAsia="Times New Roman"/>
          <w:sz w:val="24"/>
          <w:szCs w:val="24"/>
        </w:rPr>
        <w:t xml:space="preserve">In the progeny, we found significant divergence in response to selection between high and low selection lines in terms of rosette diameter and height in both populations (Table 1). We found trait changes in response to selection for size traits in both replicate populations of </w:t>
      </w:r>
      <w:proofErr w:type="spellStart"/>
      <w:r w:rsidRPr="00FA13B0">
        <w:rPr>
          <w:rFonts w:eastAsia="Times New Roman"/>
          <w:sz w:val="24"/>
          <w:szCs w:val="24"/>
        </w:rPr>
        <w:t>epiRILs</w:t>
      </w:r>
      <w:proofErr w:type="spellEnd"/>
      <w:r w:rsidRPr="00FA13B0">
        <w:rPr>
          <w:rFonts w:eastAsia="Times New Roman"/>
          <w:sz w:val="24"/>
          <w:szCs w:val="24"/>
        </w:rPr>
        <w:t xml:space="preserve">, changes for flowering time, but not under every selection treatment, and no change for biomass. Statistical significance was established by lack of overlap between 95% Confidence Intervals (CIs) of trait means, which is a conservative approach (40). For each trait and selection strength, the 95% CIs were based on 1000 bootstraps generated in </w:t>
      </w:r>
      <w:proofErr w:type="spellStart"/>
      <w:r w:rsidRPr="00FA13B0">
        <w:rPr>
          <w:rFonts w:eastAsia="Times New Roman"/>
          <w:sz w:val="24"/>
          <w:szCs w:val="24"/>
        </w:rPr>
        <w:t>silico</w:t>
      </w:r>
      <w:proofErr w:type="spellEnd"/>
      <w:r w:rsidRPr="00FA13B0">
        <w:rPr>
          <w:rFonts w:eastAsia="Times New Roman"/>
          <w:sz w:val="24"/>
          <w:szCs w:val="24"/>
        </w:rPr>
        <w:t xml:space="preserve"> by 1000 independent random samples of the control group. For each randomly sampled control group, it was possible to establish the corresponding specific set of selection lines because we grew the progeny of every plant (Fig. 1A, see methods for details). As a result, potential biasing effects of random sampling, e.g., the weight of a given </w:t>
      </w:r>
      <w:proofErr w:type="spellStart"/>
      <w:r w:rsidRPr="00FA13B0">
        <w:rPr>
          <w:rFonts w:eastAsia="Times New Roman"/>
          <w:sz w:val="24"/>
          <w:szCs w:val="24"/>
        </w:rPr>
        <w:t>epiRIL</w:t>
      </w:r>
      <w:proofErr w:type="spellEnd"/>
      <w:r w:rsidRPr="00FA13B0">
        <w:rPr>
          <w:rFonts w:eastAsia="Times New Roman"/>
          <w:sz w:val="24"/>
          <w:szCs w:val="24"/>
        </w:rPr>
        <w:t xml:space="preserve">, could not affect our analyses of selection lines and control groups. Divergence was also found in most cases for the flowering time, with the exception of population 2 where it was non-significant after weak selection. No significant response to </w:t>
      </w:r>
      <w:r w:rsidRPr="00FA13B0">
        <w:rPr>
          <w:rFonts w:eastAsia="Times New Roman"/>
          <w:sz w:val="24"/>
          <w:szCs w:val="24"/>
        </w:rPr>
        <w:lastRenderedPageBreak/>
        <w:t xml:space="preserve">selection was detected for the above-ground biomass, in both populations at both selection intensities. The largest trait change after selection was found for height at first fruit, with a 16% reduction observed in the LSL and a 13% increase in the HSL, but most trait changes were around 3 to 8 percent (Table 1). Strong selection logically generated larger trait changes in response to selection, but also more variable and therefore less predictable selection responses (41), as illustrated by larger 95% CIs (Table </w:t>
      </w:r>
      <w:r w:rsidR="00451AF5">
        <w:rPr>
          <w:rFonts w:eastAsia="Times New Roman"/>
          <w:sz w:val="24"/>
          <w:szCs w:val="24"/>
        </w:rPr>
        <w:t>S6</w:t>
      </w:r>
      <w:r w:rsidRPr="00FA13B0">
        <w:rPr>
          <w:rFonts w:eastAsia="Times New Roman"/>
          <w:sz w:val="24"/>
          <w:szCs w:val="24"/>
        </w:rPr>
        <w:t xml:space="preserve">). Heritability was estimated as the proportion of phenotypic variation available for selection to act upon by using the breeder’s equation (42). It was absent for biomass, which had not changed in response to selection, but relatively high for height at first fruit, rosette diameter and flowering time (ranging from 0.13 to 0.63, Table 1), all of which changed after selection. These results corroborate previous work on the inheritance of </w:t>
      </w:r>
      <w:proofErr w:type="spellStart"/>
      <w:r w:rsidRPr="00FA13B0">
        <w:rPr>
          <w:rFonts w:eastAsia="Times New Roman"/>
          <w:sz w:val="24"/>
          <w:szCs w:val="24"/>
        </w:rPr>
        <w:t>epiRIL</w:t>
      </w:r>
      <w:proofErr w:type="spellEnd"/>
      <w:r w:rsidRPr="00FA13B0">
        <w:rPr>
          <w:rFonts w:eastAsia="Times New Roman"/>
          <w:sz w:val="24"/>
          <w:szCs w:val="24"/>
        </w:rPr>
        <w:t xml:space="preserve"> trait variation (large heritability of height and flowering time) or lack thereof (negligible heritability of dry biomass) (20). We also found surprising results because rosette diameter, which was originally expected to lack heritability based on previous work (20), showed some ability to change under selection, which indicates heritability. Heritability is the heritable part of phenotypic variation that is available to selection. Yet it is not rare to observe discrepancy between heritability estimates based on the phenotypic variation of related individuals and those based on the actual response to selection (43, 44).</w:t>
      </w:r>
    </w:p>
    <w:p w14:paraId="5B138C2D" w14:textId="4C7A8720" w:rsidR="00FA13B0" w:rsidRPr="00FA13B0" w:rsidRDefault="00FA13B0" w:rsidP="00AC2069">
      <w:pPr>
        <w:spacing w:after="100" w:afterAutospacing="1"/>
        <w:ind w:left="720"/>
        <w:rPr>
          <w:rFonts w:eastAsia="Times New Roman"/>
          <w:b/>
          <w:sz w:val="24"/>
          <w:szCs w:val="24"/>
        </w:rPr>
      </w:pPr>
      <w:r w:rsidRPr="00FA13B0">
        <w:rPr>
          <w:rFonts w:eastAsia="Times New Roman"/>
          <w:b/>
          <w:sz w:val="24"/>
          <w:szCs w:val="24"/>
        </w:rPr>
        <w:t>Table 1. Selection differential (S), response to selection (R) and heritabilit</w:t>
      </w:r>
      <w:r>
        <w:rPr>
          <w:rFonts w:eastAsia="Times New Roman"/>
          <w:b/>
          <w:sz w:val="24"/>
          <w:szCs w:val="24"/>
        </w:rPr>
        <w:t>y (h²) for every selection line.</w:t>
      </w:r>
    </w:p>
    <w:tbl>
      <w:tblPr>
        <w:tblpPr w:leftFromText="141" w:rightFromText="141" w:vertAnchor="text" w:horzAnchor="margin" w:tblpX="-709" w:tblpY="348"/>
        <w:tblW w:w="10490" w:type="dxa"/>
        <w:tblLayout w:type="fixed"/>
        <w:tblCellMar>
          <w:left w:w="70" w:type="dxa"/>
          <w:right w:w="70" w:type="dxa"/>
        </w:tblCellMar>
        <w:tblLook w:val="04A0" w:firstRow="1" w:lastRow="0" w:firstColumn="1" w:lastColumn="0" w:noHBand="0" w:noVBand="1"/>
      </w:tblPr>
      <w:tblGrid>
        <w:gridCol w:w="568"/>
        <w:gridCol w:w="1275"/>
        <w:gridCol w:w="685"/>
        <w:gridCol w:w="685"/>
        <w:gridCol w:w="685"/>
        <w:gridCol w:w="685"/>
        <w:gridCol w:w="685"/>
        <w:gridCol w:w="686"/>
        <w:gridCol w:w="709"/>
        <w:gridCol w:w="803"/>
        <w:gridCol w:w="756"/>
        <w:gridCol w:w="709"/>
        <w:gridCol w:w="803"/>
        <w:gridCol w:w="756"/>
      </w:tblGrid>
      <w:tr w:rsidR="00FA13B0" w:rsidRPr="00EC4A07" w14:paraId="48D2F65E" w14:textId="77777777" w:rsidTr="00AE0879">
        <w:trPr>
          <w:trHeight w:val="238"/>
        </w:trPr>
        <w:tc>
          <w:tcPr>
            <w:tcW w:w="568" w:type="dxa"/>
            <w:shd w:val="clear" w:color="auto" w:fill="auto"/>
            <w:vAlign w:val="center"/>
          </w:tcPr>
          <w:p w14:paraId="22F63C65" w14:textId="77777777" w:rsidR="00FA13B0" w:rsidRPr="00EC4A07" w:rsidRDefault="00FA13B0" w:rsidP="00AE0879">
            <w:pPr>
              <w:jc w:val="center"/>
              <w:rPr>
                <w:rFonts w:eastAsia="Times New Roman"/>
                <w:color w:val="000000"/>
                <w:sz w:val="24"/>
                <w:szCs w:val="24"/>
                <w:lang w:eastAsia="fr-FR"/>
              </w:rPr>
            </w:pPr>
          </w:p>
        </w:tc>
        <w:tc>
          <w:tcPr>
            <w:tcW w:w="1275" w:type="dxa"/>
            <w:tcBorders>
              <w:right w:val="single" w:sz="4" w:space="0" w:color="auto"/>
            </w:tcBorders>
            <w:shd w:val="clear" w:color="auto" w:fill="auto"/>
            <w:noWrap/>
            <w:vAlign w:val="center"/>
          </w:tcPr>
          <w:p w14:paraId="5B77AB02" w14:textId="77777777" w:rsidR="00FA13B0" w:rsidRPr="00EC4A07" w:rsidRDefault="00FA13B0" w:rsidP="00AE0879">
            <w:pPr>
              <w:jc w:val="center"/>
              <w:rPr>
                <w:rFonts w:eastAsia="Times New Roman"/>
                <w:color w:val="000000"/>
                <w:sz w:val="24"/>
                <w:szCs w:val="24"/>
                <w:lang w:eastAsia="fr-FR"/>
              </w:rPr>
            </w:pPr>
          </w:p>
        </w:tc>
        <w:tc>
          <w:tcPr>
            <w:tcW w:w="4111" w:type="dxa"/>
            <w:gridSpan w:val="6"/>
            <w:tcBorders>
              <w:top w:val="single" w:sz="4" w:space="0" w:color="auto"/>
              <w:left w:val="single" w:sz="4" w:space="0" w:color="auto"/>
              <w:bottom w:val="single" w:sz="4" w:space="0" w:color="auto"/>
              <w:right w:val="single" w:sz="4" w:space="0" w:color="auto"/>
            </w:tcBorders>
            <w:shd w:val="clear" w:color="auto" w:fill="auto"/>
            <w:noWrap/>
            <w:vAlign w:val="center"/>
          </w:tcPr>
          <w:p w14:paraId="18E84E09" w14:textId="77777777" w:rsidR="00FA13B0" w:rsidRPr="00EC4A07" w:rsidRDefault="00FA13B0" w:rsidP="00AE0879">
            <w:pPr>
              <w:jc w:val="center"/>
              <w:rPr>
                <w:rFonts w:eastAsia="Times New Roman"/>
                <w:color w:val="000000"/>
                <w:sz w:val="24"/>
                <w:szCs w:val="24"/>
                <w:lang w:eastAsia="fr-FR"/>
              </w:rPr>
            </w:pPr>
            <w:r w:rsidRPr="00EC4A07">
              <w:rPr>
                <w:rFonts w:eastAsia="Times New Roman"/>
                <w:color w:val="000000"/>
                <w:sz w:val="24"/>
                <w:szCs w:val="24"/>
                <w:lang w:eastAsia="fr-FR"/>
              </w:rPr>
              <w:t>Weak selection</w:t>
            </w:r>
          </w:p>
        </w:tc>
        <w:tc>
          <w:tcPr>
            <w:tcW w:w="4536" w:type="dxa"/>
            <w:gridSpan w:val="6"/>
            <w:tcBorders>
              <w:top w:val="single" w:sz="4" w:space="0" w:color="auto"/>
              <w:left w:val="single" w:sz="4" w:space="0" w:color="auto"/>
              <w:bottom w:val="single" w:sz="4" w:space="0" w:color="auto"/>
              <w:right w:val="single" w:sz="4" w:space="0" w:color="auto"/>
            </w:tcBorders>
            <w:shd w:val="clear" w:color="auto" w:fill="auto"/>
            <w:noWrap/>
            <w:vAlign w:val="center"/>
          </w:tcPr>
          <w:p w14:paraId="23066EBC" w14:textId="77777777" w:rsidR="00FA13B0" w:rsidRPr="00EC4A07" w:rsidRDefault="00FA13B0" w:rsidP="00AE0879">
            <w:pPr>
              <w:jc w:val="center"/>
              <w:rPr>
                <w:rFonts w:eastAsia="Times New Roman"/>
                <w:color w:val="000000"/>
                <w:sz w:val="24"/>
                <w:szCs w:val="24"/>
                <w:lang w:eastAsia="fr-FR"/>
              </w:rPr>
            </w:pPr>
            <w:r w:rsidRPr="00EC4A07">
              <w:rPr>
                <w:rFonts w:eastAsia="Times New Roman"/>
                <w:color w:val="000000"/>
                <w:sz w:val="24"/>
                <w:szCs w:val="24"/>
                <w:lang w:eastAsia="fr-FR"/>
              </w:rPr>
              <w:t>Strong selection</w:t>
            </w:r>
          </w:p>
        </w:tc>
      </w:tr>
      <w:tr w:rsidR="00FA13B0" w:rsidRPr="00EC4A07" w14:paraId="07D6A634" w14:textId="77777777" w:rsidTr="00AE0879">
        <w:trPr>
          <w:trHeight w:val="238"/>
        </w:trPr>
        <w:tc>
          <w:tcPr>
            <w:tcW w:w="568" w:type="dxa"/>
            <w:tcBorders>
              <w:bottom w:val="single" w:sz="4" w:space="0" w:color="auto"/>
            </w:tcBorders>
            <w:shd w:val="clear" w:color="auto" w:fill="auto"/>
            <w:vAlign w:val="center"/>
          </w:tcPr>
          <w:p w14:paraId="60424658" w14:textId="77777777" w:rsidR="00FA13B0" w:rsidRPr="00EC4A07" w:rsidRDefault="00FA13B0" w:rsidP="00AE0879">
            <w:pPr>
              <w:jc w:val="center"/>
              <w:rPr>
                <w:rFonts w:eastAsia="Times New Roman"/>
                <w:color w:val="000000"/>
                <w:sz w:val="24"/>
                <w:szCs w:val="24"/>
                <w:lang w:eastAsia="fr-FR"/>
              </w:rPr>
            </w:pPr>
          </w:p>
        </w:tc>
        <w:tc>
          <w:tcPr>
            <w:tcW w:w="1275" w:type="dxa"/>
            <w:tcBorders>
              <w:bottom w:val="single" w:sz="4" w:space="0" w:color="auto"/>
              <w:right w:val="single" w:sz="4" w:space="0" w:color="auto"/>
            </w:tcBorders>
            <w:shd w:val="clear" w:color="auto" w:fill="auto"/>
            <w:noWrap/>
            <w:vAlign w:val="center"/>
          </w:tcPr>
          <w:p w14:paraId="699181C5" w14:textId="77777777" w:rsidR="00FA13B0" w:rsidRPr="00EC4A07" w:rsidRDefault="00FA13B0" w:rsidP="00AE0879">
            <w:pPr>
              <w:jc w:val="center"/>
              <w:rPr>
                <w:rFonts w:eastAsia="Times New Roman"/>
                <w:color w:val="000000"/>
                <w:sz w:val="24"/>
                <w:szCs w:val="24"/>
                <w:lang w:eastAsia="fr-FR"/>
              </w:rPr>
            </w:pPr>
          </w:p>
        </w:tc>
        <w:tc>
          <w:tcPr>
            <w:tcW w:w="2055"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14:paraId="0E2C60AD" w14:textId="77777777" w:rsidR="00FA13B0" w:rsidRPr="00EC4A07" w:rsidRDefault="00FA13B0" w:rsidP="00AE0879">
            <w:pPr>
              <w:jc w:val="center"/>
              <w:rPr>
                <w:rFonts w:eastAsia="Times New Roman"/>
                <w:color w:val="000000"/>
                <w:sz w:val="24"/>
                <w:szCs w:val="24"/>
                <w:lang w:eastAsia="fr-FR"/>
              </w:rPr>
            </w:pPr>
            <w:r w:rsidRPr="00EC4A07">
              <w:rPr>
                <w:rFonts w:eastAsia="Times New Roman"/>
                <w:color w:val="000000"/>
                <w:sz w:val="24"/>
                <w:szCs w:val="24"/>
                <w:lang w:eastAsia="fr-FR"/>
              </w:rPr>
              <w:t>LSL</w:t>
            </w:r>
          </w:p>
        </w:tc>
        <w:tc>
          <w:tcPr>
            <w:tcW w:w="2056"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14:paraId="578574DC" w14:textId="77777777" w:rsidR="00FA13B0" w:rsidRPr="00EC4A07" w:rsidRDefault="00FA13B0" w:rsidP="00AE0879">
            <w:pPr>
              <w:jc w:val="center"/>
              <w:rPr>
                <w:rFonts w:eastAsia="Times New Roman"/>
                <w:color w:val="000000"/>
                <w:sz w:val="24"/>
                <w:szCs w:val="24"/>
                <w:lang w:eastAsia="fr-FR"/>
              </w:rPr>
            </w:pPr>
            <w:r w:rsidRPr="00EC4A07">
              <w:rPr>
                <w:rFonts w:eastAsia="Times New Roman"/>
                <w:color w:val="000000"/>
                <w:sz w:val="24"/>
                <w:szCs w:val="24"/>
                <w:lang w:eastAsia="fr-FR"/>
              </w:rPr>
              <w:t>HSL</w:t>
            </w:r>
          </w:p>
        </w:tc>
        <w:tc>
          <w:tcPr>
            <w:tcW w:w="2268"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14:paraId="35E0F59D" w14:textId="77777777" w:rsidR="00FA13B0" w:rsidRPr="00EC4A07" w:rsidRDefault="00FA13B0" w:rsidP="00AE0879">
            <w:pPr>
              <w:jc w:val="center"/>
              <w:rPr>
                <w:rFonts w:eastAsia="Times New Roman"/>
                <w:color w:val="000000"/>
                <w:sz w:val="24"/>
                <w:szCs w:val="24"/>
                <w:lang w:eastAsia="fr-FR"/>
              </w:rPr>
            </w:pPr>
            <w:r w:rsidRPr="00EC4A07">
              <w:rPr>
                <w:rFonts w:eastAsia="Times New Roman"/>
                <w:color w:val="000000"/>
                <w:sz w:val="24"/>
                <w:szCs w:val="24"/>
                <w:lang w:eastAsia="fr-FR"/>
              </w:rPr>
              <w:t>LSL</w:t>
            </w:r>
          </w:p>
        </w:tc>
        <w:tc>
          <w:tcPr>
            <w:tcW w:w="2268"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14:paraId="123B4BC6" w14:textId="77777777" w:rsidR="00FA13B0" w:rsidRPr="00EC4A07" w:rsidRDefault="00FA13B0" w:rsidP="00AE0879">
            <w:pPr>
              <w:jc w:val="center"/>
              <w:rPr>
                <w:rFonts w:eastAsia="Times New Roman"/>
                <w:color w:val="000000"/>
                <w:sz w:val="24"/>
                <w:szCs w:val="24"/>
                <w:lang w:eastAsia="fr-FR"/>
              </w:rPr>
            </w:pPr>
            <w:r w:rsidRPr="00EC4A07">
              <w:rPr>
                <w:rFonts w:eastAsia="Times New Roman"/>
                <w:color w:val="000000"/>
                <w:sz w:val="24"/>
                <w:szCs w:val="24"/>
                <w:lang w:eastAsia="fr-FR"/>
              </w:rPr>
              <w:t>HSL</w:t>
            </w:r>
          </w:p>
        </w:tc>
      </w:tr>
      <w:tr w:rsidR="00FA13B0" w:rsidRPr="00EC4A07" w14:paraId="1874408F" w14:textId="77777777" w:rsidTr="00AE0879">
        <w:trPr>
          <w:trHeight w:val="238"/>
        </w:trPr>
        <w:tc>
          <w:tcPr>
            <w:tcW w:w="568" w:type="dxa"/>
            <w:tcBorders>
              <w:top w:val="single" w:sz="4" w:space="0" w:color="auto"/>
              <w:left w:val="single" w:sz="4" w:space="0" w:color="auto"/>
              <w:bottom w:val="single" w:sz="4" w:space="0" w:color="auto"/>
              <w:right w:val="single" w:sz="4" w:space="0" w:color="auto"/>
            </w:tcBorders>
            <w:shd w:val="clear" w:color="auto" w:fill="auto"/>
            <w:vAlign w:val="center"/>
          </w:tcPr>
          <w:p w14:paraId="50B2C001" w14:textId="77777777" w:rsidR="00FA13B0" w:rsidRPr="00EC4A07" w:rsidRDefault="00FA13B0" w:rsidP="00AE0879">
            <w:pPr>
              <w:jc w:val="center"/>
              <w:rPr>
                <w:rFonts w:eastAsia="Times New Roman"/>
                <w:color w:val="000000"/>
                <w:sz w:val="24"/>
                <w:szCs w:val="24"/>
                <w:lang w:eastAsia="fr-FR"/>
              </w:rPr>
            </w:pPr>
            <w:r w:rsidRPr="00EC4A07">
              <w:rPr>
                <w:rFonts w:eastAsia="Times New Roman"/>
                <w:color w:val="000000"/>
                <w:sz w:val="24"/>
                <w:szCs w:val="24"/>
                <w:lang w:eastAsia="fr-FR"/>
              </w:rPr>
              <w:t>Pop</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47CB928" w14:textId="77777777" w:rsidR="00FA13B0" w:rsidRPr="00EC4A07" w:rsidRDefault="00FA13B0" w:rsidP="00AE0879">
            <w:pPr>
              <w:jc w:val="center"/>
              <w:rPr>
                <w:rFonts w:eastAsia="Times New Roman"/>
                <w:color w:val="000000"/>
                <w:sz w:val="24"/>
                <w:szCs w:val="24"/>
                <w:lang w:eastAsia="fr-FR"/>
              </w:rPr>
            </w:pPr>
            <w:r w:rsidRPr="00EC4A07">
              <w:rPr>
                <w:rFonts w:eastAsia="Times New Roman"/>
                <w:color w:val="000000"/>
                <w:sz w:val="24"/>
                <w:szCs w:val="24"/>
                <w:lang w:eastAsia="fr-FR"/>
              </w:rPr>
              <w:t>Trait</w:t>
            </w:r>
          </w:p>
        </w:tc>
        <w:tc>
          <w:tcPr>
            <w:tcW w:w="685" w:type="dxa"/>
            <w:tcBorders>
              <w:top w:val="single" w:sz="4" w:space="0" w:color="auto"/>
              <w:left w:val="single" w:sz="4" w:space="0" w:color="auto"/>
              <w:bottom w:val="single" w:sz="4" w:space="0" w:color="auto"/>
            </w:tcBorders>
            <w:shd w:val="clear" w:color="auto" w:fill="auto"/>
            <w:noWrap/>
            <w:vAlign w:val="center"/>
            <w:hideMark/>
          </w:tcPr>
          <w:p w14:paraId="6FD828B7" w14:textId="77777777" w:rsidR="00FA13B0" w:rsidRPr="00EC4A07" w:rsidRDefault="00FA13B0" w:rsidP="00AE0879">
            <w:pPr>
              <w:jc w:val="center"/>
              <w:rPr>
                <w:rFonts w:eastAsia="Times New Roman"/>
                <w:color w:val="000000"/>
                <w:sz w:val="24"/>
                <w:szCs w:val="24"/>
                <w:lang w:eastAsia="fr-FR"/>
              </w:rPr>
            </w:pPr>
            <w:r w:rsidRPr="00EC4A07">
              <w:rPr>
                <w:rFonts w:eastAsia="Times New Roman"/>
                <w:color w:val="000000"/>
                <w:sz w:val="24"/>
                <w:szCs w:val="24"/>
                <w:lang w:eastAsia="fr-FR"/>
              </w:rPr>
              <w:t>S</w:t>
            </w:r>
          </w:p>
        </w:tc>
        <w:tc>
          <w:tcPr>
            <w:tcW w:w="685" w:type="dxa"/>
            <w:tcBorders>
              <w:top w:val="single" w:sz="4" w:space="0" w:color="auto"/>
              <w:bottom w:val="single" w:sz="4" w:space="0" w:color="auto"/>
            </w:tcBorders>
            <w:shd w:val="clear" w:color="auto" w:fill="auto"/>
            <w:noWrap/>
            <w:vAlign w:val="center"/>
            <w:hideMark/>
          </w:tcPr>
          <w:p w14:paraId="529EF7FB" w14:textId="77777777" w:rsidR="00FA13B0" w:rsidRPr="00EC4A07" w:rsidRDefault="00FA13B0" w:rsidP="00AE0879">
            <w:pPr>
              <w:jc w:val="center"/>
              <w:rPr>
                <w:rFonts w:eastAsia="Times New Roman"/>
                <w:color w:val="000000"/>
                <w:sz w:val="24"/>
                <w:szCs w:val="24"/>
                <w:lang w:eastAsia="fr-FR"/>
              </w:rPr>
            </w:pPr>
            <w:r w:rsidRPr="00EC4A07">
              <w:rPr>
                <w:rFonts w:eastAsia="Times New Roman"/>
                <w:color w:val="000000"/>
                <w:sz w:val="24"/>
                <w:szCs w:val="24"/>
                <w:lang w:eastAsia="fr-FR"/>
              </w:rPr>
              <w:t>R</w:t>
            </w:r>
          </w:p>
        </w:tc>
        <w:tc>
          <w:tcPr>
            <w:tcW w:w="685" w:type="dxa"/>
            <w:tcBorders>
              <w:top w:val="single" w:sz="4" w:space="0" w:color="auto"/>
              <w:bottom w:val="single" w:sz="4" w:space="0" w:color="auto"/>
              <w:right w:val="single" w:sz="4" w:space="0" w:color="auto"/>
            </w:tcBorders>
            <w:shd w:val="clear" w:color="auto" w:fill="auto"/>
            <w:noWrap/>
            <w:vAlign w:val="center"/>
            <w:hideMark/>
          </w:tcPr>
          <w:p w14:paraId="379C29A2" w14:textId="77777777" w:rsidR="00FA13B0" w:rsidRPr="00EC4A07" w:rsidRDefault="00FA13B0" w:rsidP="00AE0879">
            <w:pPr>
              <w:jc w:val="center"/>
              <w:rPr>
                <w:rFonts w:eastAsia="Times New Roman"/>
                <w:color w:val="000000"/>
                <w:sz w:val="24"/>
                <w:szCs w:val="24"/>
                <w:lang w:eastAsia="fr-FR"/>
              </w:rPr>
            </w:pPr>
            <w:r w:rsidRPr="00EC4A07">
              <w:rPr>
                <w:rFonts w:eastAsia="Times New Roman"/>
                <w:color w:val="000000"/>
                <w:sz w:val="24"/>
                <w:szCs w:val="24"/>
                <w:lang w:eastAsia="fr-FR"/>
              </w:rPr>
              <w:t>H²</w:t>
            </w:r>
          </w:p>
        </w:tc>
        <w:tc>
          <w:tcPr>
            <w:tcW w:w="685" w:type="dxa"/>
            <w:tcBorders>
              <w:top w:val="single" w:sz="4" w:space="0" w:color="auto"/>
              <w:left w:val="single" w:sz="4" w:space="0" w:color="auto"/>
              <w:bottom w:val="single" w:sz="4" w:space="0" w:color="auto"/>
            </w:tcBorders>
            <w:shd w:val="clear" w:color="auto" w:fill="auto"/>
            <w:noWrap/>
            <w:vAlign w:val="center"/>
            <w:hideMark/>
          </w:tcPr>
          <w:p w14:paraId="7CF5F055" w14:textId="77777777" w:rsidR="00FA13B0" w:rsidRPr="00EC4A07" w:rsidRDefault="00FA13B0" w:rsidP="00AE0879">
            <w:pPr>
              <w:jc w:val="center"/>
              <w:rPr>
                <w:rFonts w:eastAsia="Times New Roman"/>
                <w:color w:val="000000"/>
                <w:sz w:val="24"/>
                <w:szCs w:val="24"/>
                <w:lang w:eastAsia="fr-FR"/>
              </w:rPr>
            </w:pPr>
            <w:r w:rsidRPr="00EC4A07">
              <w:rPr>
                <w:rFonts w:eastAsia="Times New Roman"/>
                <w:color w:val="000000"/>
                <w:sz w:val="24"/>
                <w:szCs w:val="24"/>
                <w:lang w:eastAsia="fr-FR"/>
              </w:rPr>
              <w:t>S</w:t>
            </w:r>
          </w:p>
        </w:tc>
        <w:tc>
          <w:tcPr>
            <w:tcW w:w="685" w:type="dxa"/>
            <w:tcBorders>
              <w:top w:val="single" w:sz="4" w:space="0" w:color="auto"/>
              <w:bottom w:val="single" w:sz="4" w:space="0" w:color="auto"/>
            </w:tcBorders>
            <w:shd w:val="clear" w:color="auto" w:fill="auto"/>
            <w:noWrap/>
            <w:vAlign w:val="center"/>
            <w:hideMark/>
          </w:tcPr>
          <w:p w14:paraId="0211EDD6" w14:textId="77777777" w:rsidR="00FA13B0" w:rsidRPr="00EC4A07" w:rsidRDefault="00FA13B0" w:rsidP="00AE0879">
            <w:pPr>
              <w:jc w:val="center"/>
              <w:rPr>
                <w:rFonts w:eastAsia="Times New Roman"/>
                <w:color w:val="000000"/>
                <w:sz w:val="24"/>
                <w:szCs w:val="24"/>
                <w:lang w:eastAsia="fr-FR"/>
              </w:rPr>
            </w:pPr>
            <w:r w:rsidRPr="00EC4A07">
              <w:rPr>
                <w:rFonts w:eastAsia="Times New Roman"/>
                <w:color w:val="000000"/>
                <w:sz w:val="24"/>
                <w:szCs w:val="24"/>
                <w:lang w:eastAsia="fr-FR"/>
              </w:rPr>
              <w:t>R</w:t>
            </w:r>
          </w:p>
        </w:tc>
        <w:tc>
          <w:tcPr>
            <w:tcW w:w="686" w:type="dxa"/>
            <w:tcBorders>
              <w:top w:val="single" w:sz="4" w:space="0" w:color="auto"/>
              <w:bottom w:val="single" w:sz="4" w:space="0" w:color="auto"/>
              <w:right w:val="single" w:sz="4" w:space="0" w:color="auto"/>
            </w:tcBorders>
            <w:shd w:val="clear" w:color="auto" w:fill="auto"/>
            <w:noWrap/>
            <w:vAlign w:val="center"/>
            <w:hideMark/>
          </w:tcPr>
          <w:p w14:paraId="04DDCF16" w14:textId="77777777" w:rsidR="00FA13B0" w:rsidRPr="00EC4A07" w:rsidRDefault="00FA13B0" w:rsidP="00AE0879">
            <w:pPr>
              <w:jc w:val="center"/>
              <w:rPr>
                <w:rFonts w:eastAsia="Times New Roman"/>
                <w:color w:val="000000"/>
                <w:sz w:val="24"/>
                <w:szCs w:val="24"/>
                <w:lang w:eastAsia="fr-FR"/>
              </w:rPr>
            </w:pPr>
            <w:r w:rsidRPr="00EC4A07">
              <w:rPr>
                <w:rFonts w:eastAsia="Times New Roman"/>
                <w:color w:val="000000"/>
                <w:sz w:val="24"/>
                <w:szCs w:val="24"/>
                <w:lang w:eastAsia="fr-FR"/>
              </w:rPr>
              <w:t>H²</w:t>
            </w:r>
          </w:p>
        </w:tc>
        <w:tc>
          <w:tcPr>
            <w:tcW w:w="709" w:type="dxa"/>
            <w:tcBorders>
              <w:top w:val="single" w:sz="4" w:space="0" w:color="auto"/>
              <w:left w:val="single" w:sz="4" w:space="0" w:color="auto"/>
              <w:bottom w:val="single" w:sz="4" w:space="0" w:color="auto"/>
            </w:tcBorders>
            <w:shd w:val="clear" w:color="auto" w:fill="auto"/>
            <w:noWrap/>
            <w:vAlign w:val="center"/>
            <w:hideMark/>
          </w:tcPr>
          <w:p w14:paraId="4C5E3624" w14:textId="77777777" w:rsidR="00FA13B0" w:rsidRPr="00EC4A07" w:rsidRDefault="00FA13B0" w:rsidP="00AE0879">
            <w:pPr>
              <w:jc w:val="center"/>
              <w:rPr>
                <w:rFonts w:eastAsia="Times New Roman"/>
                <w:color w:val="000000"/>
                <w:sz w:val="24"/>
                <w:szCs w:val="24"/>
                <w:lang w:eastAsia="fr-FR"/>
              </w:rPr>
            </w:pPr>
            <w:r w:rsidRPr="00EC4A07">
              <w:rPr>
                <w:rFonts w:eastAsia="Times New Roman"/>
                <w:color w:val="000000"/>
                <w:sz w:val="24"/>
                <w:szCs w:val="24"/>
                <w:lang w:eastAsia="fr-FR"/>
              </w:rPr>
              <w:t>S</w:t>
            </w:r>
          </w:p>
        </w:tc>
        <w:tc>
          <w:tcPr>
            <w:tcW w:w="803" w:type="dxa"/>
            <w:tcBorders>
              <w:top w:val="single" w:sz="4" w:space="0" w:color="auto"/>
              <w:bottom w:val="single" w:sz="4" w:space="0" w:color="auto"/>
            </w:tcBorders>
            <w:shd w:val="clear" w:color="auto" w:fill="auto"/>
            <w:noWrap/>
            <w:vAlign w:val="center"/>
            <w:hideMark/>
          </w:tcPr>
          <w:p w14:paraId="554FE7EC" w14:textId="77777777" w:rsidR="00FA13B0" w:rsidRPr="00EC4A07" w:rsidRDefault="00FA13B0" w:rsidP="00AE0879">
            <w:pPr>
              <w:jc w:val="center"/>
              <w:rPr>
                <w:rFonts w:eastAsia="Times New Roman"/>
                <w:color w:val="000000"/>
                <w:sz w:val="24"/>
                <w:szCs w:val="24"/>
                <w:lang w:eastAsia="fr-FR"/>
              </w:rPr>
            </w:pPr>
            <w:r w:rsidRPr="00EC4A07">
              <w:rPr>
                <w:rFonts w:eastAsia="Times New Roman"/>
                <w:color w:val="000000"/>
                <w:sz w:val="24"/>
                <w:szCs w:val="24"/>
                <w:lang w:eastAsia="fr-FR"/>
              </w:rPr>
              <w:t>R</w:t>
            </w:r>
          </w:p>
        </w:tc>
        <w:tc>
          <w:tcPr>
            <w:tcW w:w="756" w:type="dxa"/>
            <w:tcBorders>
              <w:top w:val="single" w:sz="4" w:space="0" w:color="auto"/>
              <w:bottom w:val="single" w:sz="4" w:space="0" w:color="auto"/>
              <w:right w:val="single" w:sz="4" w:space="0" w:color="auto"/>
            </w:tcBorders>
            <w:shd w:val="clear" w:color="auto" w:fill="auto"/>
            <w:noWrap/>
            <w:vAlign w:val="center"/>
            <w:hideMark/>
          </w:tcPr>
          <w:p w14:paraId="75812604" w14:textId="77777777" w:rsidR="00FA13B0" w:rsidRPr="00EC4A07" w:rsidRDefault="00FA13B0" w:rsidP="00AE0879">
            <w:pPr>
              <w:jc w:val="center"/>
              <w:rPr>
                <w:rFonts w:eastAsia="Times New Roman"/>
                <w:color w:val="000000"/>
                <w:sz w:val="24"/>
                <w:szCs w:val="24"/>
                <w:lang w:eastAsia="fr-FR"/>
              </w:rPr>
            </w:pPr>
            <w:r w:rsidRPr="00EC4A07">
              <w:rPr>
                <w:rFonts w:eastAsia="Times New Roman"/>
                <w:color w:val="000000"/>
                <w:sz w:val="24"/>
                <w:szCs w:val="24"/>
                <w:lang w:eastAsia="fr-FR"/>
              </w:rPr>
              <w:t>H²</w:t>
            </w:r>
          </w:p>
        </w:tc>
        <w:tc>
          <w:tcPr>
            <w:tcW w:w="709" w:type="dxa"/>
            <w:tcBorders>
              <w:top w:val="single" w:sz="4" w:space="0" w:color="auto"/>
              <w:left w:val="single" w:sz="4" w:space="0" w:color="auto"/>
              <w:bottom w:val="single" w:sz="4" w:space="0" w:color="auto"/>
            </w:tcBorders>
            <w:shd w:val="clear" w:color="auto" w:fill="auto"/>
            <w:noWrap/>
            <w:vAlign w:val="center"/>
            <w:hideMark/>
          </w:tcPr>
          <w:p w14:paraId="769C6D1F" w14:textId="77777777" w:rsidR="00FA13B0" w:rsidRPr="00EC4A07" w:rsidRDefault="00FA13B0" w:rsidP="00AE0879">
            <w:pPr>
              <w:jc w:val="center"/>
              <w:rPr>
                <w:rFonts w:eastAsia="Times New Roman"/>
                <w:color w:val="000000"/>
                <w:sz w:val="24"/>
                <w:szCs w:val="24"/>
                <w:lang w:eastAsia="fr-FR"/>
              </w:rPr>
            </w:pPr>
            <w:r w:rsidRPr="00EC4A07">
              <w:rPr>
                <w:rFonts w:eastAsia="Times New Roman"/>
                <w:color w:val="000000"/>
                <w:sz w:val="24"/>
                <w:szCs w:val="24"/>
                <w:lang w:eastAsia="fr-FR"/>
              </w:rPr>
              <w:t>S</w:t>
            </w:r>
          </w:p>
        </w:tc>
        <w:tc>
          <w:tcPr>
            <w:tcW w:w="803" w:type="dxa"/>
            <w:tcBorders>
              <w:top w:val="single" w:sz="4" w:space="0" w:color="auto"/>
              <w:bottom w:val="single" w:sz="4" w:space="0" w:color="auto"/>
            </w:tcBorders>
            <w:shd w:val="clear" w:color="auto" w:fill="auto"/>
            <w:noWrap/>
            <w:vAlign w:val="center"/>
            <w:hideMark/>
          </w:tcPr>
          <w:p w14:paraId="6A134043" w14:textId="77777777" w:rsidR="00FA13B0" w:rsidRPr="00EC4A07" w:rsidRDefault="00FA13B0" w:rsidP="00AE0879">
            <w:pPr>
              <w:jc w:val="center"/>
              <w:rPr>
                <w:rFonts w:eastAsia="Times New Roman"/>
                <w:color w:val="000000"/>
                <w:sz w:val="24"/>
                <w:szCs w:val="24"/>
                <w:lang w:eastAsia="fr-FR"/>
              </w:rPr>
            </w:pPr>
            <w:r w:rsidRPr="00EC4A07">
              <w:rPr>
                <w:rFonts w:eastAsia="Times New Roman"/>
                <w:color w:val="000000"/>
                <w:sz w:val="24"/>
                <w:szCs w:val="24"/>
                <w:lang w:eastAsia="fr-FR"/>
              </w:rPr>
              <w:t>R</w:t>
            </w:r>
          </w:p>
        </w:tc>
        <w:tc>
          <w:tcPr>
            <w:tcW w:w="756" w:type="dxa"/>
            <w:tcBorders>
              <w:top w:val="single" w:sz="4" w:space="0" w:color="auto"/>
              <w:bottom w:val="single" w:sz="4" w:space="0" w:color="auto"/>
              <w:right w:val="single" w:sz="4" w:space="0" w:color="auto"/>
            </w:tcBorders>
            <w:shd w:val="clear" w:color="auto" w:fill="auto"/>
            <w:noWrap/>
            <w:vAlign w:val="center"/>
            <w:hideMark/>
          </w:tcPr>
          <w:p w14:paraId="7F9529DF" w14:textId="77777777" w:rsidR="00FA13B0" w:rsidRPr="00EC4A07" w:rsidRDefault="00FA13B0" w:rsidP="00AE0879">
            <w:pPr>
              <w:jc w:val="center"/>
              <w:rPr>
                <w:rFonts w:eastAsia="Times New Roman"/>
                <w:color w:val="000000"/>
                <w:sz w:val="24"/>
                <w:szCs w:val="24"/>
                <w:lang w:eastAsia="fr-FR"/>
              </w:rPr>
            </w:pPr>
            <w:r w:rsidRPr="00EC4A07">
              <w:rPr>
                <w:rFonts w:eastAsia="Times New Roman"/>
                <w:color w:val="000000"/>
                <w:sz w:val="24"/>
                <w:szCs w:val="24"/>
                <w:lang w:eastAsia="fr-FR"/>
              </w:rPr>
              <w:t>H²</w:t>
            </w:r>
          </w:p>
        </w:tc>
      </w:tr>
      <w:tr w:rsidR="00FA13B0" w:rsidRPr="00EC4A07" w14:paraId="7299B929" w14:textId="77777777" w:rsidTr="00AE0879">
        <w:trPr>
          <w:trHeight w:val="238"/>
        </w:trPr>
        <w:tc>
          <w:tcPr>
            <w:tcW w:w="568" w:type="dxa"/>
            <w:tcBorders>
              <w:top w:val="single" w:sz="4" w:space="0" w:color="auto"/>
              <w:left w:val="single" w:sz="4" w:space="0" w:color="auto"/>
              <w:right w:val="single" w:sz="4" w:space="0" w:color="auto"/>
            </w:tcBorders>
            <w:shd w:val="clear" w:color="auto" w:fill="auto"/>
            <w:vAlign w:val="center"/>
          </w:tcPr>
          <w:p w14:paraId="3EDD5AD5" w14:textId="77777777" w:rsidR="00FA13B0" w:rsidRPr="00EC4A07" w:rsidRDefault="00FA13B0" w:rsidP="00AE0879">
            <w:pPr>
              <w:jc w:val="center"/>
              <w:rPr>
                <w:rFonts w:eastAsia="Times New Roman"/>
                <w:color w:val="000000"/>
                <w:sz w:val="24"/>
                <w:szCs w:val="24"/>
                <w:lang w:eastAsia="fr-FR"/>
              </w:rPr>
            </w:pPr>
            <w:r w:rsidRPr="00EC4A07">
              <w:rPr>
                <w:rFonts w:eastAsia="Times New Roman"/>
                <w:color w:val="000000"/>
                <w:sz w:val="24"/>
                <w:szCs w:val="24"/>
                <w:lang w:eastAsia="fr-FR"/>
              </w:rPr>
              <w:t>1</w:t>
            </w:r>
          </w:p>
          <w:p w14:paraId="4CF26FA6" w14:textId="77777777" w:rsidR="00FA13B0" w:rsidRPr="00EC4A07" w:rsidRDefault="00FA13B0" w:rsidP="00AE0879">
            <w:pPr>
              <w:jc w:val="center"/>
              <w:rPr>
                <w:rFonts w:eastAsia="Times New Roman"/>
                <w:color w:val="000000"/>
                <w:sz w:val="24"/>
                <w:szCs w:val="24"/>
                <w:lang w:eastAsia="fr-FR"/>
              </w:rPr>
            </w:pPr>
          </w:p>
        </w:tc>
        <w:tc>
          <w:tcPr>
            <w:tcW w:w="1275" w:type="dxa"/>
            <w:tcBorders>
              <w:top w:val="single" w:sz="4" w:space="0" w:color="auto"/>
              <w:left w:val="single" w:sz="4" w:space="0" w:color="auto"/>
              <w:right w:val="single" w:sz="4" w:space="0" w:color="auto"/>
            </w:tcBorders>
            <w:shd w:val="clear" w:color="auto" w:fill="auto"/>
            <w:noWrap/>
            <w:vAlign w:val="center"/>
            <w:hideMark/>
          </w:tcPr>
          <w:p w14:paraId="0BB21E15" w14:textId="77777777" w:rsidR="00FA13B0" w:rsidRPr="00EC4A07" w:rsidRDefault="00FA13B0" w:rsidP="00AE0879">
            <w:pPr>
              <w:jc w:val="center"/>
              <w:rPr>
                <w:rFonts w:eastAsia="Times New Roman"/>
                <w:color w:val="000000" w:themeColor="text1"/>
                <w:sz w:val="24"/>
                <w:szCs w:val="24"/>
                <w:lang w:eastAsia="fr-FR"/>
              </w:rPr>
            </w:pPr>
          </w:p>
          <w:p w14:paraId="4B38B8E3"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Biomass</w:t>
            </w:r>
          </w:p>
          <w:p w14:paraId="5A19AB37" w14:textId="77777777" w:rsidR="00FA13B0" w:rsidRPr="00EC4A07" w:rsidRDefault="00FA13B0" w:rsidP="00AE0879">
            <w:pPr>
              <w:jc w:val="center"/>
              <w:rPr>
                <w:rFonts w:eastAsia="Times New Roman"/>
                <w:color w:val="000000" w:themeColor="text1"/>
                <w:sz w:val="24"/>
                <w:szCs w:val="24"/>
                <w:lang w:eastAsia="fr-FR"/>
              </w:rPr>
            </w:pPr>
          </w:p>
        </w:tc>
        <w:tc>
          <w:tcPr>
            <w:tcW w:w="685" w:type="dxa"/>
            <w:tcBorders>
              <w:top w:val="single" w:sz="4" w:space="0" w:color="auto"/>
              <w:left w:val="single" w:sz="4" w:space="0" w:color="auto"/>
            </w:tcBorders>
            <w:shd w:val="clear" w:color="auto" w:fill="auto"/>
            <w:noWrap/>
            <w:vAlign w:val="center"/>
            <w:hideMark/>
          </w:tcPr>
          <w:p w14:paraId="25CA3326"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0.07</w:t>
            </w:r>
          </w:p>
        </w:tc>
        <w:tc>
          <w:tcPr>
            <w:tcW w:w="685" w:type="dxa"/>
            <w:tcBorders>
              <w:top w:val="single" w:sz="4" w:space="0" w:color="auto"/>
            </w:tcBorders>
            <w:shd w:val="clear" w:color="auto" w:fill="auto"/>
            <w:noWrap/>
            <w:vAlign w:val="center"/>
            <w:hideMark/>
          </w:tcPr>
          <w:p w14:paraId="59190E4C"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NS</w:t>
            </w:r>
          </w:p>
        </w:tc>
        <w:tc>
          <w:tcPr>
            <w:tcW w:w="685" w:type="dxa"/>
            <w:tcBorders>
              <w:top w:val="single" w:sz="4" w:space="0" w:color="auto"/>
              <w:right w:val="single" w:sz="4" w:space="0" w:color="auto"/>
            </w:tcBorders>
            <w:shd w:val="clear" w:color="auto" w:fill="auto"/>
            <w:noWrap/>
            <w:vAlign w:val="center"/>
            <w:hideMark/>
          </w:tcPr>
          <w:p w14:paraId="31465D1E"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N/A</w:t>
            </w:r>
          </w:p>
        </w:tc>
        <w:tc>
          <w:tcPr>
            <w:tcW w:w="685" w:type="dxa"/>
            <w:tcBorders>
              <w:top w:val="single" w:sz="4" w:space="0" w:color="auto"/>
              <w:left w:val="single" w:sz="4" w:space="0" w:color="auto"/>
            </w:tcBorders>
            <w:shd w:val="clear" w:color="auto" w:fill="auto"/>
            <w:noWrap/>
            <w:vAlign w:val="center"/>
            <w:hideMark/>
          </w:tcPr>
          <w:p w14:paraId="736F03C3"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0.07</w:t>
            </w:r>
          </w:p>
        </w:tc>
        <w:tc>
          <w:tcPr>
            <w:tcW w:w="685" w:type="dxa"/>
            <w:tcBorders>
              <w:top w:val="single" w:sz="4" w:space="0" w:color="auto"/>
            </w:tcBorders>
            <w:shd w:val="clear" w:color="auto" w:fill="auto"/>
            <w:noWrap/>
            <w:vAlign w:val="center"/>
            <w:hideMark/>
          </w:tcPr>
          <w:p w14:paraId="04F05511"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NS</w:t>
            </w:r>
          </w:p>
        </w:tc>
        <w:tc>
          <w:tcPr>
            <w:tcW w:w="686" w:type="dxa"/>
            <w:tcBorders>
              <w:top w:val="single" w:sz="4" w:space="0" w:color="auto"/>
              <w:right w:val="single" w:sz="4" w:space="0" w:color="auto"/>
            </w:tcBorders>
            <w:shd w:val="clear" w:color="auto" w:fill="auto"/>
            <w:noWrap/>
            <w:vAlign w:val="center"/>
            <w:hideMark/>
          </w:tcPr>
          <w:p w14:paraId="12FC1F28"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N/A</w:t>
            </w:r>
          </w:p>
        </w:tc>
        <w:tc>
          <w:tcPr>
            <w:tcW w:w="709" w:type="dxa"/>
            <w:tcBorders>
              <w:top w:val="single" w:sz="4" w:space="0" w:color="auto"/>
              <w:left w:val="single" w:sz="4" w:space="0" w:color="auto"/>
            </w:tcBorders>
            <w:shd w:val="clear" w:color="auto" w:fill="auto"/>
            <w:noWrap/>
            <w:vAlign w:val="center"/>
            <w:hideMark/>
          </w:tcPr>
          <w:p w14:paraId="6D43FAED"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0.16</w:t>
            </w:r>
          </w:p>
        </w:tc>
        <w:tc>
          <w:tcPr>
            <w:tcW w:w="803" w:type="dxa"/>
            <w:tcBorders>
              <w:top w:val="single" w:sz="4" w:space="0" w:color="auto"/>
            </w:tcBorders>
            <w:shd w:val="clear" w:color="auto" w:fill="auto"/>
            <w:noWrap/>
            <w:vAlign w:val="center"/>
            <w:hideMark/>
          </w:tcPr>
          <w:p w14:paraId="63FE352E"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NS</w:t>
            </w:r>
          </w:p>
        </w:tc>
        <w:tc>
          <w:tcPr>
            <w:tcW w:w="756" w:type="dxa"/>
            <w:tcBorders>
              <w:top w:val="single" w:sz="4" w:space="0" w:color="auto"/>
              <w:right w:val="single" w:sz="4" w:space="0" w:color="auto"/>
            </w:tcBorders>
            <w:shd w:val="clear" w:color="auto" w:fill="auto"/>
            <w:noWrap/>
            <w:vAlign w:val="center"/>
            <w:hideMark/>
          </w:tcPr>
          <w:p w14:paraId="2A4B12E2"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N/A</w:t>
            </w:r>
          </w:p>
        </w:tc>
        <w:tc>
          <w:tcPr>
            <w:tcW w:w="709" w:type="dxa"/>
            <w:tcBorders>
              <w:top w:val="single" w:sz="4" w:space="0" w:color="auto"/>
              <w:left w:val="single" w:sz="4" w:space="0" w:color="auto"/>
            </w:tcBorders>
            <w:shd w:val="clear" w:color="auto" w:fill="auto"/>
            <w:noWrap/>
            <w:vAlign w:val="center"/>
            <w:hideMark/>
          </w:tcPr>
          <w:p w14:paraId="1D203488"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0.14</w:t>
            </w:r>
          </w:p>
        </w:tc>
        <w:tc>
          <w:tcPr>
            <w:tcW w:w="803" w:type="dxa"/>
            <w:tcBorders>
              <w:top w:val="single" w:sz="4" w:space="0" w:color="auto"/>
            </w:tcBorders>
            <w:shd w:val="clear" w:color="auto" w:fill="auto"/>
            <w:noWrap/>
            <w:vAlign w:val="center"/>
            <w:hideMark/>
          </w:tcPr>
          <w:p w14:paraId="778C035E"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NS</w:t>
            </w:r>
          </w:p>
        </w:tc>
        <w:tc>
          <w:tcPr>
            <w:tcW w:w="756" w:type="dxa"/>
            <w:tcBorders>
              <w:top w:val="single" w:sz="4" w:space="0" w:color="auto"/>
              <w:right w:val="single" w:sz="4" w:space="0" w:color="auto"/>
            </w:tcBorders>
            <w:shd w:val="clear" w:color="auto" w:fill="auto"/>
            <w:noWrap/>
            <w:vAlign w:val="center"/>
            <w:hideMark/>
          </w:tcPr>
          <w:p w14:paraId="516A35AB"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N/A</w:t>
            </w:r>
          </w:p>
        </w:tc>
      </w:tr>
      <w:tr w:rsidR="00FA13B0" w:rsidRPr="00EC4A07" w14:paraId="0974B324" w14:textId="77777777" w:rsidTr="00AE0879">
        <w:trPr>
          <w:trHeight w:val="238"/>
        </w:trPr>
        <w:tc>
          <w:tcPr>
            <w:tcW w:w="568" w:type="dxa"/>
            <w:tcBorders>
              <w:left w:val="single" w:sz="4" w:space="0" w:color="auto"/>
              <w:right w:val="single" w:sz="4" w:space="0" w:color="auto"/>
            </w:tcBorders>
            <w:shd w:val="clear" w:color="auto" w:fill="auto"/>
            <w:vAlign w:val="center"/>
          </w:tcPr>
          <w:p w14:paraId="0E614425" w14:textId="77777777" w:rsidR="00FA13B0" w:rsidRPr="00EC4A07" w:rsidRDefault="00FA13B0" w:rsidP="00AE0879">
            <w:pPr>
              <w:jc w:val="center"/>
              <w:rPr>
                <w:rFonts w:eastAsia="Times New Roman"/>
                <w:color w:val="000000"/>
                <w:sz w:val="24"/>
                <w:szCs w:val="24"/>
                <w:lang w:eastAsia="fr-FR"/>
              </w:rPr>
            </w:pPr>
          </w:p>
        </w:tc>
        <w:tc>
          <w:tcPr>
            <w:tcW w:w="1275" w:type="dxa"/>
            <w:tcBorders>
              <w:left w:val="single" w:sz="4" w:space="0" w:color="auto"/>
              <w:right w:val="single" w:sz="4" w:space="0" w:color="auto"/>
            </w:tcBorders>
            <w:shd w:val="clear" w:color="auto" w:fill="auto"/>
            <w:noWrap/>
            <w:vAlign w:val="center"/>
            <w:hideMark/>
          </w:tcPr>
          <w:p w14:paraId="448008CC" w14:textId="77777777" w:rsidR="00FA13B0" w:rsidRPr="00EC4A07" w:rsidRDefault="00FA13B0" w:rsidP="00AE0879">
            <w:pPr>
              <w:jc w:val="center"/>
              <w:rPr>
                <w:rFonts w:eastAsia="Times New Roman"/>
                <w:color w:val="000000" w:themeColor="text1"/>
                <w:sz w:val="24"/>
                <w:szCs w:val="24"/>
                <w:lang w:eastAsia="fr-FR"/>
              </w:rPr>
            </w:pPr>
          </w:p>
          <w:p w14:paraId="7EDE4D47"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Diameter</w:t>
            </w:r>
          </w:p>
          <w:p w14:paraId="31478E76" w14:textId="77777777" w:rsidR="00FA13B0" w:rsidRPr="00EC4A07" w:rsidRDefault="00FA13B0" w:rsidP="00AE0879">
            <w:pPr>
              <w:jc w:val="center"/>
              <w:rPr>
                <w:rFonts w:eastAsia="Times New Roman"/>
                <w:color w:val="000000" w:themeColor="text1"/>
                <w:sz w:val="24"/>
                <w:szCs w:val="24"/>
                <w:lang w:eastAsia="fr-FR"/>
              </w:rPr>
            </w:pPr>
          </w:p>
        </w:tc>
        <w:tc>
          <w:tcPr>
            <w:tcW w:w="685" w:type="dxa"/>
            <w:tcBorders>
              <w:left w:val="single" w:sz="4" w:space="0" w:color="auto"/>
            </w:tcBorders>
            <w:shd w:val="clear" w:color="auto" w:fill="auto"/>
            <w:noWrap/>
            <w:vAlign w:val="center"/>
            <w:hideMark/>
          </w:tcPr>
          <w:p w14:paraId="21310D7A"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0.87</w:t>
            </w:r>
          </w:p>
        </w:tc>
        <w:tc>
          <w:tcPr>
            <w:tcW w:w="685" w:type="dxa"/>
            <w:shd w:val="clear" w:color="auto" w:fill="auto"/>
            <w:noWrap/>
            <w:vAlign w:val="center"/>
            <w:hideMark/>
          </w:tcPr>
          <w:p w14:paraId="71DEB52B"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0.42 (5%)</w:t>
            </w:r>
          </w:p>
        </w:tc>
        <w:tc>
          <w:tcPr>
            <w:tcW w:w="685" w:type="dxa"/>
            <w:tcBorders>
              <w:right w:val="single" w:sz="4" w:space="0" w:color="auto"/>
            </w:tcBorders>
            <w:shd w:val="clear" w:color="auto" w:fill="auto"/>
            <w:noWrap/>
            <w:vAlign w:val="center"/>
            <w:hideMark/>
          </w:tcPr>
          <w:p w14:paraId="07D92723"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0.48</w:t>
            </w:r>
          </w:p>
        </w:tc>
        <w:tc>
          <w:tcPr>
            <w:tcW w:w="685" w:type="dxa"/>
            <w:tcBorders>
              <w:left w:val="single" w:sz="4" w:space="0" w:color="auto"/>
            </w:tcBorders>
            <w:shd w:val="clear" w:color="auto" w:fill="auto"/>
            <w:noWrap/>
            <w:vAlign w:val="center"/>
            <w:hideMark/>
          </w:tcPr>
          <w:p w14:paraId="30BF2E93"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0.89</w:t>
            </w:r>
          </w:p>
        </w:tc>
        <w:tc>
          <w:tcPr>
            <w:tcW w:w="685" w:type="dxa"/>
            <w:shd w:val="clear" w:color="auto" w:fill="auto"/>
            <w:noWrap/>
            <w:vAlign w:val="center"/>
            <w:hideMark/>
          </w:tcPr>
          <w:p w14:paraId="316A9478"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0.41 (5%)</w:t>
            </w:r>
          </w:p>
        </w:tc>
        <w:tc>
          <w:tcPr>
            <w:tcW w:w="686" w:type="dxa"/>
            <w:tcBorders>
              <w:right w:val="single" w:sz="4" w:space="0" w:color="auto"/>
            </w:tcBorders>
            <w:shd w:val="clear" w:color="auto" w:fill="auto"/>
            <w:noWrap/>
            <w:vAlign w:val="center"/>
            <w:hideMark/>
          </w:tcPr>
          <w:p w14:paraId="60CE9BFB"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0.46</w:t>
            </w:r>
          </w:p>
        </w:tc>
        <w:tc>
          <w:tcPr>
            <w:tcW w:w="709" w:type="dxa"/>
            <w:tcBorders>
              <w:left w:val="single" w:sz="4" w:space="0" w:color="auto"/>
            </w:tcBorders>
            <w:shd w:val="clear" w:color="auto" w:fill="auto"/>
            <w:noWrap/>
            <w:vAlign w:val="center"/>
            <w:hideMark/>
          </w:tcPr>
          <w:p w14:paraId="7142C499"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1.90</w:t>
            </w:r>
          </w:p>
        </w:tc>
        <w:tc>
          <w:tcPr>
            <w:tcW w:w="803" w:type="dxa"/>
            <w:shd w:val="clear" w:color="auto" w:fill="auto"/>
            <w:noWrap/>
            <w:vAlign w:val="center"/>
            <w:hideMark/>
          </w:tcPr>
          <w:p w14:paraId="297D084F"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0.59 (7%)</w:t>
            </w:r>
          </w:p>
        </w:tc>
        <w:tc>
          <w:tcPr>
            <w:tcW w:w="756" w:type="dxa"/>
            <w:tcBorders>
              <w:right w:val="single" w:sz="4" w:space="0" w:color="auto"/>
            </w:tcBorders>
            <w:shd w:val="clear" w:color="auto" w:fill="auto"/>
            <w:noWrap/>
            <w:vAlign w:val="center"/>
            <w:hideMark/>
          </w:tcPr>
          <w:p w14:paraId="3CB499BD"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0.31</w:t>
            </w:r>
          </w:p>
        </w:tc>
        <w:tc>
          <w:tcPr>
            <w:tcW w:w="709" w:type="dxa"/>
            <w:tcBorders>
              <w:left w:val="single" w:sz="4" w:space="0" w:color="auto"/>
            </w:tcBorders>
            <w:shd w:val="clear" w:color="auto" w:fill="auto"/>
            <w:noWrap/>
            <w:vAlign w:val="center"/>
            <w:hideMark/>
          </w:tcPr>
          <w:p w14:paraId="777AB5BB"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1.74</w:t>
            </w:r>
          </w:p>
        </w:tc>
        <w:tc>
          <w:tcPr>
            <w:tcW w:w="803" w:type="dxa"/>
            <w:shd w:val="clear" w:color="auto" w:fill="auto"/>
            <w:noWrap/>
            <w:vAlign w:val="center"/>
            <w:hideMark/>
          </w:tcPr>
          <w:p w14:paraId="399AD17A"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0.66 (8%)</w:t>
            </w:r>
          </w:p>
        </w:tc>
        <w:tc>
          <w:tcPr>
            <w:tcW w:w="756" w:type="dxa"/>
            <w:tcBorders>
              <w:right w:val="single" w:sz="4" w:space="0" w:color="auto"/>
            </w:tcBorders>
            <w:shd w:val="clear" w:color="auto" w:fill="auto"/>
            <w:noWrap/>
            <w:vAlign w:val="center"/>
            <w:hideMark/>
          </w:tcPr>
          <w:p w14:paraId="0363099E"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0.38</w:t>
            </w:r>
          </w:p>
        </w:tc>
      </w:tr>
      <w:tr w:rsidR="00FA13B0" w:rsidRPr="00EC4A07" w14:paraId="531DE639" w14:textId="77777777" w:rsidTr="00AE0879">
        <w:trPr>
          <w:trHeight w:val="238"/>
        </w:trPr>
        <w:tc>
          <w:tcPr>
            <w:tcW w:w="568" w:type="dxa"/>
            <w:tcBorders>
              <w:left w:val="single" w:sz="4" w:space="0" w:color="auto"/>
              <w:right w:val="single" w:sz="4" w:space="0" w:color="auto"/>
            </w:tcBorders>
            <w:shd w:val="clear" w:color="auto" w:fill="auto"/>
            <w:vAlign w:val="center"/>
          </w:tcPr>
          <w:p w14:paraId="5D091D28" w14:textId="77777777" w:rsidR="00FA13B0" w:rsidRPr="00EC4A07" w:rsidRDefault="00FA13B0" w:rsidP="00AE0879">
            <w:pPr>
              <w:jc w:val="center"/>
              <w:rPr>
                <w:rFonts w:eastAsia="Times New Roman"/>
                <w:color w:val="FF0000"/>
                <w:sz w:val="24"/>
                <w:szCs w:val="24"/>
                <w:lang w:eastAsia="fr-FR"/>
              </w:rPr>
            </w:pPr>
          </w:p>
        </w:tc>
        <w:tc>
          <w:tcPr>
            <w:tcW w:w="1275" w:type="dxa"/>
            <w:tcBorders>
              <w:left w:val="single" w:sz="4" w:space="0" w:color="auto"/>
              <w:right w:val="single" w:sz="4" w:space="0" w:color="auto"/>
            </w:tcBorders>
            <w:shd w:val="clear" w:color="auto" w:fill="auto"/>
            <w:noWrap/>
            <w:vAlign w:val="center"/>
            <w:hideMark/>
          </w:tcPr>
          <w:p w14:paraId="41B06065" w14:textId="77777777" w:rsidR="00FA13B0" w:rsidRPr="00EC4A07" w:rsidRDefault="00FA13B0" w:rsidP="00AE0879">
            <w:pPr>
              <w:jc w:val="center"/>
              <w:rPr>
                <w:rFonts w:eastAsia="Times New Roman"/>
                <w:color w:val="000000" w:themeColor="text1"/>
                <w:sz w:val="24"/>
                <w:szCs w:val="24"/>
                <w:lang w:eastAsia="fr-FR"/>
              </w:rPr>
            </w:pPr>
          </w:p>
          <w:p w14:paraId="266EECDE"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Flowering time</w:t>
            </w:r>
          </w:p>
          <w:p w14:paraId="0881C2E4" w14:textId="77777777" w:rsidR="00FA13B0" w:rsidRPr="00EC4A07" w:rsidRDefault="00FA13B0" w:rsidP="00AE0879">
            <w:pPr>
              <w:jc w:val="center"/>
              <w:rPr>
                <w:rFonts w:eastAsia="Times New Roman"/>
                <w:color w:val="000000" w:themeColor="text1"/>
                <w:sz w:val="24"/>
                <w:szCs w:val="24"/>
                <w:lang w:eastAsia="fr-FR"/>
              </w:rPr>
            </w:pPr>
          </w:p>
        </w:tc>
        <w:tc>
          <w:tcPr>
            <w:tcW w:w="685" w:type="dxa"/>
            <w:tcBorders>
              <w:left w:val="single" w:sz="4" w:space="0" w:color="auto"/>
            </w:tcBorders>
            <w:shd w:val="clear" w:color="auto" w:fill="auto"/>
            <w:noWrap/>
            <w:vAlign w:val="center"/>
            <w:hideMark/>
          </w:tcPr>
          <w:p w14:paraId="751E47D1"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1.36</w:t>
            </w:r>
          </w:p>
        </w:tc>
        <w:tc>
          <w:tcPr>
            <w:tcW w:w="685" w:type="dxa"/>
            <w:shd w:val="clear" w:color="auto" w:fill="auto"/>
            <w:noWrap/>
            <w:vAlign w:val="center"/>
            <w:hideMark/>
          </w:tcPr>
          <w:p w14:paraId="25B61676"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0.85 (3%)</w:t>
            </w:r>
          </w:p>
        </w:tc>
        <w:tc>
          <w:tcPr>
            <w:tcW w:w="685" w:type="dxa"/>
            <w:tcBorders>
              <w:right w:val="single" w:sz="4" w:space="0" w:color="auto"/>
            </w:tcBorders>
            <w:shd w:val="clear" w:color="auto" w:fill="auto"/>
            <w:noWrap/>
            <w:vAlign w:val="center"/>
            <w:hideMark/>
          </w:tcPr>
          <w:p w14:paraId="55887852"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0.63</w:t>
            </w:r>
          </w:p>
        </w:tc>
        <w:tc>
          <w:tcPr>
            <w:tcW w:w="685" w:type="dxa"/>
            <w:tcBorders>
              <w:left w:val="single" w:sz="4" w:space="0" w:color="auto"/>
            </w:tcBorders>
            <w:shd w:val="clear" w:color="auto" w:fill="auto"/>
            <w:noWrap/>
            <w:vAlign w:val="center"/>
            <w:hideMark/>
          </w:tcPr>
          <w:p w14:paraId="6F7CB841"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1.34</w:t>
            </w:r>
          </w:p>
        </w:tc>
        <w:tc>
          <w:tcPr>
            <w:tcW w:w="685" w:type="dxa"/>
            <w:shd w:val="clear" w:color="auto" w:fill="auto"/>
            <w:noWrap/>
            <w:vAlign w:val="center"/>
            <w:hideMark/>
          </w:tcPr>
          <w:p w14:paraId="1EB586FB"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0.80 (3%)</w:t>
            </w:r>
          </w:p>
        </w:tc>
        <w:tc>
          <w:tcPr>
            <w:tcW w:w="686" w:type="dxa"/>
            <w:tcBorders>
              <w:right w:val="single" w:sz="4" w:space="0" w:color="auto"/>
            </w:tcBorders>
            <w:shd w:val="clear" w:color="auto" w:fill="auto"/>
            <w:noWrap/>
            <w:vAlign w:val="center"/>
            <w:hideMark/>
          </w:tcPr>
          <w:p w14:paraId="35081E48"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0.60</w:t>
            </w:r>
          </w:p>
        </w:tc>
        <w:tc>
          <w:tcPr>
            <w:tcW w:w="709" w:type="dxa"/>
            <w:tcBorders>
              <w:left w:val="single" w:sz="4" w:space="0" w:color="auto"/>
            </w:tcBorders>
            <w:shd w:val="clear" w:color="auto" w:fill="auto"/>
            <w:noWrap/>
            <w:vAlign w:val="center"/>
            <w:hideMark/>
          </w:tcPr>
          <w:p w14:paraId="137E747E"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2.65</w:t>
            </w:r>
          </w:p>
        </w:tc>
        <w:tc>
          <w:tcPr>
            <w:tcW w:w="803" w:type="dxa"/>
            <w:shd w:val="clear" w:color="auto" w:fill="auto"/>
            <w:noWrap/>
            <w:vAlign w:val="center"/>
            <w:hideMark/>
          </w:tcPr>
          <w:p w14:paraId="7547D26C"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1.28 (5%)</w:t>
            </w:r>
          </w:p>
        </w:tc>
        <w:tc>
          <w:tcPr>
            <w:tcW w:w="756" w:type="dxa"/>
            <w:tcBorders>
              <w:right w:val="single" w:sz="4" w:space="0" w:color="auto"/>
            </w:tcBorders>
            <w:shd w:val="clear" w:color="auto" w:fill="auto"/>
            <w:noWrap/>
            <w:vAlign w:val="center"/>
            <w:hideMark/>
          </w:tcPr>
          <w:p w14:paraId="5F607277"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0.48</w:t>
            </w:r>
          </w:p>
        </w:tc>
        <w:tc>
          <w:tcPr>
            <w:tcW w:w="709" w:type="dxa"/>
            <w:tcBorders>
              <w:left w:val="single" w:sz="4" w:space="0" w:color="auto"/>
            </w:tcBorders>
            <w:shd w:val="clear" w:color="auto" w:fill="auto"/>
            <w:noWrap/>
            <w:vAlign w:val="center"/>
            <w:hideMark/>
          </w:tcPr>
          <w:p w14:paraId="12143B8A"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3.41</w:t>
            </w:r>
          </w:p>
        </w:tc>
        <w:tc>
          <w:tcPr>
            <w:tcW w:w="803" w:type="dxa"/>
            <w:shd w:val="clear" w:color="auto" w:fill="auto"/>
            <w:noWrap/>
            <w:vAlign w:val="center"/>
            <w:hideMark/>
          </w:tcPr>
          <w:p w14:paraId="2D3CDDB9"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1.81 (6%)</w:t>
            </w:r>
          </w:p>
        </w:tc>
        <w:tc>
          <w:tcPr>
            <w:tcW w:w="756" w:type="dxa"/>
            <w:tcBorders>
              <w:right w:val="single" w:sz="4" w:space="0" w:color="auto"/>
            </w:tcBorders>
            <w:shd w:val="clear" w:color="auto" w:fill="auto"/>
            <w:noWrap/>
            <w:vAlign w:val="center"/>
            <w:hideMark/>
          </w:tcPr>
          <w:p w14:paraId="1312CBB7"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0.53</w:t>
            </w:r>
          </w:p>
        </w:tc>
      </w:tr>
      <w:tr w:rsidR="00FA13B0" w:rsidRPr="00EC4A07" w14:paraId="635565BC" w14:textId="77777777" w:rsidTr="00AE0879">
        <w:trPr>
          <w:trHeight w:val="238"/>
        </w:trPr>
        <w:tc>
          <w:tcPr>
            <w:tcW w:w="568" w:type="dxa"/>
            <w:tcBorders>
              <w:left w:val="single" w:sz="4" w:space="0" w:color="auto"/>
              <w:bottom w:val="single" w:sz="4" w:space="0" w:color="auto"/>
              <w:right w:val="single" w:sz="4" w:space="0" w:color="auto"/>
            </w:tcBorders>
            <w:shd w:val="clear" w:color="auto" w:fill="auto"/>
            <w:vAlign w:val="center"/>
          </w:tcPr>
          <w:p w14:paraId="3D160222" w14:textId="77777777" w:rsidR="00FA13B0" w:rsidRPr="00EC4A07" w:rsidRDefault="00FA13B0" w:rsidP="00AE0879">
            <w:pPr>
              <w:jc w:val="center"/>
              <w:rPr>
                <w:rFonts w:eastAsia="Times New Roman"/>
                <w:color w:val="000000"/>
                <w:sz w:val="24"/>
                <w:szCs w:val="24"/>
                <w:lang w:eastAsia="fr-FR"/>
              </w:rPr>
            </w:pPr>
          </w:p>
        </w:tc>
        <w:tc>
          <w:tcPr>
            <w:tcW w:w="1275" w:type="dxa"/>
            <w:tcBorders>
              <w:left w:val="single" w:sz="4" w:space="0" w:color="auto"/>
              <w:bottom w:val="single" w:sz="4" w:space="0" w:color="auto"/>
              <w:right w:val="single" w:sz="4" w:space="0" w:color="auto"/>
            </w:tcBorders>
            <w:shd w:val="clear" w:color="auto" w:fill="auto"/>
            <w:noWrap/>
            <w:vAlign w:val="center"/>
          </w:tcPr>
          <w:p w14:paraId="105C9BA2" w14:textId="77777777" w:rsidR="00FA13B0" w:rsidRPr="00EC4A07" w:rsidRDefault="00FA13B0" w:rsidP="00AE0879">
            <w:pPr>
              <w:jc w:val="center"/>
              <w:rPr>
                <w:rFonts w:eastAsia="Times New Roman"/>
                <w:color w:val="000000" w:themeColor="text1"/>
                <w:sz w:val="24"/>
                <w:szCs w:val="24"/>
                <w:lang w:eastAsia="fr-FR"/>
              </w:rPr>
            </w:pPr>
          </w:p>
          <w:p w14:paraId="4BCB620E"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Height</w:t>
            </w:r>
          </w:p>
          <w:p w14:paraId="547D8282" w14:textId="77777777" w:rsidR="00FA13B0" w:rsidRPr="00EC4A07" w:rsidRDefault="00FA13B0" w:rsidP="00AE0879">
            <w:pPr>
              <w:jc w:val="center"/>
              <w:rPr>
                <w:rFonts w:eastAsia="Times New Roman"/>
                <w:color w:val="000000" w:themeColor="text1"/>
                <w:sz w:val="24"/>
                <w:szCs w:val="24"/>
                <w:lang w:eastAsia="fr-FR"/>
              </w:rPr>
            </w:pPr>
          </w:p>
        </w:tc>
        <w:tc>
          <w:tcPr>
            <w:tcW w:w="685" w:type="dxa"/>
            <w:tcBorders>
              <w:left w:val="single" w:sz="4" w:space="0" w:color="auto"/>
              <w:bottom w:val="single" w:sz="4" w:space="0" w:color="auto"/>
            </w:tcBorders>
            <w:shd w:val="clear" w:color="auto" w:fill="auto"/>
            <w:noWrap/>
            <w:vAlign w:val="center"/>
          </w:tcPr>
          <w:p w14:paraId="6E04A3BE"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1.85</w:t>
            </w:r>
          </w:p>
        </w:tc>
        <w:tc>
          <w:tcPr>
            <w:tcW w:w="685" w:type="dxa"/>
            <w:tcBorders>
              <w:bottom w:val="single" w:sz="4" w:space="0" w:color="auto"/>
            </w:tcBorders>
            <w:shd w:val="clear" w:color="auto" w:fill="auto"/>
            <w:noWrap/>
            <w:vAlign w:val="center"/>
          </w:tcPr>
          <w:p w14:paraId="430AAD27"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0.41 (4%)</w:t>
            </w:r>
          </w:p>
        </w:tc>
        <w:tc>
          <w:tcPr>
            <w:tcW w:w="685" w:type="dxa"/>
            <w:tcBorders>
              <w:bottom w:val="single" w:sz="4" w:space="0" w:color="auto"/>
              <w:right w:val="single" w:sz="4" w:space="0" w:color="auto"/>
            </w:tcBorders>
            <w:shd w:val="clear" w:color="auto" w:fill="auto"/>
            <w:noWrap/>
            <w:vAlign w:val="center"/>
          </w:tcPr>
          <w:p w14:paraId="0BA19833"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0.22</w:t>
            </w:r>
          </w:p>
        </w:tc>
        <w:tc>
          <w:tcPr>
            <w:tcW w:w="685" w:type="dxa"/>
            <w:tcBorders>
              <w:left w:val="single" w:sz="4" w:space="0" w:color="auto"/>
              <w:bottom w:val="single" w:sz="4" w:space="0" w:color="auto"/>
            </w:tcBorders>
            <w:shd w:val="clear" w:color="auto" w:fill="auto"/>
            <w:noWrap/>
            <w:vAlign w:val="center"/>
          </w:tcPr>
          <w:p w14:paraId="515886A3"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1.85</w:t>
            </w:r>
          </w:p>
        </w:tc>
        <w:tc>
          <w:tcPr>
            <w:tcW w:w="685" w:type="dxa"/>
            <w:tcBorders>
              <w:bottom w:val="single" w:sz="4" w:space="0" w:color="auto"/>
            </w:tcBorders>
            <w:shd w:val="clear" w:color="auto" w:fill="auto"/>
            <w:noWrap/>
            <w:vAlign w:val="center"/>
          </w:tcPr>
          <w:p w14:paraId="4C31F833"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0.41 (4%)</w:t>
            </w:r>
          </w:p>
        </w:tc>
        <w:tc>
          <w:tcPr>
            <w:tcW w:w="686" w:type="dxa"/>
            <w:tcBorders>
              <w:bottom w:val="single" w:sz="4" w:space="0" w:color="auto"/>
              <w:right w:val="single" w:sz="4" w:space="0" w:color="auto"/>
            </w:tcBorders>
            <w:shd w:val="clear" w:color="auto" w:fill="auto"/>
            <w:noWrap/>
            <w:vAlign w:val="center"/>
          </w:tcPr>
          <w:p w14:paraId="340BA654"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0.22</w:t>
            </w:r>
          </w:p>
        </w:tc>
        <w:tc>
          <w:tcPr>
            <w:tcW w:w="709" w:type="dxa"/>
            <w:tcBorders>
              <w:left w:val="single" w:sz="4" w:space="0" w:color="auto"/>
              <w:bottom w:val="single" w:sz="4" w:space="0" w:color="auto"/>
            </w:tcBorders>
            <w:shd w:val="clear" w:color="auto" w:fill="auto"/>
            <w:noWrap/>
            <w:vAlign w:val="center"/>
          </w:tcPr>
          <w:p w14:paraId="3DF8AA46"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3.80</w:t>
            </w:r>
          </w:p>
        </w:tc>
        <w:tc>
          <w:tcPr>
            <w:tcW w:w="803" w:type="dxa"/>
            <w:tcBorders>
              <w:bottom w:val="single" w:sz="4" w:space="0" w:color="auto"/>
            </w:tcBorders>
            <w:shd w:val="clear" w:color="auto" w:fill="auto"/>
            <w:noWrap/>
            <w:vAlign w:val="center"/>
          </w:tcPr>
          <w:p w14:paraId="07A91D65"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1.28 (11%)</w:t>
            </w:r>
          </w:p>
        </w:tc>
        <w:tc>
          <w:tcPr>
            <w:tcW w:w="756" w:type="dxa"/>
            <w:tcBorders>
              <w:bottom w:val="single" w:sz="4" w:space="0" w:color="auto"/>
              <w:right w:val="single" w:sz="4" w:space="0" w:color="auto"/>
            </w:tcBorders>
            <w:shd w:val="clear" w:color="auto" w:fill="auto"/>
            <w:noWrap/>
            <w:vAlign w:val="center"/>
          </w:tcPr>
          <w:p w14:paraId="7DD9569F"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0.34</w:t>
            </w:r>
          </w:p>
        </w:tc>
        <w:tc>
          <w:tcPr>
            <w:tcW w:w="709" w:type="dxa"/>
            <w:tcBorders>
              <w:left w:val="single" w:sz="4" w:space="0" w:color="auto"/>
              <w:bottom w:val="single" w:sz="4" w:space="0" w:color="auto"/>
            </w:tcBorders>
            <w:shd w:val="clear" w:color="auto" w:fill="auto"/>
            <w:noWrap/>
            <w:vAlign w:val="center"/>
          </w:tcPr>
          <w:p w14:paraId="15DD150A"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3.94</w:t>
            </w:r>
          </w:p>
        </w:tc>
        <w:tc>
          <w:tcPr>
            <w:tcW w:w="803" w:type="dxa"/>
            <w:tcBorders>
              <w:bottom w:val="single" w:sz="4" w:space="0" w:color="auto"/>
            </w:tcBorders>
            <w:shd w:val="clear" w:color="auto" w:fill="auto"/>
            <w:noWrap/>
            <w:vAlign w:val="center"/>
          </w:tcPr>
          <w:p w14:paraId="5D7CDD19"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1.50 (13%)</w:t>
            </w:r>
          </w:p>
        </w:tc>
        <w:tc>
          <w:tcPr>
            <w:tcW w:w="756" w:type="dxa"/>
            <w:tcBorders>
              <w:bottom w:val="single" w:sz="4" w:space="0" w:color="auto"/>
              <w:right w:val="single" w:sz="4" w:space="0" w:color="auto"/>
            </w:tcBorders>
            <w:shd w:val="clear" w:color="auto" w:fill="auto"/>
            <w:noWrap/>
            <w:vAlign w:val="center"/>
          </w:tcPr>
          <w:p w14:paraId="1A3AF854"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0.38</w:t>
            </w:r>
          </w:p>
        </w:tc>
      </w:tr>
      <w:tr w:rsidR="00FA13B0" w:rsidRPr="00EC4A07" w14:paraId="60608BFC" w14:textId="77777777" w:rsidTr="00AE0879">
        <w:trPr>
          <w:trHeight w:val="238"/>
        </w:trPr>
        <w:tc>
          <w:tcPr>
            <w:tcW w:w="568" w:type="dxa"/>
            <w:tcBorders>
              <w:top w:val="single" w:sz="4" w:space="0" w:color="auto"/>
              <w:left w:val="single" w:sz="4" w:space="0" w:color="auto"/>
              <w:right w:val="single" w:sz="4" w:space="0" w:color="auto"/>
            </w:tcBorders>
            <w:shd w:val="clear" w:color="auto" w:fill="auto"/>
            <w:vAlign w:val="center"/>
          </w:tcPr>
          <w:p w14:paraId="5E2CD87A" w14:textId="77777777" w:rsidR="00FA13B0" w:rsidRPr="00EC4A07" w:rsidRDefault="00FA13B0" w:rsidP="00AE0879">
            <w:pPr>
              <w:jc w:val="center"/>
              <w:rPr>
                <w:rFonts w:eastAsia="Times New Roman"/>
                <w:color w:val="000000"/>
                <w:sz w:val="24"/>
                <w:szCs w:val="24"/>
                <w:lang w:eastAsia="fr-FR"/>
              </w:rPr>
            </w:pPr>
            <w:r w:rsidRPr="00EC4A07">
              <w:rPr>
                <w:rFonts w:eastAsia="Times New Roman"/>
                <w:color w:val="000000"/>
                <w:sz w:val="24"/>
                <w:szCs w:val="24"/>
                <w:lang w:eastAsia="fr-FR"/>
              </w:rPr>
              <w:t>2</w:t>
            </w:r>
          </w:p>
          <w:p w14:paraId="7979B1D5" w14:textId="77777777" w:rsidR="00FA13B0" w:rsidRPr="00EC4A07" w:rsidRDefault="00FA13B0" w:rsidP="00AE0879">
            <w:pPr>
              <w:jc w:val="center"/>
              <w:rPr>
                <w:rFonts w:eastAsia="Times New Roman"/>
                <w:color w:val="000000"/>
                <w:sz w:val="24"/>
                <w:szCs w:val="24"/>
                <w:lang w:eastAsia="fr-FR"/>
              </w:rPr>
            </w:pPr>
          </w:p>
        </w:tc>
        <w:tc>
          <w:tcPr>
            <w:tcW w:w="1275" w:type="dxa"/>
            <w:tcBorders>
              <w:top w:val="single" w:sz="4" w:space="0" w:color="auto"/>
              <w:left w:val="single" w:sz="4" w:space="0" w:color="auto"/>
              <w:right w:val="single" w:sz="4" w:space="0" w:color="auto"/>
            </w:tcBorders>
            <w:shd w:val="clear" w:color="auto" w:fill="auto"/>
            <w:noWrap/>
            <w:vAlign w:val="center"/>
          </w:tcPr>
          <w:p w14:paraId="4CA83FB3" w14:textId="77777777" w:rsidR="00FA13B0" w:rsidRPr="00EC4A07" w:rsidRDefault="00FA13B0" w:rsidP="00AE0879">
            <w:pPr>
              <w:jc w:val="center"/>
              <w:rPr>
                <w:rFonts w:eastAsia="Times New Roman"/>
                <w:color w:val="000000" w:themeColor="text1"/>
                <w:sz w:val="24"/>
                <w:szCs w:val="24"/>
                <w:lang w:eastAsia="fr-FR"/>
              </w:rPr>
            </w:pPr>
          </w:p>
          <w:p w14:paraId="6DA091AA"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Biomass</w:t>
            </w:r>
          </w:p>
          <w:p w14:paraId="44010637" w14:textId="77777777" w:rsidR="00FA13B0" w:rsidRPr="00EC4A07" w:rsidRDefault="00FA13B0" w:rsidP="00AE0879">
            <w:pPr>
              <w:jc w:val="center"/>
              <w:rPr>
                <w:rFonts w:eastAsia="Times New Roman"/>
                <w:color w:val="000000" w:themeColor="text1"/>
                <w:sz w:val="24"/>
                <w:szCs w:val="24"/>
                <w:lang w:eastAsia="fr-FR"/>
              </w:rPr>
            </w:pPr>
          </w:p>
        </w:tc>
        <w:tc>
          <w:tcPr>
            <w:tcW w:w="685" w:type="dxa"/>
            <w:tcBorders>
              <w:top w:val="single" w:sz="4" w:space="0" w:color="auto"/>
              <w:left w:val="single" w:sz="4" w:space="0" w:color="auto"/>
            </w:tcBorders>
            <w:shd w:val="clear" w:color="auto" w:fill="auto"/>
            <w:noWrap/>
            <w:vAlign w:val="center"/>
          </w:tcPr>
          <w:p w14:paraId="765855B4"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0.11</w:t>
            </w:r>
          </w:p>
        </w:tc>
        <w:tc>
          <w:tcPr>
            <w:tcW w:w="685" w:type="dxa"/>
            <w:tcBorders>
              <w:top w:val="single" w:sz="4" w:space="0" w:color="auto"/>
            </w:tcBorders>
            <w:shd w:val="clear" w:color="auto" w:fill="auto"/>
            <w:noWrap/>
            <w:vAlign w:val="center"/>
          </w:tcPr>
          <w:p w14:paraId="35DCBF8B"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NS</w:t>
            </w:r>
          </w:p>
        </w:tc>
        <w:tc>
          <w:tcPr>
            <w:tcW w:w="685" w:type="dxa"/>
            <w:tcBorders>
              <w:top w:val="single" w:sz="4" w:space="0" w:color="auto"/>
              <w:right w:val="single" w:sz="4" w:space="0" w:color="auto"/>
            </w:tcBorders>
            <w:shd w:val="clear" w:color="auto" w:fill="auto"/>
            <w:noWrap/>
            <w:vAlign w:val="center"/>
          </w:tcPr>
          <w:p w14:paraId="70AD19B9"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N/A</w:t>
            </w:r>
          </w:p>
        </w:tc>
        <w:tc>
          <w:tcPr>
            <w:tcW w:w="685" w:type="dxa"/>
            <w:tcBorders>
              <w:top w:val="single" w:sz="4" w:space="0" w:color="auto"/>
              <w:left w:val="single" w:sz="4" w:space="0" w:color="auto"/>
            </w:tcBorders>
            <w:shd w:val="clear" w:color="auto" w:fill="auto"/>
            <w:noWrap/>
            <w:vAlign w:val="center"/>
          </w:tcPr>
          <w:p w14:paraId="3BC0D36E"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0.11</w:t>
            </w:r>
          </w:p>
        </w:tc>
        <w:tc>
          <w:tcPr>
            <w:tcW w:w="685" w:type="dxa"/>
            <w:tcBorders>
              <w:top w:val="single" w:sz="4" w:space="0" w:color="auto"/>
            </w:tcBorders>
            <w:shd w:val="clear" w:color="auto" w:fill="auto"/>
            <w:noWrap/>
            <w:vAlign w:val="center"/>
          </w:tcPr>
          <w:p w14:paraId="6F7BFB4C"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NS</w:t>
            </w:r>
          </w:p>
        </w:tc>
        <w:tc>
          <w:tcPr>
            <w:tcW w:w="686" w:type="dxa"/>
            <w:tcBorders>
              <w:top w:val="single" w:sz="4" w:space="0" w:color="auto"/>
              <w:right w:val="single" w:sz="4" w:space="0" w:color="auto"/>
            </w:tcBorders>
            <w:shd w:val="clear" w:color="auto" w:fill="auto"/>
            <w:noWrap/>
            <w:vAlign w:val="center"/>
          </w:tcPr>
          <w:p w14:paraId="026498BC"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N/A</w:t>
            </w:r>
          </w:p>
        </w:tc>
        <w:tc>
          <w:tcPr>
            <w:tcW w:w="709" w:type="dxa"/>
            <w:tcBorders>
              <w:top w:val="single" w:sz="4" w:space="0" w:color="auto"/>
              <w:left w:val="single" w:sz="4" w:space="0" w:color="auto"/>
            </w:tcBorders>
            <w:shd w:val="clear" w:color="auto" w:fill="auto"/>
            <w:noWrap/>
            <w:vAlign w:val="center"/>
          </w:tcPr>
          <w:p w14:paraId="68441D2A"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0.24</w:t>
            </w:r>
          </w:p>
        </w:tc>
        <w:tc>
          <w:tcPr>
            <w:tcW w:w="803" w:type="dxa"/>
            <w:tcBorders>
              <w:top w:val="single" w:sz="4" w:space="0" w:color="auto"/>
            </w:tcBorders>
            <w:shd w:val="clear" w:color="auto" w:fill="auto"/>
            <w:noWrap/>
            <w:vAlign w:val="center"/>
          </w:tcPr>
          <w:p w14:paraId="181FCF4C"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NS</w:t>
            </w:r>
          </w:p>
        </w:tc>
        <w:tc>
          <w:tcPr>
            <w:tcW w:w="756" w:type="dxa"/>
            <w:tcBorders>
              <w:top w:val="single" w:sz="4" w:space="0" w:color="auto"/>
              <w:right w:val="single" w:sz="4" w:space="0" w:color="auto"/>
            </w:tcBorders>
            <w:shd w:val="clear" w:color="auto" w:fill="auto"/>
            <w:noWrap/>
            <w:vAlign w:val="center"/>
          </w:tcPr>
          <w:p w14:paraId="17604478"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N/A</w:t>
            </w:r>
          </w:p>
        </w:tc>
        <w:tc>
          <w:tcPr>
            <w:tcW w:w="709" w:type="dxa"/>
            <w:tcBorders>
              <w:top w:val="single" w:sz="4" w:space="0" w:color="auto"/>
              <w:left w:val="single" w:sz="4" w:space="0" w:color="auto"/>
            </w:tcBorders>
            <w:shd w:val="clear" w:color="auto" w:fill="auto"/>
            <w:noWrap/>
            <w:vAlign w:val="center"/>
          </w:tcPr>
          <w:p w14:paraId="632F695D"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0.23</w:t>
            </w:r>
          </w:p>
        </w:tc>
        <w:tc>
          <w:tcPr>
            <w:tcW w:w="803" w:type="dxa"/>
            <w:tcBorders>
              <w:top w:val="single" w:sz="4" w:space="0" w:color="auto"/>
            </w:tcBorders>
            <w:shd w:val="clear" w:color="auto" w:fill="auto"/>
            <w:noWrap/>
            <w:vAlign w:val="center"/>
          </w:tcPr>
          <w:p w14:paraId="2CE9F059"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NS</w:t>
            </w:r>
          </w:p>
        </w:tc>
        <w:tc>
          <w:tcPr>
            <w:tcW w:w="756" w:type="dxa"/>
            <w:tcBorders>
              <w:top w:val="single" w:sz="4" w:space="0" w:color="auto"/>
              <w:right w:val="single" w:sz="4" w:space="0" w:color="auto"/>
            </w:tcBorders>
            <w:shd w:val="clear" w:color="auto" w:fill="auto"/>
            <w:noWrap/>
            <w:vAlign w:val="center"/>
          </w:tcPr>
          <w:p w14:paraId="25B65ED3"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N/A</w:t>
            </w:r>
          </w:p>
        </w:tc>
      </w:tr>
      <w:tr w:rsidR="00FA13B0" w:rsidRPr="00EC4A07" w14:paraId="636851DD" w14:textId="77777777" w:rsidTr="00AE0879">
        <w:trPr>
          <w:trHeight w:val="238"/>
        </w:trPr>
        <w:tc>
          <w:tcPr>
            <w:tcW w:w="568" w:type="dxa"/>
            <w:tcBorders>
              <w:left w:val="single" w:sz="4" w:space="0" w:color="auto"/>
              <w:right w:val="single" w:sz="4" w:space="0" w:color="auto"/>
            </w:tcBorders>
            <w:shd w:val="clear" w:color="auto" w:fill="auto"/>
            <w:vAlign w:val="center"/>
          </w:tcPr>
          <w:p w14:paraId="72E71963" w14:textId="77777777" w:rsidR="00FA13B0" w:rsidRPr="00EC4A07" w:rsidRDefault="00FA13B0" w:rsidP="00AE0879">
            <w:pPr>
              <w:jc w:val="center"/>
              <w:rPr>
                <w:rFonts w:eastAsia="Times New Roman"/>
                <w:color w:val="000000"/>
                <w:sz w:val="24"/>
                <w:szCs w:val="24"/>
                <w:lang w:eastAsia="fr-FR"/>
              </w:rPr>
            </w:pPr>
          </w:p>
        </w:tc>
        <w:tc>
          <w:tcPr>
            <w:tcW w:w="1275" w:type="dxa"/>
            <w:tcBorders>
              <w:left w:val="single" w:sz="4" w:space="0" w:color="auto"/>
              <w:right w:val="single" w:sz="4" w:space="0" w:color="auto"/>
            </w:tcBorders>
            <w:shd w:val="clear" w:color="auto" w:fill="auto"/>
            <w:noWrap/>
            <w:vAlign w:val="center"/>
          </w:tcPr>
          <w:p w14:paraId="26C5D8D0" w14:textId="77777777" w:rsidR="00FA13B0" w:rsidRPr="00EC4A07" w:rsidRDefault="00FA13B0" w:rsidP="00AE0879">
            <w:pPr>
              <w:jc w:val="center"/>
              <w:rPr>
                <w:rFonts w:eastAsia="Times New Roman"/>
                <w:color w:val="000000" w:themeColor="text1"/>
                <w:sz w:val="24"/>
                <w:szCs w:val="24"/>
                <w:lang w:eastAsia="fr-FR"/>
              </w:rPr>
            </w:pPr>
          </w:p>
          <w:p w14:paraId="0F1B6222"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Diameter</w:t>
            </w:r>
          </w:p>
          <w:p w14:paraId="2890592B" w14:textId="77777777" w:rsidR="00FA13B0" w:rsidRPr="00EC4A07" w:rsidRDefault="00FA13B0" w:rsidP="00AE0879">
            <w:pPr>
              <w:jc w:val="center"/>
              <w:rPr>
                <w:rFonts w:eastAsia="Times New Roman"/>
                <w:color w:val="000000" w:themeColor="text1"/>
                <w:sz w:val="24"/>
                <w:szCs w:val="24"/>
                <w:lang w:eastAsia="fr-FR"/>
              </w:rPr>
            </w:pPr>
          </w:p>
        </w:tc>
        <w:tc>
          <w:tcPr>
            <w:tcW w:w="685" w:type="dxa"/>
            <w:tcBorders>
              <w:left w:val="single" w:sz="4" w:space="0" w:color="auto"/>
            </w:tcBorders>
            <w:shd w:val="clear" w:color="auto" w:fill="auto"/>
            <w:noWrap/>
            <w:vAlign w:val="center"/>
          </w:tcPr>
          <w:p w14:paraId="44B97D8B"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0.97</w:t>
            </w:r>
          </w:p>
        </w:tc>
        <w:tc>
          <w:tcPr>
            <w:tcW w:w="685" w:type="dxa"/>
            <w:shd w:val="clear" w:color="auto" w:fill="auto"/>
            <w:noWrap/>
            <w:vAlign w:val="center"/>
          </w:tcPr>
          <w:p w14:paraId="1B121CCF"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0.55 (6%)</w:t>
            </w:r>
          </w:p>
        </w:tc>
        <w:tc>
          <w:tcPr>
            <w:tcW w:w="685" w:type="dxa"/>
            <w:tcBorders>
              <w:right w:val="single" w:sz="4" w:space="0" w:color="auto"/>
            </w:tcBorders>
            <w:shd w:val="clear" w:color="auto" w:fill="auto"/>
            <w:noWrap/>
            <w:vAlign w:val="center"/>
          </w:tcPr>
          <w:p w14:paraId="20E7E67A"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0.57</w:t>
            </w:r>
          </w:p>
        </w:tc>
        <w:tc>
          <w:tcPr>
            <w:tcW w:w="685" w:type="dxa"/>
            <w:tcBorders>
              <w:left w:val="single" w:sz="4" w:space="0" w:color="auto"/>
            </w:tcBorders>
            <w:shd w:val="clear" w:color="auto" w:fill="auto"/>
            <w:noWrap/>
            <w:vAlign w:val="center"/>
          </w:tcPr>
          <w:p w14:paraId="7B818F6A"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1.69</w:t>
            </w:r>
          </w:p>
        </w:tc>
        <w:tc>
          <w:tcPr>
            <w:tcW w:w="685" w:type="dxa"/>
            <w:shd w:val="clear" w:color="auto" w:fill="auto"/>
            <w:noWrap/>
            <w:vAlign w:val="center"/>
          </w:tcPr>
          <w:p w14:paraId="3467BF15"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0.72 (8%)</w:t>
            </w:r>
          </w:p>
        </w:tc>
        <w:tc>
          <w:tcPr>
            <w:tcW w:w="686" w:type="dxa"/>
            <w:tcBorders>
              <w:right w:val="single" w:sz="4" w:space="0" w:color="auto"/>
            </w:tcBorders>
            <w:shd w:val="clear" w:color="auto" w:fill="auto"/>
            <w:noWrap/>
            <w:vAlign w:val="center"/>
          </w:tcPr>
          <w:p w14:paraId="0B1A5FED"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0.42</w:t>
            </w:r>
          </w:p>
        </w:tc>
        <w:tc>
          <w:tcPr>
            <w:tcW w:w="709" w:type="dxa"/>
            <w:tcBorders>
              <w:left w:val="single" w:sz="4" w:space="0" w:color="auto"/>
            </w:tcBorders>
            <w:shd w:val="clear" w:color="auto" w:fill="auto"/>
            <w:noWrap/>
            <w:vAlign w:val="center"/>
          </w:tcPr>
          <w:p w14:paraId="0DDEABAB"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1.76</w:t>
            </w:r>
          </w:p>
        </w:tc>
        <w:tc>
          <w:tcPr>
            <w:tcW w:w="803" w:type="dxa"/>
            <w:shd w:val="clear" w:color="auto" w:fill="auto"/>
            <w:noWrap/>
            <w:vAlign w:val="center"/>
          </w:tcPr>
          <w:p w14:paraId="326C64D0"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0.67 (8%)</w:t>
            </w:r>
          </w:p>
        </w:tc>
        <w:tc>
          <w:tcPr>
            <w:tcW w:w="756" w:type="dxa"/>
            <w:tcBorders>
              <w:right w:val="single" w:sz="4" w:space="0" w:color="auto"/>
            </w:tcBorders>
            <w:shd w:val="clear" w:color="auto" w:fill="auto"/>
            <w:noWrap/>
            <w:vAlign w:val="center"/>
          </w:tcPr>
          <w:p w14:paraId="0364410E"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0.38</w:t>
            </w:r>
          </w:p>
        </w:tc>
        <w:tc>
          <w:tcPr>
            <w:tcW w:w="709" w:type="dxa"/>
            <w:tcBorders>
              <w:left w:val="single" w:sz="4" w:space="0" w:color="auto"/>
            </w:tcBorders>
            <w:shd w:val="clear" w:color="auto" w:fill="auto"/>
            <w:noWrap/>
            <w:vAlign w:val="center"/>
          </w:tcPr>
          <w:p w14:paraId="3820601F"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3.90</w:t>
            </w:r>
          </w:p>
        </w:tc>
        <w:tc>
          <w:tcPr>
            <w:tcW w:w="803" w:type="dxa"/>
            <w:shd w:val="clear" w:color="auto" w:fill="auto"/>
            <w:noWrap/>
            <w:vAlign w:val="center"/>
          </w:tcPr>
          <w:p w14:paraId="4D145B47"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1.13 (13%)</w:t>
            </w:r>
          </w:p>
        </w:tc>
        <w:tc>
          <w:tcPr>
            <w:tcW w:w="756" w:type="dxa"/>
            <w:tcBorders>
              <w:right w:val="single" w:sz="4" w:space="0" w:color="auto"/>
            </w:tcBorders>
            <w:shd w:val="clear" w:color="auto" w:fill="auto"/>
            <w:noWrap/>
            <w:vAlign w:val="center"/>
          </w:tcPr>
          <w:p w14:paraId="20FEA0B7"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0.29</w:t>
            </w:r>
          </w:p>
        </w:tc>
      </w:tr>
      <w:tr w:rsidR="00FA13B0" w:rsidRPr="00EC4A07" w14:paraId="1354EDC7" w14:textId="77777777" w:rsidTr="00AE0879">
        <w:trPr>
          <w:trHeight w:val="238"/>
        </w:trPr>
        <w:tc>
          <w:tcPr>
            <w:tcW w:w="568" w:type="dxa"/>
            <w:tcBorders>
              <w:left w:val="single" w:sz="4" w:space="0" w:color="auto"/>
              <w:right w:val="single" w:sz="4" w:space="0" w:color="auto"/>
            </w:tcBorders>
            <w:shd w:val="clear" w:color="auto" w:fill="auto"/>
            <w:vAlign w:val="center"/>
          </w:tcPr>
          <w:p w14:paraId="34196CC5" w14:textId="77777777" w:rsidR="00FA13B0" w:rsidRPr="00EC4A07" w:rsidRDefault="00FA13B0" w:rsidP="00AE0879">
            <w:pPr>
              <w:jc w:val="center"/>
              <w:rPr>
                <w:rFonts w:eastAsia="Times New Roman"/>
                <w:color w:val="000000"/>
                <w:sz w:val="24"/>
                <w:szCs w:val="24"/>
                <w:lang w:eastAsia="fr-FR"/>
              </w:rPr>
            </w:pPr>
          </w:p>
        </w:tc>
        <w:tc>
          <w:tcPr>
            <w:tcW w:w="1275" w:type="dxa"/>
            <w:tcBorders>
              <w:left w:val="single" w:sz="4" w:space="0" w:color="auto"/>
              <w:right w:val="single" w:sz="4" w:space="0" w:color="auto"/>
            </w:tcBorders>
            <w:shd w:val="clear" w:color="auto" w:fill="auto"/>
            <w:noWrap/>
            <w:vAlign w:val="center"/>
          </w:tcPr>
          <w:p w14:paraId="4E6E811B" w14:textId="77777777" w:rsidR="00FA13B0" w:rsidRPr="00EC4A07" w:rsidRDefault="00FA13B0" w:rsidP="00AE0879">
            <w:pPr>
              <w:jc w:val="center"/>
              <w:rPr>
                <w:rFonts w:eastAsia="Times New Roman"/>
                <w:color w:val="000000" w:themeColor="text1"/>
                <w:sz w:val="24"/>
                <w:szCs w:val="24"/>
                <w:lang w:eastAsia="fr-FR"/>
              </w:rPr>
            </w:pPr>
          </w:p>
          <w:p w14:paraId="005BC3DA"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Flowering time</w:t>
            </w:r>
          </w:p>
          <w:p w14:paraId="5B7529E8" w14:textId="77777777" w:rsidR="00FA13B0" w:rsidRPr="00EC4A07" w:rsidRDefault="00FA13B0" w:rsidP="00AE0879">
            <w:pPr>
              <w:jc w:val="center"/>
              <w:rPr>
                <w:rFonts w:eastAsia="Times New Roman"/>
                <w:color w:val="000000" w:themeColor="text1"/>
                <w:sz w:val="24"/>
                <w:szCs w:val="24"/>
                <w:lang w:eastAsia="fr-FR"/>
              </w:rPr>
            </w:pPr>
          </w:p>
        </w:tc>
        <w:tc>
          <w:tcPr>
            <w:tcW w:w="685" w:type="dxa"/>
            <w:tcBorders>
              <w:left w:val="single" w:sz="4" w:space="0" w:color="auto"/>
            </w:tcBorders>
            <w:shd w:val="clear" w:color="auto" w:fill="auto"/>
            <w:noWrap/>
            <w:vAlign w:val="center"/>
          </w:tcPr>
          <w:p w14:paraId="38D58D76"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1.63</w:t>
            </w:r>
          </w:p>
        </w:tc>
        <w:tc>
          <w:tcPr>
            <w:tcW w:w="685" w:type="dxa"/>
            <w:shd w:val="clear" w:color="auto" w:fill="auto"/>
            <w:noWrap/>
            <w:vAlign w:val="center"/>
          </w:tcPr>
          <w:p w14:paraId="73A0CA78"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NS</w:t>
            </w:r>
          </w:p>
        </w:tc>
        <w:tc>
          <w:tcPr>
            <w:tcW w:w="685" w:type="dxa"/>
            <w:tcBorders>
              <w:right w:val="single" w:sz="4" w:space="0" w:color="auto"/>
            </w:tcBorders>
            <w:shd w:val="clear" w:color="auto" w:fill="auto"/>
            <w:noWrap/>
            <w:vAlign w:val="center"/>
          </w:tcPr>
          <w:p w14:paraId="7A845F4B"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N/A</w:t>
            </w:r>
          </w:p>
        </w:tc>
        <w:tc>
          <w:tcPr>
            <w:tcW w:w="685" w:type="dxa"/>
            <w:tcBorders>
              <w:left w:val="single" w:sz="4" w:space="0" w:color="auto"/>
            </w:tcBorders>
            <w:shd w:val="clear" w:color="auto" w:fill="auto"/>
            <w:noWrap/>
            <w:vAlign w:val="center"/>
          </w:tcPr>
          <w:p w14:paraId="4348AA45"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1.72</w:t>
            </w:r>
          </w:p>
        </w:tc>
        <w:tc>
          <w:tcPr>
            <w:tcW w:w="685" w:type="dxa"/>
            <w:shd w:val="clear" w:color="auto" w:fill="auto"/>
            <w:noWrap/>
            <w:vAlign w:val="center"/>
          </w:tcPr>
          <w:p w14:paraId="55B8F3CE"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NS</w:t>
            </w:r>
          </w:p>
        </w:tc>
        <w:tc>
          <w:tcPr>
            <w:tcW w:w="686" w:type="dxa"/>
            <w:tcBorders>
              <w:right w:val="single" w:sz="4" w:space="0" w:color="auto"/>
            </w:tcBorders>
            <w:shd w:val="clear" w:color="auto" w:fill="auto"/>
            <w:noWrap/>
            <w:vAlign w:val="center"/>
          </w:tcPr>
          <w:p w14:paraId="336DFE67"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N/A</w:t>
            </w:r>
          </w:p>
        </w:tc>
        <w:tc>
          <w:tcPr>
            <w:tcW w:w="709" w:type="dxa"/>
            <w:tcBorders>
              <w:left w:val="single" w:sz="4" w:space="0" w:color="auto"/>
            </w:tcBorders>
            <w:shd w:val="clear" w:color="auto" w:fill="auto"/>
            <w:noWrap/>
            <w:vAlign w:val="center"/>
          </w:tcPr>
          <w:p w14:paraId="1DC583B8"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2.77</w:t>
            </w:r>
          </w:p>
        </w:tc>
        <w:tc>
          <w:tcPr>
            <w:tcW w:w="803" w:type="dxa"/>
            <w:shd w:val="clear" w:color="auto" w:fill="auto"/>
            <w:noWrap/>
            <w:vAlign w:val="center"/>
          </w:tcPr>
          <w:p w14:paraId="3D5AFC91"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0.87 (3%)</w:t>
            </w:r>
          </w:p>
        </w:tc>
        <w:tc>
          <w:tcPr>
            <w:tcW w:w="756" w:type="dxa"/>
            <w:tcBorders>
              <w:right w:val="single" w:sz="4" w:space="0" w:color="auto"/>
            </w:tcBorders>
            <w:shd w:val="clear" w:color="auto" w:fill="auto"/>
            <w:noWrap/>
            <w:vAlign w:val="center"/>
          </w:tcPr>
          <w:p w14:paraId="66980E88"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0.31</w:t>
            </w:r>
          </w:p>
        </w:tc>
        <w:tc>
          <w:tcPr>
            <w:tcW w:w="709" w:type="dxa"/>
            <w:tcBorders>
              <w:left w:val="single" w:sz="4" w:space="0" w:color="auto"/>
            </w:tcBorders>
            <w:shd w:val="clear" w:color="auto" w:fill="auto"/>
            <w:noWrap/>
            <w:vAlign w:val="center"/>
          </w:tcPr>
          <w:p w14:paraId="727258A9"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4.88</w:t>
            </w:r>
          </w:p>
        </w:tc>
        <w:tc>
          <w:tcPr>
            <w:tcW w:w="803" w:type="dxa"/>
            <w:shd w:val="clear" w:color="auto" w:fill="auto"/>
            <w:noWrap/>
            <w:vAlign w:val="center"/>
          </w:tcPr>
          <w:p w14:paraId="27C042C2"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0.62 (2%)</w:t>
            </w:r>
          </w:p>
        </w:tc>
        <w:tc>
          <w:tcPr>
            <w:tcW w:w="756" w:type="dxa"/>
            <w:tcBorders>
              <w:right w:val="single" w:sz="4" w:space="0" w:color="auto"/>
            </w:tcBorders>
            <w:shd w:val="clear" w:color="auto" w:fill="auto"/>
            <w:noWrap/>
            <w:vAlign w:val="center"/>
          </w:tcPr>
          <w:p w14:paraId="15CDCD98"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0.13</w:t>
            </w:r>
          </w:p>
        </w:tc>
      </w:tr>
      <w:tr w:rsidR="00FA13B0" w:rsidRPr="00EC4A07" w14:paraId="00AEF25B" w14:textId="77777777" w:rsidTr="00AE0879">
        <w:trPr>
          <w:trHeight w:val="238"/>
        </w:trPr>
        <w:tc>
          <w:tcPr>
            <w:tcW w:w="568" w:type="dxa"/>
            <w:tcBorders>
              <w:left w:val="single" w:sz="4" w:space="0" w:color="auto"/>
              <w:bottom w:val="single" w:sz="4" w:space="0" w:color="auto"/>
              <w:right w:val="single" w:sz="4" w:space="0" w:color="auto"/>
            </w:tcBorders>
            <w:shd w:val="clear" w:color="auto" w:fill="auto"/>
            <w:vAlign w:val="center"/>
          </w:tcPr>
          <w:p w14:paraId="3C32AF8E" w14:textId="77777777" w:rsidR="00FA13B0" w:rsidRPr="00EC4A07" w:rsidRDefault="00FA13B0" w:rsidP="00AE0879">
            <w:pPr>
              <w:jc w:val="center"/>
              <w:rPr>
                <w:rFonts w:eastAsia="Times New Roman"/>
                <w:color w:val="000000"/>
                <w:sz w:val="24"/>
                <w:szCs w:val="24"/>
                <w:lang w:eastAsia="fr-FR"/>
              </w:rPr>
            </w:pPr>
          </w:p>
        </w:tc>
        <w:tc>
          <w:tcPr>
            <w:tcW w:w="1275" w:type="dxa"/>
            <w:tcBorders>
              <w:left w:val="single" w:sz="4" w:space="0" w:color="auto"/>
              <w:bottom w:val="single" w:sz="4" w:space="0" w:color="auto"/>
              <w:right w:val="single" w:sz="4" w:space="0" w:color="auto"/>
            </w:tcBorders>
            <w:shd w:val="clear" w:color="auto" w:fill="auto"/>
            <w:noWrap/>
            <w:vAlign w:val="center"/>
          </w:tcPr>
          <w:p w14:paraId="7F85A044" w14:textId="77777777" w:rsidR="00FA13B0" w:rsidRPr="00EC4A07" w:rsidRDefault="00FA13B0" w:rsidP="00AE0879">
            <w:pPr>
              <w:jc w:val="center"/>
              <w:rPr>
                <w:rFonts w:eastAsia="Times New Roman"/>
                <w:color w:val="000000" w:themeColor="text1"/>
                <w:sz w:val="24"/>
                <w:szCs w:val="24"/>
                <w:lang w:eastAsia="fr-FR"/>
              </w:rPr>
            </w:pPr>
          </w:p>
          <w:p w14:paraId="44624E0F"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Height</w:t>
            </w:r>
          </w:p>
          <w:p w14:paraId="0A596AF2" w14:textId="77777777" w:rsidR="00FA13B0" w:rsidRPr="00EC4A07" w:rsidRDefault="00FA13B0" w:rsidP="00AE0879">
            <w:pPr>
              <w:jc w:val="center"/>
              <w:rPr>
                <w:rFonts w:eastAsia="Times New Roman"/>
                <w:color w:val="000000" w:themeColor="text1"/>
                <w:sz w:val="24"/>
                <w:szCs w:val="24"/>
                <w:lang w:eastAsia="fr-FR"/>
              </w:rPr>
            </w:pPr>
          </w:p>
        </w:tc>
        <w:tc>
          <w:tcPr>
            <w:tcW w:w="685" w:type="dxa"/>
            <w:tcBorders>
              <w:left w:val="single" w:sz="4" w:space="0" w:color="auto"/>
              <w:bottom w:val="single" w:sz="4" w:space="0" w:color="auto"/>
            </w:tcBorders>
            <w:shd w:val="clear" w:color="auto" w:fill="auto"/>
            <w:noWrap/>
            <w:vAlign w:val="center"/>
          </w:tcPr>
          <w:p w14:paraId="2368830F"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2.11</w:t>
            </w:r>
          </w:p>
        </w:tc>
        <w:tc>
          <w:tcPr>
            <w:tcW w:w="685" w:type="dxa"/>
            <w:tcBorders>
              <w:bottom w:val="single" w:sz="4" w:space="0" w:color="auto"/>
            </w:tcBorders>
            <w:shd w:val="clear" w:color="auto" w:fill="auto"/>
            <w:noWrap/>
            <w:vAlign w:val="center"/>
          </w:tcPr>
          <w:p w14:paraId="7B789250"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0.99 (8%)</w:t>
            </w:r>
          </w:p>
        </w:tc>
        <w:tc>
          <w:tcPr>
            <w:tcW w:w="685" w:type="dxa"/>
            <w:tcBorders>
              <w:bottom w:val="single" w:sz="4" w:space="0" w:color="auto"/>
              <w:right w:val="single" w:sz="4" w:space="0" w:color="auto"/>
            </w:tcBorders>
            <w:shd w:val="clear" w:color="auto" w:fill="auto"/>
            <w:noWrap/>
            <w:vAlign w:val="center"/>
          </w:tcPr>
          <w:p w14:paraId="5B920C49"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0.47</w:t>
            </w:r>
          </w:p>
        </w:tc>
        <w:tc>
          <w:tcPr>
            <w:tcW w:w="685" w:type="dxa"/>
            <w:tcBorders>
              <w:left w:val="single" w:sz="4" w:space="0" w:color="auto"/>
              <w:bottom w:val="single" w:sz="4" w:space="0" w:color="auto"/>
            </w:tcBorders>
            <w:shd w:val="clear" w:color="auto" w:fill="auto"/>
            <w:noWrap/>
            <w:vAlign w:val="center"/>
          </w:tcPr>
          <w:p w14:paraId="0CEE24DD"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1.91</w:t>
            </w:r>
          </w:p>
        </w:tc>
        <w:tc>
          <w:tcPr>
            <w:tcW w:w="685" w:type="dxa"/>
            <w:tcBorders>
              <w:bottom w:val="single" w:sz="4" w:space="0" w:color="auto"/>
            </w:tcBorders>
            <w:shd w:val="clear" w:color="auto" w:fill="auto"/>
            <w:noWrap/>
            <w:vAlign w:val="center"/>
          </w:tcPr>
          <w:p w14:paraId="2708EBAF"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0.90 (7%)</w:t>
            </w:r>
          </w:p>
        </w:tc>
        <w:tc>
          <w:tcPr>
            <w:tcW w:w="686" w:type="dxa"/>
            <w:tcBorders>
              <w:bottom w:val="single" w:sz="4" w:space="0" w:color="auto"/>
              <w:right w:val="single" w:sz="4" w:space="0" w:color="auto"/>
            </w:tcBorders>
            <w:shd w:val="clear" w:color="auto" w:fill="auto"/>
            <w:noWrap/>
            <w:vAlign w:val="center"/>
          </w:tcPr>
          <w:p w14:paraId="1C46514C"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0.47</w:t>
            </w:r>
          </w:p>
        </w:tc>
        <w:tc>
          <w:tcPr>
            <w:tcW w:w="709" w:type="dxa"/>
            <w:tcBorders>
              <w:left w:val="single" w:sz="4" w:space="0" w:color="auto"/>
              <w:bottom w:val="single" w:sz="4" w:space="0" w:color="auto"/>
            </w:tcBorders>
            <w:shd w:val="clear" w:color="auto" w:fill="auto"/>
            <w:noWrap/>
            <w:vAlign w:val="center"/>
          </w:tcPr>
          <w:p w14:paraId="50A99757"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4.05</w:t>
            </w:r>
          </w:p>
        </w:tc>
        <w:tc>
          <w:tcPr>
            <w:tcW w:w="803" w:type="dxa"/>
            <w:tcBorders>
              <w:bottom w:val="single" w:sz="4" w:space="0" w:color="auto"/>
            </w:tcBorders>
            <w:shd w:val="clear" w:color="auto" w:fill="auto"/>
            <w:noWrap/>
            <w:vAlign w:val="center"/>
          </w:tcPr>
          <w:p w14:paraId="151FD06E"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2.04 (16%)</w:t>
            </w:r>
          </w:p>
        </w:tc>
        <w:tc>
          <w:tcPr>
            <w:tcW w:w="756" w:type="dxa"/>
            <w:tcBorders>
              <w:bottom w:val="single" w:sz="4" w:space="0" w:color="auto"/>
              <w:right w:val="single" w:sz="4" w:space="0" w:color="auto"/>
            </w:tcBorders>
            <w:shd w:val="clear" w:color="auto" w:fill="auto"/>
            <w:noWrap/>
            <w:vAlign w:val="center"/>
          </w:tcPr>
          <w:p w14:paraId="008BCE0D"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0.50</w:t>
            </w:r>
          </w:p>
        </w:tc>
        <w:tc>
          <w:tcPr>
            <w:tcW w:w="709" w:type="dxa"/>
            <w:tcBorders>
              <w:left w:val="single" w:sz="4" w:space="0" w:color="auto"/>
              <w:bottom w:val="single" w:sz="4" w:space="0" w:color="auto"/>
            </w:tcBorders>
            <w:shd w:val="clear" w:color="auto" w:fill="auto"/>
            <w:noWrap/>
            <w:vAlign w:val="center"/>
          </w:tcPr>
          <w:p w14:paraId="0E6C8425"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4.60</w:t>
            </w:r>
          </w:p>
        </w:tc>
        <w:tc>
          <w:tcPr>
            <w:tcW w:w="803" w:type="dxa"/>
            <w:tcBorders>
              <w:bottom w:val="single" w:sz="4" w:space="0" w:color="auto"/>
            </w:tcBorders>
            <w:shd w:val="clear" w:color="auto" w:fill="auto"/>
            <w:noWrap/>
            <w:vAlign w:val="center"/>
          </w:tcPr>
          <w:p w14:paraId="7416347D"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1.47 (11%)</w:t>
            </w:r>
          </w:p>
        </w:tc>
        <w:tc>
          <w:tcPr>
            <w:tcW w:w="756" w:type="dxa"/>
            <w:tcBorders>
              <w:bottom w:val="single" w:sz="4" w:space="0" w:color="auto"/>
              <w:right w:val="single" w:sz="4" w:space="0" w:color="auto"/>
            </w:tcBorders>
            <w:shd w:val="clear" w:color="auto" w:fill="auto"/>
            <w:noWrap/>
            <w:vAlign w:val="center"/>
          </w:tcPr>
          <w:p w14:paraId="12E89BD5" w14:textId="77777777" w:rsidR="00FA13B0" w:rsidRPr="00EC4A07" w:rsidRDefault="00FA13B0" w:rsidP="00AE0879">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0.32</w:t>
            </w:r>
          </w:p>
        </w:tc>
      </w:tr>
    </w:tbl>
    <w:p w14:paraId="72E6693C" w14:textId="6EF060AB" w:rsidR="00FA13B0" w:rsidRDefault="00FA13B0" w:rsidP="00AC2069">
      <w:pPr>
        <w:spacing w:after="100" w:afterAutospacing="1"/>
        <w:ind w:left="720"/>
        <w:rPr>
          <w:rFonts w:eastAsia="Times New Roman"/>
          <w:sz w:val="24"/>
          <w:szCs w:val="24"/>
        </w:rPr>
      </w:pPr>
    </w:p>
    <w:p w14:paraId="16B9790F" w14:textId="4C5AFCAC" w:rsidR="00FA13B0" w:rsidRDefault="00FA13B0" w:rsidP="00AC2069">
      <w:pPr>
        <w:spacing w:after="100" w:afterAutospacing="1"/>
        <w:ind w:left="720"/>
        <w:rPr>
          <w:rFonts w:eastAsia="Times New Roman"/>
          <w:sz w:val="24"/>
          <w:szCs w:val="24"/>
        </w:rPr>
      </w:pPr>
      <w:r w:rsidRPr="00FA13B0">
        <w:rPr>
          <w:rFonts w:eastAsia="Times New Roman"/>
          <w:sz w:val="24"/>
          <w:szCs w:val="24"/>
        </w:rPr>
        <w:t xml:space="preserve">Weak selection: selection by truncation of the upper and the lower third (n = 60) of </w:t>
      </w:r>
      <w:r w:rsidRPr="00FA13B0">
        <w:rPr>
          <w:rFonts w:eastAsia="Times New Roman"/>
          <w:i/>
          <w:sz w:val="24"/>
          <w:szCs w:val="24"/>
        </w:rPr>
        <w:t>Arabidopsis thaliana</w:t>
      </w:r>
      <w:r w:rsidRPr="00FA13B0">
        <w:rPr>
          <w:rFonts w:eastAsia="Times New Roman"/>
          <w:sz w:val="24"/>
          <w:szCs w:val="24"/>
        </w:rPr>
        <w:t xml:space="preserve"> plants ranked by trait values to compose high and low selection lines (HSL and LSL, respectively). Strong selection: same method but selecting by truncation the upper and lower ca. 11% (n = 20) of plants. R is presented as trait change in trait units (g, cm, d) and percentage change. Narrow-sense heritability (</w:t>
      </w:r>
      <w:r w:rsidRPr="00FA13B0">
        <w:rPr>
          <w:rFonts w:eastAsia="Times New Roman"/>
          <w:i/>
          <w:sz w:val="24"/>
          <w:szCs w:val="24"/>
        </w:rPr>
        <w:t>h</w:t>
      </w:r>
      <w:r w:rsidRPr="00FA13B0">
        <w:rPr>
          <w:rFonts w:eastAsia="Times New Roman"/>
          <w:sz w:val="24"/>
          <w:szCs w:val="24"/>
        </w:rPr>
        <w:t xml:space="preserve">²) calculated by the breeder’s equation is in fact broad-sense heritability (H²) in self-fertilizing plants. Selection was considered significant following a conservative approach avoiding sampling bias; when the 95% Confidence Intervals of average trait values estimated on the basis of 1000 bootstraps did not overlap between upper and lower selection lines (Table </w:t>
      </w:r>
      <w:r w:rsidR="008801EF">
        <w:rPr>
          <w:rFonts w:eastAsia="Times New Roman"/>
          <w:sz w:val="24"/>
          <w:szCs w:val="24"/>
        </w:rPr>
        <w:t>S6</w:t>
      </w:r>
      <w:r w:rsidRPr="00FA13B0">
        <w:rPr>
          <w:rFonts w:eastAsia="Times New Roman"/>
          <w:sz w:val="24"/>
          <w:szCs w:val="24"/>
        </w:rPr>
        <w:t>). Biomass: above-ground dry biomass (g). Diameter: rosette diameter (cm). Flowering time (d). Height: Height at first fruit (cm)</w:t>
      </w:r>
    </w:p>
    <w:p w14:paraId="5A5F410B" w14:textId="622EA3D7" w:rsidR="00FA13B0" w:rsidRDefault="00FA13B0" w:rsidP="00AC2069">
      <w:pPr>
        <w:spacing w:after="100" w:afterAutospacing="1"/>
        <w:ind w:left="720"/>
        <w:rPr>
          <w:rFonts w:eastAsia="Times New Roman"/>
          <w:sz w:val="24"/>
          <w:szCs w:val="24"/>
        </w:rPr>
      </w:pPr>
      <w:r w:rsidRPr="00FA13B0">
        <w:rPr>
          <w:rFonts w:eastAsia="Times New Roman"/>
          <w:sz w:val="24"/>
          <w:szCs w:val="24"/>
        </w:rPr>
        <w:t>Epigenetic signature of selection</w:t>
      </w:r>
    </w:p>
    <w:p w14:paraId="4EB2E2D4" w14:textId="44A0C976" w:rsidR="00FA13B0" w:rsidRPr="00FA13B0" w:rsidRDefault="00FA13B0" w:rsidP="00FA13B0">
      <w:pPr>
        <w:spacing w:after="100" w:afterAutospacing="1"/>
        <w:ind w:left="720"/>
        <w:rPr>
          <w:rFonts w:eastAsia="Times New Roman"/>
          <w:sz w:val="24"/>
          <w:szCs w:val="24"/>
        </w:rPr>
      </w:pPr>
      <w:r w:rsidRPr="00FA13B0">
        <w:rPr>
          <w:rFonts w:eastAsia="Times New Roman"/>
          <w:sz w:val="24"/>
          <w:szCs w:val="24"/>
        </w:rPr>
        <w:t xml:space="preserve">We tested whether responses to selection are mirrored by changes in epigenetic allele frequencies at DMRs. After selection, we observed modifications of these frequencies (see Fig. 2 presenting the average frequencies based on 1000 </w:t>
      </w:r>
      <w:r w:rsidRPr="00FA13B0">
        <w:rPr>
          <w:rFonts w:eastAsia="Times New Roman"/>
          <w:i/>
          <w:sz w:val="24"/>
          <w:szCs w:val="24"/>
        </w:rPr>
        <w:t xml:space="preserve">in </w:t>
      </w:r>
      <w:proofErr w:type="spellStart"/>
      <w:r w:rsidRPr="00FA13B0">
        <w:rPr>
          <w:rFonts w:eastAsia="Times New Roman"/>
          <w:i/>
          <w:sz w:val="24"/>
          <w:szCs w:val="24"/>
        </w:rPr>
        <w:t>silico</w:t>
      </w:r>
      <w:proofErr w:type="spellEnd"/>
      <w:r w:rsidRPr="00FA13B0">
        <w:rPr>
          <w:rFonts w:eastAsia="Times New Roman"/>
          <w:sz w:val="24"/>
          <w:szCs w:val="24"/>
        </w:rPr>
        <w:t xml:space="preserve"> replicates for all selection and control lines in each experimental population). Estimating these frequencies on the basis of 1000 bootstraps excluded the potential bias caused by the weight of a given </w:t>
      </w:r>
      <w:proofErr w:type="spellStart"/>
      <w:r w:rsidRPr="00FA13B0">
        <w:rPr>
          <w:rFonts w:eastAsia="Times New Roman"/>
          <w:sz w:val="24"/>
          <w:szCs w:val="24"/>
        </w:rPr>
        <w:t>epiRIL</w:t>
      </w:r>
      <w:proofErr w:type="spellEnd"/>
      <w:r w:rsidRPr="00FA13B0">
        <w:rPr>
          <w:rFonts w:eastAsia="Times New Roman"/>
          <w:sz w:val="24"/>
          <w:szCs w:val="24"/>
        </w:rPr>
        <w:t xml:space="preserve"> in any given selection line or control group. These frequencies reflected divergent epigenetic changes in the progeny of high and low selection lines in each population, notably under strong selection (Fig. 2). Since sets of </w:t>
      </w:r>
      <w:proofErr w:type="spellStart"/>
      <w:r w:rsidRPr="00FA13B0">
        <w:rPr>
          <w:rFonts w:eastAsia="Times New Roman"/>
          <w:sz w:val="24"/>
          <w:szCs w:val="24"/>
        </w:rPr>
        <w:t>epiRILs</w:t>
      </w:r>
      <w:proofErr w:type="spellEnd"/>
      <w:r w:rsidRPr="00FA13B0">
        <w:rPr>
          <w:rFonts w:eastAsia="Times New Roman"/>
          <w:sz w:val="24"/>
          <w:szCs w:val="24"/>
        </w:rPr>
        <w:t xml:space="preserve"> differed between populations, selection lines and control groups, it is therefore legitimate to observe different frequencies for a given trait or chromosome region between populations, and to denote the signature of selection depicted by a similar enrichment of epigenetic alleles on the </w:t>
      </w:r>
      <w:proofErr w:type="spellStart"/>
      <w:r w:rsidRPr="00FA13B0">
        <w:rPr>
          <w:rFonts w:eastAsia="Times New Roman"/>
          <w:sz w:val="24"/>
          <w:szCs w:val="24"/>
        </w:rPr>
        <w:t>heatmap</w:t>
      </w:r>
      <w:proofErr w:type="spellEnd"/>
      <w:r w:rsidRPr="00FA13B0">
        <w:rPr>
          <w:rFonts w:eastAsia="Times New Roman"/>
          <w:sz w:val="24"/>
          <w:szCs w:val="24"/>
        </w:rPr>
        <w:t xml:space="preserve"> (Fig 2).</w:t>
      </w:r>
    </w:p>
    <w:p w14:paraId="7E1A5CD2" w14:textId="371B176D" w:rsidR="00FA13B0" w:rsidRDefault="00FA13B0" w:rsidP="00AC2069">
      <w:pPr>
        <w:spacing w:after="100" w:afterAutospacing="1"/>
        <w:ind w:left="720"/>
        <w:rPr>
          <w:rFonts w:eastAsia="Times New Roman"/>
          <w:sz w:val="24"/>
          <w:szCs w:val="24"/>
        </w:rPr>
      </w:pPr>
      <w:r w:rsidRPr="000059CE">
        <w:rPr>
          <w:noProof/>
          <w:lang w:val="fr-FR" w:eastAsia="fr-FR"/>
        </w:rPr>
        <w:lastRenderedPageBreak/>
        <w:drawing>
          <wp:inline distT="0" distB="0" distL="0" distR="0" wp14:anchorId="255E862B" wp14:editId="364DE3BB">
            <wp:extent cx="5731510" cy="4257356"/>
            <wp:effectExtent l="0" t="0" r="2540" b="0"/>
            <wp:docPr id="3" name="Image 3" descr="C:\Users\Benoit\Desktop\MANUSCRIPT  SUBMITTED - PUJOL - Arabidopsis\Fig 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Benoit\Desktop\MANUSCRIPT  SUBMITTED - PUJOL - Arabidopsis\Fig 2.t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31510" cy="4257356"/>
                    </a:xfrm>
                    <a:prstGeom prst="rect">
                      <a:avLst/>
                    </a:prstGeom>
                    <a:noFill/>
                    <a:ln>
                      <a:noFill/>
                    </a:ln>
                  </pic:spPr>
                </pic:pic>
              </a:graphicData>
            </a:graphic>
          </wp:inline>
        </w:drawing>
      </w:r>
    </w:p>
    <w:p w14:paraId="5398E8C3" w14:textId="50404989" w:rsidR="00FA13B0" w:rsidRPr="00FA13B0" w:rsidRDefault="00FA13B0" w:rsidP="00AC2069">
      <w:pPr>
        <w:spacing w:after="100" w:afterAutospacing="1"/>
        <w:ind w:left="720"/>
        <w:rPr>
          <w:rFonts w:ascii="Arial" w:eastAsia="Times New Roman" w:hAnsi="Arial" w:cs="Arial"/>
          <w:sz w:val="22"/>
          <w:szCs w:val="22"/>
        </w:rPr>
      </w:pPr>
      <w:r w:rsidRPr="00FA13B0">
        <w:rPr>
          <w:rFonts w:ascii="Arial" w:eastAsia="Times New Roman" w:hAnsi="Arial" w:cs="Arial"/>
          <w:b/>
          <w:sz w:val="22"/>
          <w:szCs w:val="22"/>
        </w:rPr>
        <w:t>Fig. 2. Selection experiment drives changes in epigenetic frequencies.</w:t>
      </w:r>
      <w:r w:rsidRPr="00FA13B0">
        <w:rPr>
          <w:rFonts w:ascii="Arial" w:eastAsia="Times New Roman" w:hAnsi="Arial" w:cs="Arial"/>
          <w:sz w:val="22"/>
          <w:szCs w:val="22"/>
        </w:rPr>
        <w:t xml:space="preserve"> Changes in epigenetic allele frequencies after selection: The heat map presents DMR frequencies in G1 selection lines (LSL: low selection line and HSL: high selection line) and control groups (CG) for each of the four traits (BIOM: above ground dry biomass, DIAM: rosette diameter, FLTM: flowering time, HGHT: height of first silique) in populations 1 and 2. DMRs location on the five chromosomes are labelled on the left-hand vertical axis. Methylation frequencies of DMRs are represented by a colored band, with a gradient from blue (wild-type methylation status) to yellow (fixation of ddm1-2 mutant methylation status). In each panel, DMR frequencies on a given chromosome are presented for the low, control and high selection lines. Each column corresponds to a trait. Frequencies were estimated on the basis of 1000 bootstraps.</w:t>
      </w:r>
    </w:p>
    <w:p w14:paraId="1D537B40" w14:textId="00BA1871" w:rsidR="00FA13B0" w:rsidRPr="00FA13B0" w:rsidRDefault="00FA13B0" w:rsidP="00FA13B0">
      <w:pPr>
        <w:spacing w:after="100" w:afterAutospacing="1"/>
        <w:ind w:left="720"/>
        <w:rPr>
          <w:rFonts w:eastAsia="Times New Roman"/>
          <w:sz w:val="24"/>
          <w:szCs w:val="24"/>
        </w:rPr>
      </w:pPr>
      <w:r w:rsidRPr="00FA13B0">
        <w:rPr>
          <w:rFonts w:eastAsia="Times New Roman"/>
          <w:sz w:val="24"/>
          <w:szCs w:val="24"/>
        </w:rPr>
        <w:t xml:space="preserve">We used a Principal Component Analysis (PCA) to reduce the dimensionality of </w:t>
      </w:r>
      <w:proofErr w:type="spellStart"/>
      <w:r w:rsidRPr="00FA13B0">
        <w:rPr>
          <w:rFonts w:eastAsia="Times New Roman"/>
          <w:sz w:val="24"/>
          <w:szCs w:val="24"/>
        </w:rPr>
        <w:t>epigenomic</w:t>
      </w:r>
      <w:proofErr w:type="spellEnd"/>
      <w:r w:rsidRPr="00FA13B0">
        <w:rPr>
          <w:rFonts w:eastAsia="Times New Roman"/>
          <w:sz w:val="24"/>
          <w:szCs w:val="24"/>
        </w:rPr>
        <w:t xml:space="preserve"> data and summarize its variation distributed over the whole genome into 16 independent variables that can be statistically analyzed. We found significant epigenetic divergence after selection on rosette diameter and height at first fruit in both populations (lack of overlap between 95% confidence intervals for PCA coordinates on the first dimension, representing 18% and 22% of the global DMR variation in populations 1 and 2, respectively, Fig. 3). Thus, the divergent selection for rosette wider and narrower rosette diameters led to opposite changes in the frequency of cytosine methylations in the same genetic background. A similar epigenetic response to selection was observed after divergent selection for smaller and higher plant height at first fruit. Phenotypic selection for either increased or decreased above-ground biomass did not trigger a significant phenotypic change in response to selection. It was therefore not surprising to observe the absence of significant epigenetic divergence in this trait between selection lines. Interestingly, selection for earlier and later flowering plants, which had resulted in </w:t>
      </w:r>
      <w:r w:rsidRPr="00FA13B0">
        <w:rPr>
          <w:rFonts w:eastAsia="Times New Roman"/>
          <w:sz w:val="24"/>
          <w:szCs w:val="24"/>
        </w:rPr>
        <w:lastRenderedPageBreak/>
        <w:t>moderate responses to selection in population 1 and almost no response in population 2, did not drive statistically significant epigenetic changes (Fig. 3). This lack of epigenetic response may reflect the conservative nature of our approach or the possibility that the epigenetic architecture of flowering time consists of one to few loci whose variation was not captured by our statistical approach. Our study in plants therefore provides direct experimental evidence for heritable epigenetic changes in response to selection based on size.</w:t>
      </w:r>
    </w:p>
    <w:p w14:paraId="35DF4EFF" w14:textId="3392EFD8" w:rsidR="00FA13B0" w:rsidRDefault="00FA13B0" w:rsidP="00AC2069">
      <w:pPr>
        <w:spacing w:after="100" w:afterAutospacing="1"/>
        <w:ind w:left="720"/>
        <w:rPr>
          <w:rFonts w:eastAsia="Times New Roman"/>
          <w:sz w:val="24"/>
          <w:szCs w:val="24"/>
        </w:rPr>
      </w:pPr>
      <w:r w:rsidRPr="00544E0B">
        <w:rPr>
          <w:noProof/>
          <w:lang w:val="fr-FR" w:eastAsia="fr-FR"/>
        </w:rPr>
        <w:drawing>
          <wp:inline distT="0" distB="0" distL="0" distR="0" wp14:anchorId="270804F1" wp14:editId="79B2525C">
            <wp:extent cx="3590925" cy="4982284"/>
            <wp:effectExtent l="0" t="0" r="0" b="8890"/>
            <wp:docPr id="6" name="Image 6" descr="C:\Users\Benoit\Desktop\Travaux URGENT SHIT\MANUSCRIPT DRAFT - PUJOL - Arabidopsis\FIG 2 new new.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Benoit\Desktop\Travaux URGENT SHIT\MANUSCRIPT DRAFT - PUJOL - Arabidopsis\FIG 2 new new.tif"/>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620988" cy="5023996"/>
                    </a:xfrm>
                    <a:prstGeom prst="rect">
                      <a:avLst/>
                    </a:prstGeom>
                    <a:noFill/>
                    <a:ln>
                      <a:noFill/>
                    </a:ln>
                  </pic:spPr>
                </pic:pic>
              </a:graphicData>
            </a:graphic>
          </wp:inline>
        </w:drawing>
      </w:r>
    </w:p>
    <w:p w14:paraId="61A217CD" w14:textId="41C9375C" w:rsidR="00A16C38" w:rsidRPr="00FA13B0" w:rsidRDefault="00FA13B0" w:rsidP="00FA13B0">
      <w:pPr>
        <w:spacing w:after="100" w:afterAutospacing="1"/>
        <w:ind w:left="720"/>
        <w:rPr>
          <w:rFonts w:ascii="Arial" w:eastAsia="Times New Roman" w:hAnsi="Arial" w:cs="Arial"/>
          <w:sz w:val="22"/>
          <w:szCs w:val="22"/>
        </w:rPr>
      </w:pPr>
      <w:r w:rsidRPr="00FA13B0">
        <w:rPr>
          <w:rFonts w:ascii="Arial" w:eastAsia="Times New Roman" w:hAnsi="Arial" w:cs="Arial"/>
          <w:b/>
          <w:sz w:val="22"/>
          <w:szCs w:val="22"/>
        </w:rPr>
        <w:t>Fig. 3. Epigenetic divergence or its lack thereof between selection treatments.</w:t>
      </w:r>
      <w:r w:rsidRPr="00FA13B0">
        <w:rPr>
          <w:rFonts w:ascii="Arial" w:eastAsia="Times New Roman" w:hAnsi="Arial" w:cs="Arial"/>
          <w:sz w:val="22"/>
          <w:szCs w:val="22"/>
        </w:rPr>
        <w:t xml:space="preserve"> Epigenetic divergence for each Arabidopsis thaliana </w:t>
      </w:r>
      <w:proofErr w:type="spellStart"/>
      <w:r w:rsidRPr="00FA13B0">
        <w:rPr>
          <w:rFonts w:ascii="Arial" w:eastAsia="Times New Roman" w:hAnsi="Arial" w:cs="Arial"/>
          <w:sz w:val="22"/>
          <w:szCs w:val="22"/>
        </w:rPr>
        <w:t>epiRIL</w:t>
      </w:r>
      <w:proofErr w:type="spellEnd"/>
      <w:r w:rsidRPr="00FA13B0">
        <w:rPr>
          <w:rFonts w:ascii="Arial" w:eastAsia="Times New Roman" w:hAnsi="Arial" w:cs="Arial"/>
          <w:sz w:val="22"/>
          <w:szCs w:val="22"/>
        </w:rPr>
        <w:t xml:space="preserve"> population (pop 1 and 2), each trait, each selection strength (n = 60 for each line under weak selection, n = 20 for each line under strong selection), and line (high and low selection lines) of plants. Principal Component Analysis coordinates for the first dimension (PC1), which synthesizes 18% and 22% of the global DMR variation in populations 1 and 2 respectively, are presented with their 95% confidence intervals. Divergence was considered significant following a conservative approach avoiding sampling bias: when 95% Confidence Intervals of PC1 values estimated on the basis of 1000 bootstraps did not overlap between upper and lower selection lines. Significant epigenetic divergent responses to selection are shown in red.</w:t>
      </w:r>
    </w:p>
    <w:p w14:paraId="227804B1" w14:textId="77777777" w:rsidR="008573F1" w:rsidRDefault="004A10BE" w:rsidP="00AC2069">
      <w:pPr>
        <w:pStyle w:val="Paragraph"/>
        <w:spacing w:before="0"/>
        <w:ind w:firstLine="0"/>
      </w:pPr>
      <w:r w:rsidRPr="008B1FB9">
        <w:rPr>
          <w:b/>
        </w:rPr>
        <w:t>Discussion</w:t>
      </w:r>
      <w:r>
        <w:t xml:space="preserve"> </w:t>
      </w:r>
    </w:p>
    <w:p w14:paraId="665B2D70" w14:textId="180B7318" w:rsidR="003C33A6" w:rsidRDefault="003C33A6" w:rsidP="004931FB">
      <w:pPr>
        <w:pStyle w:val="Paragraph"/>
        <w:spacing w:before="0"/>
        <w:ind w:left="720" w:firstLine="0"/>
      </w:pPr>
      <w:r w:rsidRPr="003C33A6">
        <w:lastRenderedPageBreak/>
        <w:t>Theory predicts that selection acts on transgenerational epigenetic variation presumably without a contribution of genetic variation</w:t>
      </w:r>
      <w:r w:rsidR="00B54575">
        <w:t xml:space="preserve"> (5, 7)</w:t>
      </w:r>
      <w:r w:rsidRPr="003C33A6">
        <w:t xml:space="preserve">. Evidence for epigenetic divergence </w:t>
      </w:r>
      <w:r w:rsidR="00493108">
        <w:t xml:space="preserve">between populations sharing different histories of adaptation </w:t>
      </w:r>
      <w:r w:rsidRPr="003C33A6">
        <w:t xml:space="preserve">suggests such shaping of epigenetic trait variation by selection in both plants and animals (17, 45-51). </w:t>
      </w:r>
      <w:r w:rsidR="004931FB" w:rsidRPr="004931FB">
        <w:t xml:space="preserve">Our selection experiment </w:t>
      </w:r>
      <w:r w:rsidR="00CA0F16">
        <w:t>contribute</w:t>
      </w:r>
      <w:r w:rsidR="00B54575">
        <w:t>d</w:t>
      </w:r>
      <w:r w:rsidR="00CA0F16">
        <w:t xml:space="preserve"> to advancing </w:t>
      </w:r>
      <w:r w:rsidR="00B54575">
        <w:t>th</w:t>
      </w:r>
      <w:r w:rsidR="00493108">
        <w:t xml:space="preserve">is knowledge </w:t>
      </w:r>
      <w:r w:rsidR="00CA0F16">
        <w:t xml:space="preserve">by providing a </w:t>
      </w:r>
      <w:r w:rsidR="004931FB" w:rsidRPr="004931FB">
        <w:t>test confirm</w:t>
      </w:r>
      <w:r w:rsidR="00CA0F16">
        <w:t>ing</w:t>
      </w:r>
      <w:r w:rsidR="004931FB" w:rsidRPr="004931FB">
        <w:t xml:space="preserve"> this expectation</w:t>
      </w:r>
      <w:r w:rsidR="00493108">
        <w:t xml:space="preserve"> </w:t>
      </w:r>
      <w:r w:rsidR="00B54575">
        <w:t>in</w:t>
      </w:r>
      <w:r w:rsidR="00493108">
        <w:t xml:space="preserve"> real time over a single generation of selection, through the comparison of </w:t>
      </w:r>
      <w:proofErr w:type="spellStart"/>
      <w:r w:rsidR="00493108">
        <w:t>epiRIL</w:t>
      </w:r>
      <w:proofErr w:type="spellEnd"/>
      <w:r w:rsidR="00493108">
        <w:t xml:space="preserve"> experimental populations of</w:t>
      </w:r>
      <w:r w:rsidR="00B54575">
        <w:t xml:space="preserve"> </w:t>
      </w:r>
      <w:r w:rsidR="00B54575" w:rsidRPr="00B54575">
        <w:rPr>
          <w:i/>
        </w:rPr>
        <w:t>A. thaliana</w:t>
      </w:r>
      <w:r w:rsidR="00493108">
        <w:rPr>
          <w:i/>
        </w:rPr>
        <w:t xml:space="preserve"> </w:t>
      </w:r>
      <w:r w:rsidR="00493108" w:rsidRPr="002C5B58">
        <w:t>surveyed before and after selection</w:t>
      </w:r>
      <w:r w:rsidR="004931FB" w:rsidRPr="004931FB">
        <w:t>.</w:t>
      </w:r>
      <w:r w:rsidR="004931FB">
        <w:t xml:space="preserve"> </w:t>
      </w:r>
    </w:p>
    <w:p w14:paraId="5E69113F" w14:textId="77777777" w:rsidR="004931FB" w:rsidRPr="004931FB" w:rsidRDefault="004931FB" w:rsidP="004931FB">
      <w:pPr>
        <w:pStyle w:val="Paragraph"/>
        <w:spacing w:before="0"/>
        <w:ind w:left="720" w:firstLine="0"/>
      </w:pPr>
    </w:p>
    <w:p w14:paraId="7C6ED133" w14:textId="0D485A01" w:rsidR="003C33A6" w:rsidRDefault="003C33A6" w:rsidP="002C5B58">
      <w:pPr>
        <w:pStyle w:val="Paragraph"/>
        <w:ind w:left="720"/>
      </w:pPr>
      <w:r w:rsidRPr="003C33A6">
        <w:t xml:space="preserve">Our study did not aim to infer which causal epigenetic variants were responsible for which phenotypic trait value, but rather to test for an epigenetic response to selection. It is nevertheless interesting to note that the range of artificially induced epigenetic trait variation in </w:t>
      </w:r>
      <w:r w:rsidR="00B54575" w:rsidRPr="003C33A6">
        <w:rPr>
          <w:i/>
        </w:rPr>
        <w:t>A. thaliana</w:t>
      </w:r>
      <w:r w:rsidR="00B54575" w:rsidRPr="003C33A6">
        <w:t xml:space="preserve"> </w:t>
      </w:r>
      <w:proofErr w:type="spellStart"/>
      <w:r w:rsidRPr="003C33A6">
        <w:t>epiRILs</w:t>
      </w:r>
      <w:proofErr w:type="spellEnd"/>
      <w:r w:rsidRPr="003C33A6">
        <w:t xml:space="preserve"> is similar to the heritable fitness-related trait variation observed in divergent natural populations (20). </w:t>
      </w:r>
      <w:r w:rsidR="00493108">
        <w:t xml:space="preserve">Although the DNA methylation polymorphism of </w:t>
      </w:r>
      <w:proofErr w:type="spellStart"/>
      <w:r w:rsidR="00493108">
        <w:t>epiRILs</w:t>
      </w:r>
      <w:proofErr w:type="spellEnd"/>
      <w:r w:rsidR="00493108">
        <w:t xml:space="preserve"> is larger than what can be observed in natural populations (Becker et al., 2011), our results provide us with </w:t>
      </w:r>
      <w:r w:rsidR="002C5B58">
        <w:t xml:space="preserve">evidence that a range of trait epigenetic </w:t>
      </w:r>
      <w:proofErr w:type="spellStart"/>
      <w:r w:rsidR="002C5B58">
        <w:t>heritabilities</w:t>
      </w:r>
      <w:proofErr w:type="spellEnd"/>
      <w:r w:rsidR="002C5B58">
        <w:t xml:space="preserve"> can be used to predict a range phenotypic changes in response to selection. </w:t>
      </w:r>
      <w:r w:rsidRPr="003C33A6">
        <w:t xml:space="preserve">Furthermore, as illustrated by Figure 2, LSLs tend to have higher DNA methylation state variability than HSLs, which appears to be mostly due to Chromosomes 1 and 5. In </w:t>
      </w:r>
      <w:r w:rsidRPr="003C33A6">
        <w:rPr>
          <w:i/>
        </w:rPr>
        <w:t>A. thaliana</w:t>
      </w:r>
      <w:r w:rsidRPr="003C33A6">
        <w:t xml:space="preserve"> </w:t>
      </w:r>
      <w:proofErr w:type="spellStart"/>
      <w:r w:rsidRPr="003C33A6">
        <w:t>epiRILs</w:t>
      </w:r>
      <w:proofErr w:type="spellEnd"/>
      <w:r w:rsidRPr="003C33A6">
        <w:t xml:space="preserve">, an increasing DMR frequency represents an increase in the proportion of </w:t>
      </w:r>
      <w:r w:rsidRPr="003C33A6">
        <w:rPr>
          <w:i/>
        </w:rPr>
        <w:t>ddm1-2</w:t>
      </w:r>
      <w:r w:rsidRPr="003C33A6">
        <w:t xml:space="preserve"> mutant epigenetic alleles in the population. LSLs therefore harbor more </w:t>
      </w:r>
      <w:proofErr w:type="spellStart"/>
      <w:r w:rsidRPr="003C33A6">
        <w:t>hypomethylated</w:t>
      </w:r>
      <w:proofErr w:type="spellEnd"/>
      <w:r w:rsidRPr="003C33A6">
        <w:t xml:space="preserve"> loci than control and HSLs harbor more </w:t>
      </w:r>
      <w:proofErr w:type="spellStart"/>
      <w:r w:rsidRPr="003C33A6">
        <w:t>hypermethylated</w:t>
      </w:r>
      <w:proofErr w:type="spellEnd"/>
      <w:r w:rsidRPr="003C33A6">
        <w:t xml:space="preserve"> loci in comparison to control. This finding suggests that our selection for bigger </w:t>
      </w:r>
      <w:proofErr w:type="spellStart"/>
      <w:r w:rsidRPr="003C33A6">
        <w:t>epiRIL</w:t>
      </w:r>
      <w:proofErr w:type="spellEnd"/>
      <w:r w:rsidRPr="003C33A6">
        <w:t xml:space="preserve"> plants that flower later selected against the </w:t>
      </w:r>
      <w:proofErr w:type="spellStart"/>
      <w:r w:rsidRPr="003C33A6">
        <w:t>hypomethylated</w:t>
      </w:r>
      <w:proofErr w:type="spellEnd"/>
      <w:r w:rsidRPr="003C33A6">
        <w:t xml:space="preserve"> nature of </w:t>
      </w:r>
      <w:proofErr w:type="spellStart"/>
      <w:r w:rsidRPr="003C33A6">
        <w:t>epiRILs</w:t>
      </w:r>
      <w:proofErr w:type="spellEnd"/>
      <w:r w:rsidRPr="003C33A6">
        <w:t xml:space="preserve"> that was artificially created by using the ddm1 mutation. The artificially induced global </w:t>
      </w:r>
      <w:proofErr w:type="spellStart"/>
      <w:r w:rsidRPr="003C33A6">
        <w:t>hypomethylation</w:t>
      </w:r>
      <w:proofErr w:type="spellEnd"/>
      <w:r w:rsidRPr="003C33A6">
        <w:t xml:space="preserve"> of the </w:t>
      </w:r>
      <w:r w:rsidRPr="003C33A6">
        <w:rPr>
          <w:i/>
        </w:rPr>
        <w:t>A. thaliana</w:t>
      </w:r>
      <w:r w:rsidRPr="003C33A6">
        <w:t xml:space="preserve"> </w:t>
      </w:r>
      <w:proofErr w:type="spellStart"/>
      <w:r w:rsidRPr="003C33A6">
        <w:t>epiRIL</w:t>
      </w:r>
      <w:proofErr w:type="spellEnd"/>
      <w:r w:rsidRPr="003C33A6">
        <w:t xml:space="preserve"> genome produced smaller plants flowering earlier. In fact, we selected for </w:t>
      </w:r>
      <w:proofErr w:type="spellStart"/>
      <w:r w:rsidRPr="003C33A6">
        <w:t>epigenomes</w:t>
      </w:r>
      <w:proofErr w:type="spellEnd"/>
      <w:r w:rsidRPr="003C33A6">
        <w:t xml:space="preserve"> and phenotypes that are closer to wild-type plants.</w:t>
      </w:r>
      <w:r>
        <w:t xml:space="preserve"> </w:t>
      </w:r>
    </w:p>
    <w:p w14:paraId="11FA71FA" w14:textId="77777777" w:rsidR="00365625" w:rsidRDefault="00365625" w:rsidP="004931FB">
      <w:pPr>
        <w:pStyle w:val="Paragraph"/>
        <w:spacing w:before="0"/>
        <w:ind w:left="720" w:firstLine="0"/>
      </w:pPr>
    </w:p>
    <w:p w14:paraId="5CA0EE70" w14:textId="64A9CAEB" w:rsidR="004931FB" w:rsidRDefault="00365625" w:rsidP="00365625">
      <w:pPr>
        <w:pStyle w:val="Paragraph"/>
        <w:spacing w:before="0"/>
        <w:ind w:left="720" w:firstLine="0"/>
      </w:pPr>
      <w:r>
        <w:t>O</w:t>
      </w:r>
      <w:r w:rsidR="00B206E0">
        <w:t xml:space="preserve">ur </w:t>
      </w:r>
      <w:r w:rsidR="00541E02">
        <w:t xml:space="preserve">experimental </w:t>
      </w:r>
      <w:r w:rsidR="00B206E0">
        <w:t xml:space="preserve">results show that </w:t>
      </w:r>
      <w:r w:rsidR="00580055" w:rsidRPr="00580055">
        <w:t xml:space="preserve">selection </w:t>
      </w:r>
      <w:r w:rsidR="00B206E0">
        <w:t xml:space="preserve">can </w:t>
      </w:r>
      <w:r w:rsidR="00580055" w:rsidRPr="00580055">
        <w:t xml:space="preserve">act on </w:t>
      </w:r>
      <w:r w:rsidR="00411D15">
        <w:t xml:space="preserve">stable </w:t>
      </w:r>
      <w:r w:rsidR="00580055" w:rsidRPr="00580055">
        <w:t>transgenerational epigenetic variation presumably without a contribution of genetic variation</w:t>
      </w:r>
      <w:r>
        <w:t xml:space="preserve">. Our findings </w:t>
      </w:r>
      <w:r w:rsidR="00541E02">
        <w:t xml:space="preserve">therefore </w:t>
      </w:r>
      <w:r>
        <w:t xml:space="preserve">imply the contribution of DNA methylation polymorphism to short-term adaptation in natural </w:t>
      </w:r>
      <w:r w:rsidRPr="00C8603C">
        <w:rPr>
          <w:i/>
        </w:rPr>
        <w:t>A. thaliana</w:t>
      </w:r>
      <w:r>
        <w:t xml:space="preserve"> populations. </w:t>
      </w:r>
      <w:r w:rsidR="00541E02">
        <w:t xml:space="preserve">However, </w:t>
      </w:r>
      <w:r w:rsidR="00FE2028">
        <w:t>o</w:t>
      </w:r>
      <w:r w:rsidR="00FE2028" w:rsidRPr="00FE2028">
        <w:t>ne of the limitations of our experiment</w:t>
      </w:r>
      <w:r w:rsidR="00FE2028">
        <w:t>al setting</w:t>
      </w:r>
      <w:r w:rsidR="00FE2028" w:rsidRPr="00FE2028">
        <w:t xml:space="preserve"> is that it does not allow us to predict whether th</w:t>
      </w:r>
      <w:r w:rsidR="00FE2028">
        <w:t>e</w:t>
      </w:r>
      <w:r w:rsidR="00FE2028" w:rsidRPr="00FE2028">
        <w:t xml:space="preserve"> </w:t>
      </w:r>
      <w:r w:rsidR="00FE2028">
        <w:t>epigenetic response to selection</w:t>
      </w:r>
      <w:r w:rsidR="00FE2028" w:rsidRPr="00FE2028">
        <w:t xml:space="preserve"> plays a predominant role in nature, where selection is a much more complex mechanism.</w:t>
      </w:r>
      <w:r w:rsidR="00FE2028">
        <w:t xml:space="preserve"> </w:t>
      </w:r>
      <w:r>
        <w:t xml:space="preserve">In nature, </w:t>
      </w:r>
      <w:r w:rsidR="000427E8">
        <w:t xml:space="preserve">selection will </w:t>
      </w:r>
      <w:r>
        <w:t xml:space="preserve">not </w:t>
      </w:r>
      <w:r w:rsidR="000427E8">
        <w:t xml:space="preserve">target </w:t>
      </w:r>
      <w:r>
        <w:t xml:space="preserve">independently </w:t>
      </w:r>
      <w:r w:rsidR="000427E8">
        <w:t>genetic and epigenetic components of fitness-related trait</w:t>
      </w:r>
      <w:r>
        <w:t>s</w:t>
      </w:r>
      <w:r w:rsidR="00735693">
        <w:t xml:space="preserve"> (</w:t>
      </w:r>
      <w:r w:rsidR="00F20B97">
        <w:t>43</w:t>
      </w:r>
      <w:r w:rsidR="00735693">
        <w:t>)</w:t>
      </w:r>
      <w:r w:rsidR="000427E8">
        <w:t xml:space="preserve">. </w:t>
      </w:r>
      <w:r>
        <w:t xml:space="preserve">Natural </w:t>
      </w:r>
      <w:r w:rsidR="004931FB">
        <w:t xml:space="preserve">selection will </w:t>
      </w:r>
      <w:r w:rsidR="00411D15">
        <w:t>affect</w:t>
      </w:r>
      <w:r w:rsidR="004931FB">
        <w:t xml:space="preserve"> </w:t>
      </w:r>
      <w:r w:rsidR="00411D15">
        <w:t xml:space="preserve">simultaneously all components of fitness variation, which </w:t>
      </w:r>
      <w:r w:rsidR="007C5B6A">
        <w:t>encompasses</w:t>
      </w:r>
      <w:r w:rsidR="00411D15">
        <w:t xml:space="preserve"> tightly linked genetic and </w:t>
      </w:r>
      <w:r w:rsidR="000427E8">
        <w:t>epigenetic variation</w:t>
      </w:r>
      <w:r w:rsidR="00411D15">
        <w:t xml:space="preserve">, some reversible methylation patterns and </w:t>
      </w:r>
      <w:proofErr w:type="spellStart"/>
      <w:r w:rsidR="004931FB">
        <w:t>hypomethylation</w:t>
      </w:r>
      <w:proofErr w:type="spellEnd"/>
      <w:r w:rsidR="00FE2028">
        <w:t xml:space="preserve"> </w:t>
      </w:r>
      <w:r w:rsidR="00EA3632">
        <w:t xml:space="preserve">driven </w:t>
      </w:r>
      <w:r w:rsidR="004931FB">
        <w:t xml:space="preserve">release </w:t>
      </w:r>
      <w:r w:rsidR="00411D15">
        <w:t xml:space="preserve">of </w:t>
      </w:r>
      <w:r w:rsidR="004931FB">
        <w:t>TEs modify</w:t>
      </w:r>
      <w:r w:rsidR="00EA3632">
        <w:t>ing</w:t>
      </w:r>
      <w:r w:rsidR="004931FB">
        <w:t xml:space="preserve"> the integrity of the genome structure</w:t>
      </w:r>
      <w:r w:rsidR="00FE2028">
        <w:t xml:space="preserve">. </w:t>
      </w:r>
    </w:p>
    <w:p w14:paraId="003C6CBD" w14:textId="209AD84E" w:rsidR="003C33A6" w:rsidRDefault="003C33A6" w:rsidP="003C33A6">
      <w:pPr>
        <w:pStyle w:val="Paragraph"/>
        <w:spacing w:before="0"/>
        <w:ind w:left="720" w:firstLine="0"/>
      </w:pPr>
    </w:p>
    <w:p w14:paraId="525A3857" w14:textId="1550D33F" w:rsidR="00543E14" w:rsidRDefault="00FE2028" w:rsidP="003C33A6">
      <w:pPr>
        <w:pStyle w:val="Paragraph"/>
        <w:spacing w:before="0"/>
        <w:ind w:left="720" w:firstLine="0"/>
      </w:pPr>
      <w:r>
        <w:t>T</w:t>
      </w:r>
      <w:r w:rsidR="00365625">
        <w:t xml:space="preserve">he scope for replication in other species of our proof of concept </w:t>
      </w:r>
      <w:r>
        <w:t xml:space="preserve">experimental </w:t>
      </w:r>
      <w:r w:rsidR="00365625">
        <w:t xml:space="preserve">approach is limited. This is because </w:t>
      </w:r>
      <w:proofErr w:type="spellStart"/>
      <w:r w:rsidR="00365625">
        <w:t>EpiRIL</w:t>
      </w:r>
      <w:proofErr w:type="spellEnd"/>
      <w:r w:rsidR="00365625">
        <w:t xml:space="preserve"> biological material is only available in very few species</w:t>
      </w:r>
      <w:r w:rsidR="00735693">
        <w:t xml:space="preserve"> </w:t>
      </w:r>
      <w:r w:rsidR="00B54575">
        <w:t>(</w:t>
      </w:r>
      <w:r w:rsidR="00F20B97">
        <w:t>20</w:t>
      </w:r>
      <w:r w:rsidR="00B54575">
        <w:t>, 25)</w:t>
      </w:r>
      <w:r w:rsidR="00365625">
        <w:t xml:space="preserve">. </w:t>
      </w:r>
      <w:r>
        <w:t>H</w:t>
      </w:r>
      <w:r w:rsidR="003C33A6" w:rsidRPr="004B7690">
        <w:t xml:space="preserve">eritable epigenetic variation for traits influencing fitness under environmental changes </w:t>
      </w:r>
      <w:r>
        <w:t xml:space="preserve">nevertheless </w:t>
      </w:r>
      <w:r w:rsidR="003C33A6" w:rsidRPr="004B7690">
        <w:t xml:space="preserve">exists in both plants and animals </w:t>
      </w:r>
      <w:r w:rsidR="003C33A6">
        <w:t>(</w:t>
      </w:r>
      <w:r w:rsidR="003C33A6" w:rsidRPr="000F61DB">
        <w:rPr>
          <w:iCs/>
        </w:rPr>
        <w:t>18, 45-52</w:t>
      </w:r>
      <w:r w:rsidR="003C33A6">
        <w:rPr>
          <w:iCs/>
        </w:rPr>
        <w:t>)</w:t>
      </w:r>
      <w:r w:rsidR="003C33A6" w:rsidRPr="004B7690">
        <w:t>, suggest</w:t>
      </w:r>
      <w:r w:rsidR="003C33A6">
        <w:t>ing</w:t>
      </w:r>
      <w:r w:rsidR="003C33A6" w:rsidRPr="004B7690">
        <w:t xml:space="preserve"> that our finding may be a common feature in </w:t>
      </w:r>
      <w:r w:rsidR="003C33A6">
        <w:t>many</w:t>
      </w:r>
      <w:r w:rsidR="003C33A6" w:rsidRPr="004B7690">
        <w:t xml:space="preserve"> species</w:t>
      </w:r>
      <w:r w:rsidR="003C33A6">
        <w:t xml:space="preserve">. </w:t>
      </w:r>
      <w:r>
        <w:t>Other s</w:t>
      </w:r>
      <w:r w:rsidR="003C33A6" w:rsidRPr="004B7690">
        <w:t>pecies harboring transgenerational epigenetic variation for fitness-related traits may benefit from this additional source of</w:t>
      </w:r>
      <w:r w:rsidR="003C33A6">
        <w:t xml:space="preserve"> short-term</w:t>
      </w:r>
      <w:r w:rsidR="003C33A6" w:rsidRPr="004B7690">
        <w:t xml:space="preserve"> adaptive </w:t>
      </w:r>
      <w:r w:rsidR="003C33A6">
        <w:t xml:space="preserve">or breeding </w:t>
      </w:r>
      <w:r w:rsidR="003C33A6" w:rsidRPr="004B7690">
        <w:t>potential</w:t>
      </w:r>
      <w:r w:rsidR="003C33A6">
        <w:t xml:space="preserve"> (</w:t>
      </w:r>
      <w:r w:rsidR="003C33A6" w:rsidRPr="000F61DB">
        <w:t>53,</w:t>
      </w:r>
      <w:r>
        <w:t xml:space="preserve"> </w:t>
      </w:r>
      <w:r w:rsidR="003C33A6" w:rsidRPr="000F61DB">
        <w:t>54</w:t>
      </w:r>
      <w:r w:rsidR="003C33A6">
        <w:t>).</w:t>
      </w:r>
    </w:p>
    <w:p w14:paraId="0E8672B6" w14:textId="77777777" w:rsidR="00543E14" w:rsidRDefault="00543E14" w:rsidP="00AC2069">
      <w:pPr>
        <w:pStyle w:val="Paragraph"/>
        <w:spacing w:before="0"/>
        <w:ind w:left="720" w:firstLine="0"/>
      </w:pPr>
    </w:p>
    <w:p w14:paraId="24495014" w14:textId="77777777" w:rsidR="00FA13B0" w:rsidRDefault="00FA13B0" w:rsidP="00AC2069">
      <w:pPr>
        <w:pStyle w:val="Paragraph"/>
        <w:spacing w:before="0"/>
        <w:ind w:left="720" w:firstLine="0"/>
      </w:pPr>
    </w:p>
    <w:p w14:paraId="74B2FE92" w14:textId="77777777" w:rsidR="00A16C38" w:rsidRDefault="00A16C38" w:rsidP="00AC2069">
      <w:pPr>
        <w:pStyle w:val="Paragraph"/>
        <w:spacing w:before="0"/>
        <w:ind w:firstLine="0"/>
        <w:rPr>
          <w:b/>
        </w:rPr>
      </w:pPr>
    </w:p>
    <w:p w14:paraId="61687AD7" w14:textId="77777777" w:rsidR="008573F1" w:rsidRPr="00384200" w:rsidRDefault="008573F1" w:rsidP="00AC2069">
      <w:pPr>
        <w:pStyle w:val="Paragraph"/>
        <w:spacing w:before="0"/>
        <w:ind w:firstLine="0"/>
      </w:pPr>
    </w:p>
    <w:p w14:paraId="003D76C1" w14:textId="621FB42D" w:rsidR="00677536" w:rsidRDefault="007E1FBC" w:rsidP="00AC2069">
      <w:pPr>
        <w:pStyle w:val="Refhead"/>
        <w:spacing w:before="0" w:after="0"/>
      </w:pPr>
      <w:r>
        <w:t>References</w:t>
      </w:r>
    </w:p>
    <w:p w14:paraId="2D45B63E" w14:textId="77777777" w:rsidR="000B32A3" w:rsidRDefault="000B32A3" w:rsidP="00062BF6">
      <w:pPr>
        <w:pStyle w:val="Referencesandnotes"/>
        <w:spacing w:before="0"/>
        <w:ind w:left="360" w:hanging="502"/>
      </w:pPr>
    </w:p>
    <w:p w14:paraId="340FE402" w14:textId="77777777" w:rsidR="00FA3C12" w:rsidRPr="00B962C8" w:rsidRDefault="00FA3C12" w:rsidP="00FA3C12">
      <w:pPr>
        <w:pStyle w:val="Referencesandnotes"/>
        <w:ind w:left="360" w:hanging="502"/>
      </w:pPr>
      <w:r w:rsidRPr="00B962C8">
        <w:t xml:space="preserve">A. </w:t>
      </w:r>
      <w:proofErr w:type="spellStart"/>
      <w:r w:rsidRPr="00B962C8">
        <w:t>Akalin</w:t>
      </w:r>
      <w:proofErr w:type="spellEnd"/>
      <w:r w:rsidRPr="00B962C8">
        <w:t xml:space="preserve">, M. </w:t>
      </w:r>
      <w:proofErr w:type="spellStart"/>
      <w:r w:rsidRPr="00B962C8">
        <w:t>Kormaksson</w:t>
      </w:r>
      <w:proofErr w:type="spellEnd"/>
      <w:r w:rsidRPr="00B962C8">
        <w:t>, S. Li, F. E. Garrett-</w:t>
      </w:r>
      <w:proofErr w:type="spellStart"/>
      <w:r w:rsidRPr="00B962C8">
        <w:t>Bakelman</w:t>
      </w:r>
      <w:proofErr w:type="spellEnd"/>
      <w:r w:rsidRPr="00B962C8">
        <w:t xml:space="preserve">, M. E. Figueroa, A. </w:t>
      </w:r>
      <w:proofErr w:type="spellStart"/>
      <w:r w:rsidRPr="00B962C8">
        <w:t>Melnick</w:t>
      </w:r>
      <w:proofErr w:type="spellEnd"/>
      <w:r w:rsidRPr="00B962C8">
        <w:t>, C. E. Mason</w:t>
      </w:r>
      <w:r>
        <w:t>,</w:t>
      </w:r>
      <w:r w:rsidRPr="00B962C8">
        <w:t xml:space="preserve"> </w:t>
      </w:r>
      <w:proofErr w:type="spellStart"/>
      <w:r w:rsidRPr="00B962C8">
        <w:t>methylKit</w:t>
      </w:r>
      <w:proofErr w:type="spellEnd"/>
      <w:r w:rsidRPr="00B962C8">
        <w:t>: a comprehensive R package for the analysis of genome-wide DNA methylation profiles.</w:t>
      </w:r>
      <w:r>
        <w:t> </w:t>
      </w:r>
      <w:r w:rsidRPr="00B962C8">
        <w:rPr>
          <w:i/>
        </w:rPr>
        <w:t>Genome Biol.</w:t>
      </w:r>
      <w:r>
        <w:t> </w:t>
      </w:r>
      <w:r w:rsidRPr="00B962C8">
        <w:rPr>
          <w:b/>
        </w:rPr>
        <w:t>13</w:t>
      </w:r>
      <w:r w:rsidRPr="00B962C8">
        <w:t>, R87 (2012).</w:t>
      </w:r>
    </w:p>
    <w:p w14:paraId="40152851" w14:textId="77777777" w:rsidR="005D1F47" w:rsidRDefault="005D1F47" w:rsidP="005D1F47">
      <w:pPr>
        <w:pStyle w:val="Referencesandnotes"/>
        <w:ind w:left="360" w:hanging="502"/>
      </w:pPr>
      <w:r w:rsidRPr="00031259">
        <w:t xml:space="preserve">M. R. </w:t>
      </w:r>
      <w:proofErr w:type="spellStart"/>
      <w:r w:rsidRPr="00031259">
        <w:t>Baerwald</w:t>
      </w:r>
      <w:proofErr w:type="spellEnd"/>
      <w:r w:rsidRPr="00031259">
        <w:t xml:space="preserve">, M. H. Meek, M. R. Stephens, R. P. </w:t>
      </w:r>
      <w:proofErr w:type="spellStart"/>
      <w:r w:rsidRPr="00031259">
        <w:t>Nagarajan</w:t>
      </w:r>
      <w:proofErr w:type="spellEnd"/>
      <w:r w:rsidRPr="00031259">
        <w:t xml:space="preserve">, A. M. </w:t>
      </w:r>
      <w:proofErr w:type="spellStart"/>
      <w:r w:rsidRPr="00031259">
        <w:t>Goodbla</w:t>
      </w:r>
      <w:proofErr w:type="spellEnd"/>
      <w:r w:rsidRPr="00031259">
        <w:t xml:space="preserve">, K. M. H. Tomalty, G. H. </w:t>
      </w:r>
      <w:proofErr w:type="spellStart"/>
      <w:r w:rsidRPr="00031259">
        <w:t>Thorgaard</w:t>
      </w:r>
      <w:proofErr w:type="spellEnd"/>
      <w:r w:rsidRPr="00031259">
        <w:t>, B. May, K. M. Nichols. Migration-related phenotypic divergence is associated with epigenetic modifications in rainbow trout.</w:t>
      </w:r>
      <w:r>
        <w:t> </w:t>
      </w:r>
      <w:r w:rsidRPr="00031259">
        <w:rPr>
          <w:i/>
        </w:rPr>
        <w:t>Mol. Ecol.</w:t>
      </w:r>
      <w:r>
        <w:t> </w:t>
      </w:r>
      <w:r w:rsidRPr="00031259">
        <w:rPr>
          <w:b/>
        </w:rPr>
        <w:t>25</w:t>
      </w:r>
      <w:r w:rsidRPr="00031259">
        <w:t>, 1785-1800 (2016).</w:t>
      </w:r>
    </w:p>
    <w:p w14:paraId="7AEA8BDB" w14:textId="77777777" w:rsidR="005D1F47" w:rsidRDefault="005D1F47" w:rsidP="005D1F47">
      <w:pPr>
        <w:pStyle w:val="Referencesandnotes"/>
        <w:ind w:left="360" w:hanging="502"/>
      </w:pPr>
      <w:r w:rsidRPr="008B7D53">
        <w:t xml:space="preserve">N. H. Barton, </w:t>
      </w:r>
      <w:proofErr w:type="spellStart"/>
      <w:proofErr w:type="gramStart"/>
      <w:r w:rsidRPr="008B7D53">
        <w:t>M.Turelli</w:t>
      </w:r>
      <w:proofErr w:type="spellEnd"/>
      <w:proofErr w:type="gramEnd"/>
      <w:r w:rsidRPr="008B7D53">
        <w:t>, Evolutionary quantitative genetics: how little do we know?</w:t>
      </w:r>
      <w:r>
        <w:t> </w:t>
      </w:r>
      <w:proofErr w:type="spellStart"/>
      <w:r w:rsidRPr="008B7D53">
        <w:rPr>
          <w:i/>
        </w:rPr>
        <w:t>Annu</w:t>
      </w:r>
      <w:proofErr w:type="spellEnd"/>
      <w:r w:rsidRPr="008B7D53">
        <w:rPr>
          <w:i/>
        </w:rPr>
        <w:t>. Rev. Genet.</w:t>
      </w:r>
      <w:r>
        <w:t> </w:t>
      </w:r>
      <w:r w:rsidRPr="008B7D53">
        <w:rPr>
          <w:b/>
        </w:rPr>
        <w:t>23</w:t>
      </w:r>
      <w:r w:rsidRPr="008B7D53">
        <w:t>, 337-370 (1989).</w:t>
      </w:r>
    </w:p>
    <w:p w14:paraId="30A8B9E9" w14:textId="77777777" w:rsidR="005D1F47" w:rsidRDefault="005D1F47" w:rsidP="005D1F47">
      <w:pPr>
        <w:pStyle w:val="Referencesandnotes"/>
        <w:ind w:left="360" w:hanging="502"/>
      </w:pPr>
      <w:r w:rsidRPr="00094135">
        <w:t xml:space="preserve">C. Becker, J. </w:t>
      </w:r>
      <w:proofErr w:type="spellStart"/>
      <w:r w:rsidRPr="00094135">
        <w:t>Hagmann</w:t>
      </w:r>
      <w:proofErr w:type="spellEnd"/>
      <w:r w:rsidRPr="00094135">
        <w:t xml:space="preserve">, J. Müller, D. Koenig, O. </w:t>
      </w:r>
      <w:proofErr w:type="spellStart"/>
      <w:r w:rsidRPr="00094135">
        <w:t>Stegle</w:t>
      </w:r>
      <w:proofErr w:type="spellEnd"/>
      <w:r w:rsidRPr="00094135">
        <w:t xml:space="preserve">, K. </w:t>
      </w:r>
      <w:proofErr w:type="spellStart"/>
      <w:r w:rsidRPr="00094135">
        <w:t>Borgwardt</w:t>
      </w:r>
      <w:proofErr w:type="spellEnd"/>
      <w:r w:rsidRPr="00094135">
        <w:t xml:space="preserve">, D. </w:t>
      </w:r>
      <w:proofErr w:type="spellStart"/>
      <w:r w:rsidRPr="00094135">
        <w:t>Weigel</w:t>
      </w:r>
      <w:proofErr w:type="spellEnd"/>
      <w:r w:rsidRPr="00094135">
        <w:t xml:space="preserve">, Spontaneous epigenetic variation in the </w:t>
      </w:r>
      <w:r w:rsidRPr="00094135">
        <w:rPr>
          <w:i/>
        </w:rPr>
        <w:t>Arabidopsis thaliana</w:t>
      </w:r>
      <w:r w:rsidRPr="00094135">
        <w:t xml:space="preserve"> </w:t>
      </w:r>
      <w:proofErr w:type="spellStart"/>
      <w:r w:rsidRPr="00094135">
        <w:t>methylome</w:t>
      </w:r>
      <w:proofErr w:type="spellEnd"/>
      <w:r w:rsidRPr="00094135">
        <w:t>.</w:t>
      </w:r>
      <w:r>
        <w:t> </w:t>
      </w:r>
      <w:r w:rsidRPr="00094135">
        <w:rPr>
          <w:i/>
        </w:rPr>
        <w:t>Nature</w:t>
      </w:r>
      <w:r>
        <w:t> </w:t>
      </w:r>
      <w:r w:rsidRPr="00094135">
        <w:rPr>
          <w:b/>
        </w:rPr>
        <w:t>480</w:t>
      </w:r>
      <w:r w:rsidRPr="00094135">
        <w:t>, 245–9 (2011).</w:t>
      </w:r>
    </w:p>
    <w:p w14:paraId="7BCF7CDE" w14:textId="77777777" w:rsidR="005D1F47" w:rsidRDefault="005D1F47" w:rsidP="005D1F47">
      <w:pPr>
        <w:pStyle w:val="Referencesandnotes"/>
        <w:ind w:left="360" w:hanging="502"/>
      </w:pPr>
      <w:r w:rsidRPr="00885C92">
        <w:t xml:space="preserve">A. J. </w:t>
      </w:r>
      <w:proofErr w:type="spellStart"/>
      <w:r w:rsidRPr="00885C92">
        <w:t>Bewick</w:t>
      </w:r>
      <w:proofErr w:type="spellEnd"/>
      <w:r w:rsidRPr="00885C92">
        <w:t xml:space="preserve">, L. Ji, C. E. </w:t>
      </w:r>
      <w:proofErr w:type="spellStart"/>
      <w:r w:rsidRPr="00885C92">
        <w:t>Niederhuth</w:t>
      </w:r>
      <w:proofErr w:type="spellEnd"/>
      <w:r w:rsidRPr="00885C92">
        <w:t xml:space="preserve">, E.-M. Willing, B. T. </w:t>
      </w:r>
      <w:proofErr w:type="spellStart"/>
      <w:r w:rsidRPr="00885C92">
        <w:t>Hofmeister</w:t>
      </w:r>
      <w:proofErr w:type="spellEnd"/>
      <w:r w:rsidRPr="00885C92">
        <w:t xml:space="preserve">, X. Shi, L. Wang, Z. Lu, N. A. Rohr, B. </w:t>
      </w:r>
      <w:proofErr w:type="spellStart"/>
      <w:r w:rsidRPr="00885C92">
        <w:t>Hartwig</w:t>
      </w:r>
      <w:proofErr w:type="spellEnd"/>
      <w:r w:rsidRPr="00885C92">
        <w:t xml:space="preserve">, C. Kiefer, R. B. Deal, J. Schmutz, J. </w:t>
      </w:r>
      <w:proofErr w:type="spellStart"/>
      <w:r w:rsidRPr="00885C92">
        <w:t>Grimwood</w:t>
      </w:r>
      <w:proofErr w:type="spellEnd"/>
      <w:r w:rsidRPr="00885C92">
        <w:t xml:space="preserve">, H. Stroud, S. E. Jacobsen, K. </w:t>
      </w:r>
      <w:proofErr w:type="spellStart"/>
      <w:r w:rsidRPr="00885C92">
        <w:t>Schneeberger</w:t>
      </w:r>
      <w:proofErr w:type="spellEnd"/>
      <w:r w:rsidRPr="00885C92">
        <w:t>, X. Zhang, R. J. Schmitz, On the origin and evolutionary consequences of gene body DNA methylation.</w:t>
      </w:r>
      <w:r>
        <w:t> </w:t>
      </w:r>
      <w:r w:rsidRPr="00885C92">
        <w:rPr>
          <w:i/>
        </w:rPr>
        <w:t>Proc. Natl. Acad. Sci. USA</w:t>
      </w:r>
      <w:r>
        <w:t> </w:t>
      </w:r>
      <w:r w:rsidRPr="00885C92">
        <w:rPr>
          <w:b/>
        </w:rPr>
        <w:t>113</w:t>
      </w:r>
      <w:r w:rsidRPr="00885C92">
        <w:t>, 9111-9116 (2016).</w:t>
      </w:r>
    </w:p>
    <w:p w14:paraId="5D05FBDB" w14:textId="77777777" w:rsidR="009E3DD6" w:rsidRDefault="009E3DD6" w:rsidP="009E3DD6">
      <w:pPr>
        <w:pStyle w:val="Referencesandnotes"/>
        <w:ind w:left="360" w:hanging="502"/>
      </w:pPr>
      <w:r>
        <w:t xml:space="preserve">R. </w:t>
      </w:r>
      <w:proofErr w:type="spellStart"/>
      <w:r>
        <w:t>Bonduriansky</w:t>
      </w:r>
      <w:proofErr w:type="spellEnd"/>
      <w:r>
        <w:t xml:space="preserve">, T. Day, </w:t>
      </w:r>
      <w:proofErr w:type="spellStart"/>
      <w:r>
        <w:t>Nongenetic</w:t>
      </w:r>
      <w:proofErr w:type="spellEnd"/>
      <w:r>
        <w:t xml:space="preserve"> inheritance and its evolutionary implications. </w:t>
      </w:r>
      <w:proofErr w:type="spellStart"/>
      <w:r w:rsidRPr="00AB2F01">
        <w:rPr>
          <w:i/>
        </w:rPr>
        <w:t>Annu</w:t>
      </w:r>
      <w:proofErr w:type="spellEnd"/>
      <w:r w:rsidRPr="00AB2F01">
        <w:rPr>
          <w:i/>
        </w:rPr>
        <w:t xml:space="preserve">. Rev. Ecol. </w:t>
      </w:r>
      <w:proofErr w:type="spellStart"/>
      <w:r w:rsidRPr="00AB2F01">
        <w:rPr>
          <w:i/>
        </w:rPr>
        <w:t>Evol</w:t>
      </w:r>
      <w:proofErr w:type="spellEnd"/>
      <w:r w:rsidRPr="00AB2F01">
        <w:rPr>
          <w:i/>
        </w:rPr>
        <w:t>. Syst.</w:t>
      </w:r>
      <w:r>
        <w:t> </w:t>
      </w:r>
      <w:r w:rsidRPr="00AB2F01">
        <w:rPr>
          <w:b/>
        </w:rPr>
        <w:t>40</w:t>
      </w:r>
      <w:r>
        <w:t>, 103–125 (2009).</w:t>
      </w:r>
    </w:p>
    <w:p w14:paraId="1933C67B" w14:textId="77777777" w:rsidR="009E3DD6" w:rsidRDefault="009E3DD6" w:rsidP="009E3DD6">
      <w:pPr>
        <w:pStyle w:val="Referencesandnotes"/>
        <w:ind w:left="360" w:hanging="502"/>
      </w:pPr>
      <w:r>
        <w:t xml:space="preserve">D. </w:t>
      </w:r>
      <w:proofErr w:type="spellStart"/>
      <w:r>
        <w:t>Charlesworth</w:t>
      </w:r>
      <w:proofErr w:type="spellEnd"/>
      <w:r>
        <w:t xml:space="preserve">, N. H. Barton, B. </w:t>
      </w:r>
      <w:proofErr w:type="spellStart"/>
      <w:r>
        <w:t>Charlesworth</w:t>
      </w:r>
      <w:proofErr w:type="spellEnd"/>
      <w:r>
        <w:t>, The sources of adaptive variation. </w:t>
      </w:r>
      <w:r w:rsidRPr="00AB2F01">
        <w:rPr>
          <w:i/>
        </w:rPr>
        <w:t>Proc. R. Soc. B.</w:t>
      </w:r>
      <w:r>
        <w:t> </w:t>
      </w:r>
      <w:r w:rsidRPr="00AB2F01">
        <w:rPr>
          <w:b/>
        </w:rPr>
        <w:t>284</w:t>
      </w:r>
      <w:r>
        <w:t xml:space="preserve">, 20162864 (2017). </w:t>
      </w:r>
    </w:p>
    <w:p w14:paraId="18FE9298" w14:textId="77777777" w:rsidR="005D1F47" w:rsidRDefault="005D1F47" w:rsidP="005D1F47">
      <w:pPr>
        <w:pStyle w:val="Referencesandnotes"/>
        <w:ind w:left="360" w:hanging="502"/>
      </w:pPr>
      <w:r w:rsidRPr="001646F8">
        <w:t xml:space="preserve">M. </w:t>
      </w:r>
      <w:proofErr w:type="spellStart"/>
      <w:r w:rsidRPr="001646F8">
        <w:t>Colomé-Tatché</w:t>
      </w:r>
      <w:proofErr w:type="spellEnd"/>
      <w:r w:rsidRPr="001646F8">
        <w:t xml:space="preserve">, S. </w:t>
      </w:r>
      <w:proofErr w:type="spellStart"/>
      <w:r w:rsidRPr="001646F8">
        <w:t>Cortijo</w:t>
      </w:r>
      <w:proofErr w:type="spellEnd"/>
      <w:r w:rsidRPr="001646F8">
        <w:t xml:space="preserve">, R. </w:t>
      </w:r>
      <w:proofErr w:type="spellStart"/>
      <w:r w:rsidRPr="001646F8">
        <w:t>Wardenaar</w:t>
      </w:r>
      <w:proofErr w:type="spellEnd"/>
      <w:r w:rsidRPr="001646F8">
        <w:t xml:space="preserve">, L. </w:t>
      </w:r>
      <w:proofErr w:type="spellStart"/>
      <w:r w:rsidRPr="001646F8">
        <w:t>Morgado</w:t>
      </w:r>
      <w:proofErr w:type="spellEnd"/>
      <w:r w:rsidRPr="001646F8">
        <w:t xml:space="preserve">, B. </w:t>
      </w:r>
      <w:proofErr w:type="spellStart"/>
      <w:r w:rsidRPr="001646F8">
        <w:t>Lahouze</w:t>
      </w:r>
      <w:proofErr w:type="spellEnd"/>
      <w:r w:rsidRPr="001646F8">
        <w:t xml:space="preserve">, A. </w:t>
      </w:r>
      <w:proofErr w:type="spellStart"/>
      <w:r w:rsidRPr="001646F8">
        <w:t>Sarazin</w:t>
      </w:r>
      <w:proofErr w:type="spellEnd"/>
      <w:r w:rsidRPr="001646F8">
        <w:t xml:space="preserve">, M. </w:t>
      </w:r>
      <w:proofErr w:type="spellStart"/>
      <w:r w:rsidRPr="001646F8">
        <w:t>Etcheverry</w:t>
      </w:r>
      <w:proofErr w:type="spellEnd"/>
      <w:r w:rsidRPr="001646F8">
        <w:t xml:space="preserve">, A. Martin, S. Feng, E. </w:t>
      </w:r>
      <w:proofErr w:type="spellStart"/>
      <w:r w:rsidRPr="001646F8">
        <w:t>Duvernois-Berthet</w:t>
      </w:r>
      <w:proofErr w:type="spellEnd"/>
      <w:r w:rsidRPr="001646F8">
        <w:t xml:space="preserve">, K. Labadie, P. </w:t>
      </w:r>
      <w:proofErr w:type="spellStart"/>
      <w:r w:rsidRPr="001646F8">
        <w:t>Wincker</w:t>
      </w:r>
      <w:proofErr w:type="spellEnd"/>
      <w:r w:rsidRPr="001646F8">
        <w:t xml:space="preserve">, S. E. Jacobsen, R. C. Jansen, V. </w:t>
      </w:r>
      <w:proofErr w:type="spellStart"/>
      <w:r w:rsidRPr="001646F8">
        <w:t>Colot</w:t>
      </w:r>
      <w:proofErr w:type="spellEnd"/>
      <w:r w:rsidRPr="001646F8">
        <w:t xml:space="preserve">, F. Johannes, Features of the </w:t>
      </w:r>
      <w:r w:rsidRPr="00091348">
        <w:rPr>
          <w:i/>
        </w:rPr>
        <w:t>Arabidopsis</w:t>
      </w:r>
      <w:r w:rsidRPr="001646F8">
        <w:t xml:space="preserve"> recombination landscape resulting from the combined loss of sequence variation and DNA methylation.</w:t>
      </w:r>
      <w:r>
        <w:t> </w:t>
      </w:r>
      <w:r w:rsidRPr="001646F8">
        <w:rPr>
          <w:i/>
        </w:rPr>
        <w:t>Proc. Natl. Acad. Sci. USA</w:t>
      </w:r>
      <w:r>
        <w:t> </w:t>
      </w:r>
      <w:r w:rsidRPr="001646F8">
        <w:rPr>
          <w:b/>
        </w:rPr>
        <w:t>109</w:t>
      </w:r>
      <w:r w:rsidRPr="001646F8">
        <w:t>, 16240-16245 (2012).</w:t>
      </w:r>
    </w:p>
    <w:p w14:paraId="34CD58C9" w14:textId="77777777" w:rsidR="009E3DD6" w:rsidRDefault="009E3DD6" w:rsidP="009E3DD6">
      <w:pPr>
        <w:pStyle w:val="Referencesandnotes"/>
        <w:ind w:left="360" w:hanging="502"/>
      </w:pPr>
      <w:r w:rsidRPr="0007097E">
        <w:t xml:space="preserve">S. </w:t>
      </w:r>
      <w:proofErr w:type="spellStart"/>
      <w:r w:rsidRPr="0007097E">
        <w:t>Cortijo</w:t>
      </w:r>
      <w:proofErr w:type="spellEnd"/>
      <w:r w:rsidRPr="0007097E">
        <w:t xml:space="preserve">, R. </w:t>
      </w:r>
      <w:proofErr w:type="spellStart"/>
      <w:r w:rsidRPr="0007097E">
        <w:t>Wardenaar</w:t>
      </w:r>
      <w:proofErr w:type="spellEnd"/>
      <w:r w:rsidRPr="0007097E">
        <w:t xml:space="preserve">, M. </w:t>
      </w:r>
      <w:proofErr w:type="spellStart"/>
      <w:r w:rsidRPr="0007097E">
        <w:t>Colomé-Tatché</w:t>
      </w:r>
      <w:proofErr w:type="spellEnd"/>
      <w:r w:rsidRPr="0007097E">
        <w:t xml:space="preserve">, A. Gilly, M. </w:t>
      </w:r>
      <w:proofErr w:type="spellStart"/>
      <w:r w:rsidRPr="0007097E">
        <w:t>Etcheverry</w:t>
      </w:r>
      <w:proofErr w:type="spellEnd"/>
      <w:r w:rsidRPr="0007097E">
        <w:t xml:space="preserve">, K. Labadie, E. </w:t>
      </w:r>
      <w:proofErr w:type="spellStart"/>
      <w:r w:rsidRPr="0007097E">
        <w:t>Caillieux</w:t>
      </w:r>
      <w:proofErr w:type="spellEnd"/>
      <w:r w:rsidRPr="0007097E">
        <w:t xml:space="preserve">, F. Hospital, J.-M. </w:t>
      </w:r>
      <w:proofErr w:type="spellStart"/>
      <w:r w:rsidRPr="0007097E">
        <w:t>Aury</w:t>
      </w:r>
      <w:proofErr w:type="spellEnd"/>
      <w:r w:rsidRPr="0007097E">
        <w:t xml:space="preserve">, P. </w:t>
      </w:r>
      <w:proofErr w:type="spellStart"/>
      <w:r w:rsidRPr="0007097E">
        <w:t>Wincker</w:t>
      </w:r>
      <w:proofErr w:type="spellEnd"/>
      <w:r w:rsidRPr="0007097E">
        <w:t xml:space="preserve">, F. </w:t>
      </w:r>
      <w:proofErr w:type="spellStart"/>
      <w:r w:rsidRPr="0007097E">
        <w:t>Roudier</w:t>
      </w:r>
      <w:proofErr w:type="spellEnd"/>
      <w:r w:rsidRPr="0007097E">
        <w:t xml:space="preserve">, R. C. Jansen, V. </w:t>
      </w:r>
      <w:proofErr w:type="spellStart"/>
      <w:r w:rsidRPr="0007097E">
        <w:t>Colot</w:t>
      </w:r>
      <w:proofErr w:type="spellEnd"/>
      <w:r w:rsidRPr="0007097E">
        <w:t>, F. Johannes. Mapping the epigenetic basis of complex traits.</w:t>
      </w:r>
      <w:r>
        <w:t> </w:t>
      </w:r>
      <w:r w:rsidRPr="0007097E">
        <w:rPr>
          <w:i/>
        </w:rPr>
        <w:t>Science</w:t>
      </w:r>
      <w:r>
        <w:t> </w:t>
      </w:r>
      <w:r w:rsidRPr="0007097E">
        <w:rPr>
          <w:b/>
        </w:rPr>
        <w:t>343</w:t>
      </w:r>
      <w:r w:rsidRPr="0007097E">
        <w:t>, 1145–8 (2014).</w:t>
      </w:r>
    </w:p>
    <w:p w14:paraId="76D23891" w14:textId="77777777" w:rsidR="009E3DD6" w:rsidRDefault="009E3DD6" w:rsidP="009E3DD6">
      <w:pPr>
        <w:pStyle w:val="Referencesandnotes"/>
        <w:ind w:left="360" w:hanging="502"/>
      </w:pPr>
      <w:r>
        <w:t xml:space="preserve">É. </w:t>
      </w:r>
      <w:proofErr w:type="spellStart"/>
      <w:r>
        <w:t>Danchin</w:t>
      </w:r>
      <w:proofErr w:type="spellEnd"/>
      <w:r>
        <w:t xml:space="preserve">, A. </w:t>
      </w:r>
      <w:proofErr w:type="spellStart"/>
      <w:r>
        <w:t>Charmantier</w:t>
      </w:r>
      <w:proofErr w:type="spellEnd"/>
      <w:r>
        <w:t xml:space="preserve">, F. A. Champagne, A. </w:t>
      </w:r>
      <w:proofErr w:type="spellStart"/>
      <w:r>
        <w:t>Mesoudi</w:t>
      </w:r>
      <w:proofErr w:type="spellEnd"/>
      <w:r>
        <w:t>, B. Pujol, S. Blanchet, Beyond DNA: integrating inclusive inheritance into an extended theory of evolution. </w:t>
      </w:r>
      <w:r w:rsidRPr="00AE0879">
        <w:rPr>
          <w:i/>
        </w:rPr>
        <w:t>Nat. Rev. Genet.</w:t>
      </w:r>
      <w:r>
        <w:rPr>
          <w:i/>
        </w:rPr>
        <w:t> </w:t>
      </w:r>
      <w:r w:rsidRPr="00AB2F01">
        <w:rPr>
          <w:b/>
        </w:rPr>
        <w:t>12</w:t>
      </w:r>
      <w:r>
        <w:t>, 475–86 (2011).</w:t>
      </w:r>
    </w:p>
    <w:p w14:paraId="5135C253" w14:textId="77777777" w:rsidR="00FA3C12" w:rsidRDefault="00FA3C12" w:rsidP="00FA3C12">
      <w:pPr>
        <w:pStyle w:val="Referencesandnotes"/>
        <w:ind w:left="360" w:hanging="502"/>
      </w:pPr>
      <w:r w:rsidRPr="00016B49">
        <w:t xml:space="preserve">Q. Dong, S. D. </w:t>
      </w:r>
      <w:proofErr w:type="spellStart"/>
      <w:r w:rsidRPr="00016B49">
        <w:t>Schlueter</w:t>
      </w:r>
      <w:proofErr w:type="spellEnd"/>
      <w:r w:rsidRPr="00016B49">
        <w:t xml:space="preserve">, V. </w:t>
      </w:r>
      <w:proofErr w:type="spellStart"/>
      <w:r w:rsidRPr="00016B49">
        <w:t>Brendel</w:t>
      </w:r>
      <w:proofErr w:type="spellEnd"/>
      <w:r w:rsidRPr="00016B49">
        <w:t xml:space="preserve">, </w:t>
      </w:r>
      <w:proofErr w:type="spellStart"/>
      <w:r w:rsidRPr="00016B49">
        <w:t>PlantGDB</w:t>
      </w:r>
      <w:proofErr w:type="spellEnd"/>
      <w:r w:rsidRPr="00016B49">
        <w:t>, plant genome database and analysis tools.</w:t>
      </w:r>
      <w:r>
        <w:t> </w:t>
      </w:r>
      <w:r w:rsidRPr="00016B49">
        <w:rPr>
          <w:i/>
        </w:rPr>
        <w:t>Nucleic Acids Res.</w:t>
      </w:r>
      <w:r>
        <w:t> </w:t>
      </w:r>
      <w:r w:rsidRPr="00016B49">
        <w:rPr>
          <w:b/>
        </w:rPr>
        <w:t>32</w:t>
      </w:r>
      <w:r w:rsidRPr="00016B49">
        <w:t>, D354-D359 (2004).</w:t>
      </w:r>
    </w:p>
    <w:p w14:paraId="6AA49845" w14:textId="77777777" w:rsidR="005D1F47" w:rsidRDefault="005D1F47" w:rsidP="005D1F47">
      <w:pPr>
        <w:pStyle w:val="Referencesandnotes"/>
        <w:ind w:left="360" w:hanging="502"/>
      </w:pPr>
      <w:r w:rsidRPr="00AB0DC6">
        <w:t xml:space="preserve">S. Dray, A.-B. </w:t>
      </w:r>
      <w:proofErr w:type="spellStart"/>
      <w:r w:rsidRPr="00AB0DC6">
        <w:t>Dufour</w:t>
      </w:r>
      <w:proofErr w:type="spellEnd"/>
      <w:r w:rsidRPr="00AB0DC6">
        <w:t xml:space="preserve">, </w:t>
      </w:r>
      <w:proofErr w:type="gramStart"/>
      <w:r w:rsidRPr="00AB0DC6">
        <w:t>The</w:t>
      </w:r>
      <w:proofErr w:type="gramEnd"/>
      <w:r w:rsidRPr="00AB0DC6">
        <w:t xml:space="preserve"> ade4 package: implementing the duality diagram for ecologists. </w:t>
      </w:r>
      <w:r w:rsidRPr="00AB0DC6">
        <w:rPr>
          <w:i/>
        </w:rPr>
        <w:t>J. Stat. Soft.</w:t>
      </w:r>
      <w:r>
        <w:t> </w:t>
      </w:r>
      <w:r w:rsidRPr="00AB0DC6">
        <w:rPr>
          <w:b/>
        </w:rPr>
        <w:t>22</w:t>
      </w:r>
      <w:r w:rsidRPr="00AB0DC6">
        <w:t>, 1-20 (2007).</w:t>
      </w:r>
    </w:p>
    <w:p w14:paraId="74F1B71B" w14:textId="77777777" w:rsidR="005D1F47" w:rsidRDefault="005D1F47" w:rsidP="005D1F47">
      <w:pPr>
        <w:pStyle w:val="Referencesandnotes"/>
        <w:ind w:left="360" w:hanging="502"/>
      </w:pPr>
      <w:r w:rsidRPr="00091348">
        <w:t xml:space="preserve">S. Feng, Z. </w:t>
      </w:r>
      <w:proofErr w:type="spellStart"/>
      <w:r w:rsidRPr="00091348">
        <w:t>Zhong</w:t>
      </w:r>
      <w:proofErr w:type="spellEnd"/>
      <w:r w:rsidRPr="00091348">
        <w:t xml:space="preserve">, M. Wang, S. E. Jacobsen, Efficient and accurate determination of genome-wide DNA methylation patterns in </w:t>
      </w:r>
      <w:r w:rsidRPr="00091348">
        <w:rPr>
          <w:i/>
        </w:rPr>
        <w:t>Arabidopsis thaliana</w:t>
      </w:r>
      <w:r w:rsidRPr="00091348">
        <w:t xml:space="preserve"> with enzymatic methyl sequencing.</w:t>
      </w:r>
      <w:r>
        <w:t> </w:t>
      </w:r>
      <w:r w:rsidRPr="00091348">
        <w:rPr>
          <w:i/>
        </w:rPr>
        <w:t>Epigenetics Chromatin</w:t>
      </w:r>
      <w:r>
        <w:rPr>
          <w:i/>
        </w:rPr>
        <w:t> </w:t>
      </w:r>
      <w:r w:rsidRPr="00091348">
        <w:rPr>
          <w:b/>
        </w:rPr>
        <w:t>13</w:t>
      </w:r>
      <w:r w:rsidRPr="00091348">
        <w:t>, 42 (2020).</w:t>
      </w:r>
    </w:p>
    <w:p w14:paraId="35A77DBE" w14:textId="77777777" w:rsidR="00FA3C12" w:rsidRDefault="00FA3C12" w:rsidP="00FA3C12">
      <w:pPr>
        <w:pStyle w:val="Referencesandnotes"/>
        <w:ind w:left="360" w:hanging="502"/>
      </w:pPr>
      <w:r w:rsidRPr="001A27F0">
        <w:t xml:space="preserve">J. </w:t>
      </w:r>
      <w:proofErr w:type="spellStart"/>
      <w:r w:rsidRPr="001A27F0">
        <w:t>Goecks</w:t>
      </w:r>
      <w:proofErr w:type="spellEnd"/>
      <w:r w:rsidRPr="001A27F0">
        <w:t xml:space="preserve">, A. </w:t>
      </w:r>
      <w:proofErr w:type="spellStart"/>
      <w:r w:rsidRPr="001A27F0">
        <w:t>Nekrutenko</w:t>
      </w:r>
      <w:proofErr w:type="spellEnd"/>
      <w:r w:rsidRPr="001A27F0">
        <w:t>, J. Taylor, The Galaxy Team</w:t>
      </w:r>
      <w:r>
        <w:t>,</w:t>
      </w:r>
      <w:r w:rsidRPr="001A27F0">
        <w:t xml:space="preserve"> Galaxy: a comprehensive approach for supporting accessible, reproducible, and transparent computational research in the life sciences.</w:t>
      </w:r>
      <w:r>
        <w:t> </w:t>
      </w:r>
      <w:r w:rsidRPr="001A27F0">
        <w:rPr>
          <w:i/>
        </w:rPr>
        <w:t>Genome Biol.</w:t>
      </w:r>
      <w:r>
        <w:t> </w:t>
      </w:r>
      <w:r w:rsidRPr="001A27F0">
        <w:rPr>
          <w:b/>
        </w:rPr>
        <w:t>11</w:t>
      </w:r>
      <w:r w:rsidRPr="001A27F0">
        <w:t>, R86 (2010).</w:t>
      </w:r>
    </w:p>
    <w:p w14:paraId="1A93BB96" w14:textId="77777777" w:rsidR="005D1F47" w:rsidRDefault="005D1F47" w:rsidP="005D1F47">
      <w:pPr>
        <w:pStyle w:val="Referencesandnotes"/>
        <w:ind w:left="360" w:hanging="502"/>
      </w:pPr>
      <w:r w:rsidRPr="00AB0DC6">
        <w:lastRenderedPageBreak/>
        <w:t>O. González-</w:t>
      </w:r>
      <w:proofErr w:type="spellStart"/>
      <w:r w:rsidRPr="00AB0DC6">
        <w:t>Recio</w:t>
      </w:r>
      <w:proofErr w:type="spellEnd"/>
      <w:r w:rsidRPr="00AB0DC6">
        <w:t>, M. A. Toro, A. Bach, Past, present, and future of epigenetics applied to livestock breeding.</w:t>
      </w:r>
      <w:r>
        <w:t> </w:t>
      </w:r>
      <w:r w:rsidRPr="00AB0DC6">
        <w:rPr>
          <w:i/>
        </w:rPr>
        <w:t>Front. Genet.</w:t>
      </w:r>
      <w:r>
        <w:t> </w:t>
      </w:r>
      <w:r w:rsidRPr="00AB0DC6">
        <w:rPr>
          <w:b/>
        </w:rPr>
        <w:t>6</w:t>
      </w:r>
      <w:r w:rsidRPr="00AB0DC6">
        <w:t>, 305 (2015).</w:t>
      </w:r>
    </w:p>
    <w:p w14:paraId="00DA922C" w14:textId="77777777" w:rsidR="005D1F47" w:rsidRDefault="005D1F47" w:rsidP="005D1F47">
      <w:pPr>
        <w:pStyle w:val="Referencesandnotes"/>
        <w:ind w:left="360" w:hanging="502"/>
      </w:pPr>
      <w:r w:rsidRPr="00463A60">
        <w:t xml:space="preserve">Q. </w:t>
      </w:r>
      <w:proofErr w:type="spellStart"/>
      <w:r w:rsidRPr="00463A60">
        <w:t>Gouil</w:t>
      </w:r>
      <w:proofErr w:type="spellEnd"/>
      <w:r w:rsidRPr="00463A60">
        <w:t xml:space="preserve">, D. C. </w:t>
      </w:r>
      <w:proofErr w:type="spellStart"/>
      <w:r w:rsidRPr="00463A60">
        <w:t>Baulcombe</w:t>
      </w:r>
      <w:proofErr w:type="spellEnd"/>
      <w:r w:rsidRPr="00463A60">
        <w:t xml:space="preserve">, DNA Methylation signatures of the plant </w:t>
      </w:r>
      <w:proofErr w:type="spellStart"/>
      <w:r w:rsidRPr="00463A60">
        <w:t>chromomethyltransferases</w:t>
      </w:r>
      <w:proofErr w:type="spellEnd"/>
      <w:r w:rsidRPr="00463A60">
        <w:t>.</w:t>
      </w:r>
      <w:r>
        <w:t> </w:t>
      </w:r>
      <w:proofErr w:type="spellStart"/>
      <w:r w:rsidRPr="00463A60">
        <w:rPr>
          <w:i/>
        </w:rPr>
        <w:t>PLoS</w:t>
      </w:r>
      <w:proofErr w:type="spellEnd"/>
      <w:r w:rsidRPr="00463A60">
        <w:rPr>
          <w:i/>
        </w:rPr>
        <w:t xml:space="preserve"> Genet.</w:t>
      </w:r>
      <w:r>
        <w:t> </w:t>
      </w:r>
      <w:r w:rsidRPr="00463A60">
        <w:rPr>
          <w:b/>
        </w:rPr>
        <w:t>12</w:t>
      </w:r>
      <w:r w:rsidRPr="00463A60">
        <w:t>, e1006526 (2016).</w:t>
      </w:r>
    </w:p>
    <w:p w14:paraId="4CBB6D9C" w14:textId="77777777" w:rsidR="005D1F47" w:rsidRDefault="005D1F47" w:rsidP="005D1F47">
      <w:pPr>
        <w:pStyle w:val="Referencesandnotes"/>
        <w:ind w:left="360" w:hanging="502"/>
      </w:pPr>
      <w:r w:rsidRPr="00031259">
        <w:t xml:space="preserve">M. P. Groot, N. </w:t>
      </w:r>
      <w:proofErr w:type="spellStart"/>
      <w:r w:rsidRPr="00031259">
        <w:t>Wagemaker</w:t>
      </w:r>
      <w:proofErr w:type="spellEnd"/>
      <w:r w:rsidRPr="00031259">
        <w:t xml:space="preserve">, N. J. </w:t>
      </w:r>
      <w:proofErr w:type="spellStart"/>
      <w:r w:rsidRPr="00031259">
        <w:t>Ouborg</w:t>
      </w:r>
      <w:proofErr w:type="spellEnd"/>
      <w:r w:rsidRPr="00031259">
        <w:t xml:space="preserve">, K. J. F. </w:t>
      </w:r>
      <w:proofErr w:type="spellStart"/>
      <w:r w:rsidRPr="00031259">
        <w:t>Verhoeven</w:t>
      </w:r>
      <w:proofErr w:type="spellEnd"/>
      <w:r w:rsidRPr="00031259">
        <w:t xml:space="preserve">, P. </w:t>
      </w:r>
      <w:proofErr w:type="spellStart"/>
      <w:r w:rsidRPr="00031259">
        <w:t>Vergeer</w:t>
      </w:r>
      <w:proofErr w:type="spellEnd"/>
      <w:r w:rsidRPr="00031259">
        <w:t>, Epigenetic population differentiation in field- and common garden-grown.</w:t>
      </w:r>
      <w:r>
        <w:t> </w:t>
      </w:r>
      <w:r w:rsidRPr="00031259">
        <w:rPr>
          <w:i/>
        </w:rPr>
        <w:t xml:space="preserve">Ecol. </w:t>
      </w:r>
      <w:proofErr w:type="spellStart"/>
      <w:r w:rsidRPr="00031259">
        <w:rPr>
          <w:i/>
        </w:rPr>
        <w:t>Evol</w:t>
      </w:r>
      <w:proofErr w:type="spellEnd"/>
      <w:r w:rsidRPr="00031259">
        <w:rPr>
          <w:i/>
        </w:rPr>
        <w:t>.</w:t>
      </w:r>
      <w:r>
        <w:t> </w:t>
      </w:r>
      <w:r w:rsidRPr="00031259">
        <w:rPr>
          <w:b/>
        </w:rPr>
        <w:t>8</w:t>
      </w:r>
      <w:r w:rsidRPr="00031259">
        <w:t>, 3505-3517 (2018).</w:t>
      </w:r>
    </w:p>
    <w:p w14:paraId="452DEA2F" w14:textId="77777777" w:rsidR="009E3DD6" w:rsidRDefault="009E3DD6" w:rsidP="009E3DD6">
      <w:pPr>
        <w:pStyle w:val="Referencesandnotes"/>
        <w:ind w:left="360" w:hanging="502"/>
      </w:pPr>
      <w:r w:rsidRPr="00171C33">
        <w:t xml:space="preserve">A. H. </w:t>
      </w:r>
      <w:proofErr w:type="spellStart"/>
      <w:r w:rsidRPr="00171C33">
        <w:t>Halbritter</w:t>
      </w:r>
      <w:proofErr w:type="spellEnd"/>
      <w:r w:rsidRPr="00171C33">
        <w:t xml:space="preserve">, S. </w:t>
      </w:r>
      <w:proofErr w:type="spellStart"/>
      <w:r w:rsidRPr="00171C33">
        <w:t>Fior</w:t>
      </w:r>
      <w:proofErr w:type="spellEnd"/>
      <w:r w:rsidRPr="00171C33">
        <w:t xml:space="preserve">, I. Keller, R. </w:t>
      </w:r>
      <w:proofErr w:type="spellStart"/>
      <w:r w:rsidRPr="00171C33">
        <w:t>Billeter</w:t>
      </w:r>
      <w:proofErr w:type="spellEnd"/>
      <w:r w:rsidRPr="00171C33">
        <w:t xml:space="preserve">, P. J. Edwards, R. </w:t>
      </w:r>
      <w:proofErr w:type="spellStart"/>
      <w:r w:rsidRPr="00171C33">
        <w:t>Holderegger</w:t>
      </w:r>
      <w:proofErr w:type="spellEnd"/>
      <w:r w:rsidRPr="00171C33">
        <w:t xml:space="preserve">, S. </w:t>
      </w:r>
      <w:proofErr w:type="spellStart"/>
      <w:r w:rsidRPr="00171C33">
        <w:t>Karrenberg</w:t>
      </w:r>
      <w:proofErr w:type="spellEnd"/>
      <w:r w:rsidRPr="00171C33">
        <w:t xml:space="preserve">, A. R. </w:t>
      </w:r>
      <w:proofErr w:type="spellStart"/>
      <w:r w:rsidRPr="00171C33">
        <w:t>Pluess</w:t>
      </w:r>
      <w:proofErr w:type="spellEnd"/>
      <w:r w:rsidRPr="00171C33">
        <w:t xml:space="preserve">, A. </w:t>
      </w:r>
      <w:proofErr w:type="spellStart"/>
      <w:r w:rsidRPr="00171C33">
        <w:t>Widmer</w:t>
      </w:r>
      <w:proofErr w:type="spellEnd"/>
      <w:r w:rsidRPr="00171C33">
        <w:t>, J. M. Alexander, Trait differentiation and adaptation of plants along elevation gradients.</w:t>
      </w:r>
      <w:r>
        <w:t> </w:t>
      </w:r>
      <w:r w:rsidRPr="00171C33">
        <w:rPr>
          <w:i/>
        </w:rPr>
        <w:t xml:space="preserve">J. </w:t>
      </w:r>
      <w:proofErr w:type="spellStart"/>
      <w:r w:rsidRPr="00171C33">
        <w:rPr>
          <w:i/>
        </w:rPr>
        <w:t>Evol</w:t>
      </w:r>
      <w:proofErr w:type="spellEnd"/>
      <w:r w:rsidRPr="00171C33">
        <w:rPr>
          <w:i/>
        </w:rPr>
        <w:t>. Biol.</w:t>
      </w:r>
      <w:r>
        <w:t> </w:t>
      </w:r>
      <w:r w:rsidRPr="00171C33">
        <w:rPr>
          <w:b/>
        </w:rPr>
        <w:t>31</w:t>
      </w:r>
      <w:r w:rsidRPr="00171C33">
        <w:t>, 784–800 (2018).</w:t>
      </w:r>
    </w:p>
    <w:p w14:paraId="03A94D7C" w14:textId="1BC838F0" w:rsidR="009E3DD6" w:rsidRDefault="005D1F47" w:rsidP="009E3DD6">
      <w:pPr>
        <w:pStyle w:val="Referencesandnotes"/>
        <w:ind w:left="360" w:hanging="502"/>
      </w:pPr>
      <w:r w:rsidRPr="00004F53">
        <w:t xml:space="preserve">K. D. Harris, A. Zemach, Contiguous and stochastic CHH methylation patterns of plant DRM2 and CMT2 revealed by single-read </w:t>
      </w:r>
      <w:proofErr w:type="spellStart"/>
      <w:r w:rsidRPr="00004F53">
        <w:t>methylome</w:t>
      </w:r>
      <w:proofErr w:type="spellEnd"/>
      <w:r w:rsidRPr="00004F53">
        <w:t xml:space="preserve"> analysis.</w:t>
      </w:r>
      <w:r>
        <w:t> </w:t>
      </w:r>
      <w:r w:rsidRPr="00004F53">
        <w:rPr>
          <w:i/>
        </w:rPr>
        <w:t>Genome Biol.</w:t>
      </w:r>
      <w:r>
        <w:t> </w:t>
      </w:r>
      <w:r w:rsidRPr="00004F53">
        <w:rPr>
          <w:b/>
        </w:rPr>
        <w:t>21</w:t>
      </w:r>
      <w:r w:rsidRPr="00004F53">
        <w:t>, 194 (2020</w:t>
      </w:r>
      <w:proofErr w:type="gramStart"/>
      <w:r w:rsidRPr="00004F53">
        <w:t>).</w:t>
      </w:r>
      <w:r w:rsidR="009E3DD6">
        <w:t>E.</w:t>
      </w:r>
      <w:proofErr w:type="gramEnd"/>
      <w:r w:rsidR="009E3DD6">
        <w:t xml:space="preserve"> </w:t>
      </w:r>
      <w:proofErr w:type="spellStart"/>
      <w:r w:rsidR="009E3DD6">
        <w:t>Jablonka</w:t>
      </w:r>
      <w:proofErr w:type="spellEnd"/>
      <w:r w:rsidR="009E3DD6">
        <w:t xml:space="preserve">, M. J. Lamb, A. </w:t>
      </w:r>
      <w:proofErr w:type="spellStart"/>
      <w:r w:rsidR="009E3DD6">
        <w:t>Zeligowski</w:t>
      </w:r>
      <w:proofErr w:type="spellEnd"/>
      <w:r w:rsidR="009E3DD6">
        <w:t>, </w:t>
      </w:r>
      <w:r w:rsidR="009E3DD6" w:rsidRPr="00AB2F01">
        <w:rPr>
          <w:i/>
        </w:rPr>
        <w:t xml:space="preserve">Evolution In Four Dimensions. Genetic, Epigenetic, Behavioral, And Symbolic Variation </w:t>
      </w:r>
      <w:proofErr w:type="gramStart"/>
      <w:r w:rsidR="009E3DD6" w:rsidRPr="00AB2F01">
        <w:rPr>
          <w:i/>
        </w:rPr>
        <w:t>In</w:t>
      </w:r>
      <w:proofErr w:type="gramEnd"/>
      <w:r w:rsidR="009E3DD6" w:rsidRPr="00AB2F01">
        <w:rPr>
          <w:i/>
        </w:rPr>
        <w:t xml:space="preserve"> The History Of Life</w:t>
      </w:r>
      <w:r w:rsidR="009E3DD6">
        <w:t> (MIT press, Cambridge, MA, 2014).</w:t>
      </w:r>
    </w:p>
    <w:p w14:paraId="5C97DD25" w14:textId="77777777" w:rsidR="005D1F47" w:rsidRDefault="005D1F47" w:rsidP="005D1F47">
      <w:pPr>
        <w:pStyle w:val="Referencesandnotes"/>
        <w:ind w:left="360" w:hanging="502"/>
      </w:pPr>
      <w:r w:rsidRPr="004E749B">
        <w:t xml:space="preserve">C. M. Herrera, P. </w:t>
      </w:r>
      <w:proofErr w:type="spellStart"/>
      <w:r w:rsidRPr="004E749B">
        <w:t>Bazaga</w:t>
      </w:r>
      <w:proofErr w:type="spellEnd"/>
      <w:r w:rsidRPr="004E749B">
        <w:t xml:space="preserve">, Epigenetic differentiation and relationship to adaptive genetic divergence in discrete populations of the violet </w:t>
      </w:r>
      <w:r w:rsidRPr="004E749B">
        <w:rPr>
          <w:i/>
        </w:rPr>
        <w:t xml:space="preserve">Viola </w:t>
      </w:r>
      <w:proofErr w:type="spellStart"/>
      <w:r w:rsidRPr="004E749B">
        <w:rPr>
          <w:i/>
        </w:rPr>
        <w:t>cazorlensis</w:t>
      </w:r>
      <w:proofErr w:type="spellEnd"/>
      <w:r w:rsidRPr="004E749B">
        <w:t>.</w:t>
      </w:r>
      <w:r>
        <w:t> </w:t>
      </w:r>
      <w:r w:rsidRPr="004E749B">
        <w:rPr>
          <w:i/>
        </w:rPr>
        <w:t>New. Phytol.</w:t>
      </w:r>
      <w:r>
        <w:t> </w:t>
      </w:r>
      <w:r w:rsidRPr="004E749B">
        <w:rPr>
          <w:b/>
        </w:rPr>
        <w:t>187</w:t>
      </w:r>
      <w:r w:rsidRPr="004E749B">
        <w:t>, 867-876 (2010).</w:t>
      </w:r>
    </w:p>
    <w:p w14:paraId="73CF02BC" w14:textId="77777777" w:rsidR="005D1F47" w:rsidRDefault="005D1F47" w:rsidP="005D1F47">
      <w:pPr>
        <w:pStyle w:val="Referencesandnotes"/>
        <w:ind w:left="360" w:hanging="502"/>
      </w:pPr>
      <w:r w:rsidRPr="00EE6661">
        <w:t xml:space="preserve">J. Ho, T. </w:t>
      </w:r>
      <w:proofErr w:type="spellStart"/>
      <w:r w:rsidRPr="00EE6661">
        <w:t>Tumkaya</w:t>
      </w:r>
      <w:proofErr w:type="spellEnd"/>
      <w:r w:rsidRPr="00EE6661">
        <w:t xml:space="preserve">, S. </w:t>
      </w:r>
      <w:proofErr w:type="spellStart"/>
      <w:r w:rsidRPr="00EE6661">
        <w:t>Aryal</w:t>
      </w:r>
      <w:proofErr w:type="spellEnd"/>
      <w:r w:rsidRPr="00EE6661">
        <w:t xml:space="preserve">, H. Choi, A. </w:t>
      </w:r>
      <w:proofErr w:type="spellStart"/>
      <w:r w:rsidRPr="00EE6661">
        <w:t>Claridge</w:t>
      </w:r>
      <w:proofErr w:type="spellEnd"/>
      <w:r w:rsidRPr="00EE6661">
        <w:t>-Chang, Moving beyond P values: data analysis with estimation graphics.</w:t>
      </w:r>
      <w:r>
        <w:t> </w:t>
      </w:r>
      <w:r w:rsidRPr="00EE6661">
        <w:rPr>
          <w:i/>
        </w:rPr>
        <w:t>Nat. Methods</w:t>
      </w:r>
      <w:r>
        <w:t> </w:t>
      </w:r>
      <w:r w:rsidRPr="00EE6661">
        <w:rPr>
          <w:b/>
        </w:rPr>
        <w:t>16</w:t>
      </w:r>
      <w:r w:rsidRPr="00EE6661">
        <w:t>, 565-566 (2019)</w:t>
      </w:r>
      <w:r>
        <w:t>.</w:t>
      </w:r>
    </w:p>
    <w:p w14:paraId="4A08FEEE" w14:textId="77777777" w:rsidR="005D1F47" w:rsidRDefault="005D1F47" w:rsidP="005D1F47">
      <w:pPr>
        <w:pStyle w:val="Referencesandnotes"/>
        <w:ind w:left="360" w:hanging="502"/>
      </w:pPr>
      <w:r w:rsidRPr="005B0F0D">
        <w:t xml:space="preserve">A. Hoppers, L. Williams, V. K. C. </w:t>
      </w:r>
      <w:proofErr w:type="spellStart"/>
      <w:r w:rsidRPr="005B0F0D">
        <w:t>Ponnaluri</w:t>
      </w:r>
      <w:proofErr w:type="spellEnd"/>
      <w:r w:rsidRPr="005B0F0D">
        <w:t xml:space="preserve">, B. Sexton, L. Saleh, M. Campbell, K. Marks, M. Samaranayake, L. </w:t>
      </w:r>
      <w:proofErr w:type="spellStart"/>
      <w:r w:rsidRPr="005B0F0D">
        <w:t>Ettwiller</w:t>
      </w:r>
      <w:proofErr w:type="spellEnd"/>
      <w:r w:rsidRPr="005B0F0D">
        <w:t xml:space="preserve">, S. Guan, H. Church, B. Langhorst, Z. Sun, T. C. Evans Jr., R. </w:t>
      </w:r>
      <w:proofErr w:type="spellStart"/>
      <w:r w:rsidRPr="005B0F0D">
        <w:t>Vaisvila</w:t>
      </w:r>
      <w:proofErr w:type="spellEnd"/>
      <w:r w:rsidRPr="005B0F0D">
        <w:t xml:space="preserve">, E. </w:t>
      </w:r>
      <w:proofErr w:type="spellStart"/>
      <w:r w:rsidRPr="005B0F0D">
        <w:t>Dimalanta</w:t>
      </w:r>
      <w:proofErr w:type="spellEnd"/>
      <w:r w:rsidRPr="005B0F0D">
        <w:t>, F. Stewart, Enzymatic methyl-</w:t>
      </w:r>
      <w:proofErr w:type="spellStart"/>
      <w:r w:rsidRPr="005B0F0D">
        <w:t>seq</w:t>
      </w:r>
      <w:proofErr w:type="spellEnd"/>
      <w:r w:rsidRPr="005B0F0D">
        <w:t xml:space="preserve">: next generation </w:t>
      </w:r>
      <w:proofErr w:type="spellStart"/>
      <w:r w:rsidRPr="005B0F0D">
        <w:t>methylomes</w:t>
      </w:r>
      <w:proofErr w:type="spellEnd"/>
      <w:r w:rsidRPr="005B0F0D">
        <w:t>.</w:t>
      </w:r>
      <w:r>
        <w:t> </w:t>
      </w:r>
      <w:r w:rsidRPr="005B0F0D">
        <w:rPr>
          <w:i/>
        </w:rPr>
        <w:t xml:space="preserve">J. </w:t>
      </w:r>
      <w:proofErr w:type="spellStart"/>
      <w:r w:rsidRPr="005B0F0D">
        <w:rPr>
          <w:i/>
        </w:rPr>
        <w:t>Biomol</w:t>
      </w:r>
      <w:proofErr w:type="spellEnd"/>
      <w:r w:rsidRPr="005B0F0D">
        <w:rPr>
          <w:i/>
        </w:rPr>
        <w:t>. Tech.</w:t>
      </w:r>
      <w:r>
        <w:t> </w:t>
      </w:r>
      <w:r w:rsidRPr="005B0F0D">
        <w:rPr>
          <w:b/>
        </w:rPr>
        <w:t>31</w:t>
      </w:r>
      <w:r w:rsidRPr="005B0F0D">
        <w:t>, S15 (2020).</w:t>
      </w:r>
    </w:p>
    <w:p w14:paraId="4B966BD9" w14:textId="77777777" w:rsidR="005D1F47" w:rsidRDefault="005D1F47" w:rsidP="005D1F47">
      <w:pPr>
        <w:pStyle w:val="Referencesandnotes"/>
        <w:ind w:left="360" w:hanging="502"/>
      </w:pPr>
      <w:r w:rsidRPr="00A1340F">
        <w:t xml:space="preserve">F. Johannes, E. </w:t>
      </w:r>
      <w:proofErr w:type="spellStart"/>
      <w:r w:rsidRPr="00A1340F">
        <w:t>Porcher</w:t>
      </w:r>
      <w:proofErr w:type="spellEnd"/>
      <w:r w:rsidRPr="00A1340F">
        <w:t xml:space="preserve">, F. K. Teixeira, V. </w:t>
      </w:r>
      <w:proofErr w:type="spellStart"/>
      <w:r w:rsidRPr="00A1340F">
        <w:t>Saliba-Colombani</w:t>
      </w:r>
      <w:proofErr w:type="spellEnd"/>
      <w:r w:rsidRPr="00A1340F">
        <w:t xml:space="preserve">, M. Simon, N. </w:t>
      </w:r>
      <w:proofErr w:type="spellStart"/>
      <w:r w:rsidRPr="00A1340F">
        <w:t>Agier</w:t>
      </w:r>
      <w:proofErr w:type="spellEnd"/>
      <w:r w:rsidRPr="00A1340F">
        <w:t xml:space="preserve">, A. </w:t>
      </w:r>
      <w:proofErr w:type="spellStart"/>
      <w:r w:rsidRPr="00A1340F">
        <w:t>Bulski</w:t>
      </w:r>
      <w:proofErr w:type="spellEnd"/>
      <w:r w:rsidRPr="00A1340F">
        <w:t xml:space="preserve">, J. </w:t>
      </w:r>
      <w:proofErr w:type="spellStart"/>
      <w:r w:rsidRPr="00A1340F">
        <w:t>Albuisson</w:t>
      </w:r>
      <w:proofErr w:type="spellEnd"/>
      <w:r w:rsidRPr="00A1340F">
        <w:t xml:space="preserve">, F. Heredia, P. </w:t>
      </w:r>
      <w:proofErr w:type="spellStart"/>
      <w:r w:rsidRPr="00A1340F">
        <w:t>Audigier</w:t>
      </w:r>
      <w:proofErr w:type="spellEnd"/>
      <w:r w:rsidRPr="00A1340F">
        <w:t xml:space="preserve">, D. </w:t>
      </w:r>
      <w:proofErr w:type="spellStart"/>
      <w:r w:rsidRPr="00A1340F">
        <w:t>Bouchez</w:t>
      </w:r>
      <w:proofErr w:type="spellEnd"/>
      <w:r w:rsidRPr="00A1340F">
        <w:t xml:space="preserve">, C. </w:t>
      </w:r>
      <w:proofErr w:type="spellStart"/>
      <w:r w:rsidRPr="00A1340F">
        <w:t>Dillmann</w:t>
      </w:r>
      <w:proofErr w:type="spellEnd"/>
      <w:r w:rsidRPr="00A1340F">
        <w:t xml:space="preserve">, P. </w:t>
      </w:r>
      <w:proofErr w:type="spellStart"/>
      <w:r w:rsidRPr="00A1340F">
        <w:t>Guerche</w:t>
      </w:r>
      <w:proofErr w:type="spellEnd"/>
      <w:r w:rsidRPr="00A1340F">
        <w:t xml:space="preserve">, F. Hospital, V. </w:t>
      </w:r>
      <w:proofErr w:type="spellStart"/>
      <w:r w:rsidRPr="00A1340F">
        <w:t>Colot</w:t>
      </w:r>
      <w:proofErr w:type="spellEnd"/>
      <w:r w:rsidRPr="00A1340F">
        <w:t>, Assessing the impact of transgenerational epigenetic variation on complex traits.</w:t>
      </w:r>
      <w:r>
        <w:t> </w:t>
      </w:r>
      <w:proofErr w:type="spellStart"/>
      <w:r w:rsidRPr="00A1340F">
        <w:rPr>
          <w:i/>
        </w:rPr>
        <w:t>PLoS</w:t>
      </w:r>
      <w:proofErr w:type="spellEnd"/>
      <w:r w:rsidRPr="00A1340F">
        <w:rPr>
          <w:i/>
        </w:rPr>
        <w:t xml:space="preserve"> Genet.</w:t>
      </w:r>
      <w:r>
        <w:t> </w:t>
      </w:r>
      <w:r w:rsidRPr="00A1340F">
        <w:rPr>
          <w:b/>
        </w:rPr>
        <w:t>5</w:t>
      </w:r>
      <w:r w:rsidRPr="00A1340F">
        <w:t>, e1000530 (2009).</w:t>
      </w:r>
    </w:p>
    <w:p w14:paraId="1671C84F" w14:textId="77777777" w:rsidR="005D1F47" w:rsidRDefault="005D1F47" w:rsidP="005D1F47">
      <w:pPr>
        <w:pStyle w:val="Referencesandnotes"/>
        <w:ind w:left="360" w:hanging="502"/>
      </w:pPr>
      <w:r w:rsidRPr="00FD3FDD">
        <w:t xml:space="preserve">F. Johannes, M. </w:t>
      </w:r>
      <w:proofErr w:type="spellStart"/>
      <w:r w:rsidRPr="00FD3FDD">
        <w:t>Colomé-Tatché</w:t>
      </w:r>
      <w:proofErr w:type="spellEnd"/>
      <w:r w:rsidRPr="00FD3FDD">
        <w:t xml:space="preserve">, Quantitative epigenetics through </w:t>
      </w:r>
      <w:proofErr w:type="spellStart"/>
      <w:r w:rsidRPr="00FD3FDD">
        <w:t>epigenomic</w:t>
      </w:r>
      <w:proofErr w:type="spellEnd"/>
      <w:r w:rsidRPr="00FD3FDD">
        <w:t xml:space="preserve"> perturbation of isogenic lines.</w:t>
      </w:r>
      <w:r>
        <w:t> </w:t>
      </w:r>
      <w:r w:rsidRPr="00FD3FDD">
        <w:rPr>
          <w:i/>
        </w:rPr>
        <w:t>Genetics</w:t>
      </w:r>
      <w:r>
        <w:t> </w:t>
      </w:r>
      <w:r w:rsidRPr="00FD3FDD">
        <w:rPr>
          <w:b/>
        </w:rPr>
        <w:t>188</w:t>
      </w:r>
      <w:r w:rsidRPr="00FD3FDD">
        <w:t>, 215-227 (2011).</w:t>
      </w:r>
    </w:p>
    <w:p w14:paraId="64CCE1B6" w14:textId="77777777" w:rsidR="005D1F47" w:rsidRDefault="005D1F47" w:rsidP="005D1F47">
      <w:pPr>
        <w:pStyle w:val="Referencesandnotes"/>
        <w:ind w:left="360" w:hanging="502"/>
      </w:pPr>
      <w:r w:rsidRPr="00031259">
        <w:t>K. M. Johnson, M. W. Kelly, Population epigenetic divergence exceeds genetic divergence in the Eastern oyster.</w:t>
      </w:r>
      <w:r>
        <w:t> </w:t>
      </w:r>
      <w:proofErr w:type="spellStart"/>
      <w:r w:rsidRPr="00031259">
        <w:rPr>
          <w:i/>
        </w:rPr>
        <w:t>Evol</w:t>
      </w:r>
      <w:proofErr w:type="spellEnd"/>
      <w:r w:rsidRPr="00031259">
        <w:rPr>
          <w:i/>
        </w:rPr>
        <w:t>. Appl.</w:t>
      </w:r>
      <w:r>
        <w:t> </w:t>
      </w:r>
      <w:r w:rsidRPr="00031259">
        <w:rPr>
          <w:b/>
        </w:rPr>
        <w:t>13</w:t>
      </w:r>
      <w:r w:rsidRPr="00031259">
        <w:t>, 945-959 (2020).</w:t>
      </w:r>
    </w:p>
    <w:p w14:paraId="6ED744E3" w14:textId="77777777" w:rsidR="00FA3C12" w:rsidRDefault="005D1F47" w:rsidP="00FA3C12">
      <w:pPr>
        <w:pStyle w:val="Referencesandnotes"/>
        <w:ind w:left="360" w:hanging="502"/>
      </w:pPr>
      <w:r w:rsidRPr="00AB0DC6">
        <w:t xml:space="preserve">I. </w:t>
      </w:r>
      <w:proofErr w:type="spellStart"/>
      <w:r w:rsidRPr="00AB0DC6">
        <w:t>Kakoulidou</w:t>
      </w:r>
      <w:proofErr w:type="spellEnd"/>
      <w:r w:rsidRPr="00AB0DC6">
        <w:t xml:space="preserve">, E. V. </w:t>
      </w:r>
      <w:proofErr w:type="spellStart"/>
      <w:r w:rsidRPr="00AB0DC6">
        <w:t>Avramidou</w:t>
      </w:r>
      <w:proofErr w:type="spellEnd"/>
      <w:r w:rsidRPr="00AB0DC6">
        <w:t xml:space="preserve">, M. </w:t>
      </w:r>
      <w:proofErr w:type="spellStart"/>
      <w:r w:rsidRPr="00AB0DC6">
        <w:t>Baránek</w:t>
      </w:r>
      <w:proofErr w:type="spellEnd"/>
      <w:r w:rsidRPr="00AB0DC6">
        <w:t>, S. Brunel-</w:t>
      </w:r>
      <w:proofErr w:type="spellStart"/>
      <w:r w:rsidRPr="00AB0DC6">
        <w:t>Muguet</w:t>
      </w:r>
      <w:proofErr w:type="spellEnd"/>
      <w:r w:rsidRPr="00AB0DC6">
        <w:t xml:space="preserve">, S. </w:t>
      </w:r>
      <w:proofErr w:type="spellStart"/>
      <w:r w:rsidRPr="00AB0DC6">
        <w:t>Farrona</w:t>
      </w:r>
      <w:proofErr w:type="spellEnd"/>
      <w:r w:rsidRPr="00AB0DC6">
        <w:t xml:space="preserve">, F. Johannes, E. </w:t>
      </w:r>
      <w:proofErr w:type="spellStart"/>
      <w:r w:rsidRPr="00AB0DC6">
        <w:t>Kaiserli</w:t>
      </w:r>
      <w:proofErr w:type="spellEnd"/>
      <w:r w:rsidRPr="00AB0DC6">
        <w:t>, M. Lieberman-</w:t>
      </w:r>
      <w:proofErr w:type="spellStart"/>
      <w:r w:rsidRPr="00AB0DC6">
        <w:t>Lazarovich</w:t>
      </w:r>
      <w:proofErr w:type="spellEnd"/>
      <w:r w:rsidRPr="00AB0DC6">
        <w:t xml:space="preserve">, F. </w:t>
      </w:r>
      <w:proofErr w:type="spellStart"/>
      <w:r w:rsidRPr="00AB0DC6">
        <w:t>Martinelli</w:t>
      </w:r>
      <w:proofErr w:type="spellEnd"/>
      <w:r w:rsidRPr="00AB0DC6">
        <w:t xml:space="preserve">, V. </w:t>
      </w:r>
      <w:proofErr w:type="spellStart"/>
      <w:r w:rsidRPr="00AB0DC6">
        <w:t>Mladenov</w:t>
      </w:r>
      <w:proofErr w:type="spellEnd"/>
      <w:r w:rsidRPr="00AB0DC6">
        <w:t xml:space="preserve">, P. S. </w:t>
      </w:r>
      <w:proofErr w:type="spellStart"/>
      <w:r w:rsidRPr="00AB0DC6">
        <w:t>Testillano</w:t>
      </w:r>
      <w:proofErr w:type="spellEnd"/>
      <w:r w:rsidRPr="00AB0DC6">
        <w:t xml:space="preserve">, V. </w:t>
      </w:r>
      <w:proofErr w:type="spellStart"/>
      <w:r w:rsidRPr="00AB0DC6">
        <w:t>Vassileva</w:t>
      </w:r>
      <w:proofErr w:type="spellEnd"/>
      <w:r w:rsidRPr="00AB0DC6">
        <w:t xml:space="preserve">, S. </w:t>
      </w:r>
      <w:proofErr w:type="gramStart"/>
      <w:r w:rsidRPr="00AB0DC6">
        <w:t>Maury,.</w:t>
      </w:r>
      <w:proofErr w:type="gramEnd"/>
      <w:r w:rsidRPr="00AB0DC6">
        <w:t xml:space="preserve"> Epigenetics for crop improvement in times of global change.</w:t>
      </w:r>
      <w:r>
        <w:t> </w:t>
      </w:r>
      <w:r w:rsidRPr="00AB0DC6">
        <w:rPr>
          <w:i/>
        </w:rPr>
        <w:t>Biology (Basel)</w:t>
      </w:r>
      <w:r>
        <w:t> </w:t>
      </w:r>
      <w:r w:rsidRPr="00AB0DC6">
        <w:rPr>
          <w:b/>
        </w:rPr>
        <w:t>10</w:t>
      </w:r>
      <w:r w:rsidRPr="00AB0DC6">
        <w:t>, 766 (2021).</w:t>
      </w:r>
    </w:p>
    <w:p w14:paraId="5580207A" w14:textId="77777777" w:rsidR="00FA3C12" w:rsidRDefault="00FA3C12" w:rsidP="00FA3C12">
      <w:pPr>
        <w:pStyle w:val="Referencesandnotes"/>
        <w:ind w:left="360" w:hanging="502"/>
      </w:pPr>
      <w:r w:rsidRPr="00016B49">
        <w:t xml:space="preserve">G. Kim, C. R. Clarke, H. Larose, H. T. Tran, D. C. </w:t>
      </w:r>
      <w:proofErr w:type="spellStart"/>
      <w:r w:rsidRPr="00016B49">
        <w:t>Haak</w:t>
      </w:r>
      <w:proofErr w:type="spellEnd"/>
      <w:r w:rsidRPr="00016B49">
        <w:t xml:space="preserve">, L. Zhang, S. Askew, J. Barney, J. H. Westwood, Herbicide injury induces DNA </w:t>
      </w:r>
      <w:proofErr w:type="spellStart"/>
      <w:r w:rsidRPr="00016B49">
        <w:t>methylome</w:t>
      </w:r>
      <w:proofErr w:type="spellEnd"/>
      <w:r w:rsidRPr="00016B49">
        <w:t xml:space="preserve"> alterations in </w:t>
      </w:r>
      <w:r w:rsidRPr="00016B49">
        <w:rPr>
          <w:i/>
        </w:rPr>
        <w:t>Arabidopsis</w:t>
      </w:r>
      <w:r w:rsidRPr="00016B49">
        <w:t>.</w:t>
      </w:r>
      <w:r>
        <w:t> </w:t>
      </w:r>
      <w:r w:rsidRPr="00016B49">
        <w:rPr>
          <w:i/>
        </w:rPr>
        <w:t>Peer J.</w:t>
      </w:r>
      <w:r>
        <w:t> </w:t>
      </w:r>
      <w:r w:rsidRPr="00016B49">
        <w:rPr>
          <w:b/>
        </w:rPr>
        <w:t>5</w:t>
      </w:r>
      <w:r w:rsidRPr="00016B49">
        <w:t>, e3560 (2017)</w:t>
      </w:r>
      <w:r>
        <w:t xml:space="preserve">. </w:t>
      </w:r>
    </w:p>
    <w:p w14:paraId="3AA6D524" w14:textId="77777777" w:rsidR="005D1F47" w:rsidRDefault="005D1F47" w:rsidP="005D1F47">
      <w:pPr>
        <w:pStyle w:val="Referencesandnotes"/>
        <w:ind w:left="360" w:hanging="502"/>
      </w:pPr>
      <w:r w:rsidRPr="00EE6661">
        <w:t xml:space="preserve">R. </w:t>
      </w:r>
      <w:proofErr w:type="spellStart"/>
      <w:r w:rsidRPr="00EE6661">
        <w:t>Kooke</w:t>
      </w:r>
      <w:proofErr w:type="spellEnd"/>
      <w:r w:rsidRPr="00EE6661">
        <w:t xml:space="preserve">, F. Johannes, R. </w:t>
      </w:r>
      <w:proofErr w:type="spellStart"/>
      <w:r w:rsidRPr="00EE6661">
        <w:t>Wardenaar</w:t>
      </w:r>
      <w:proofErr w:type="spellEnd"/>
      <w:r w:rsidRPr="00EE6661">
        <w:t xml:space="preserve">, F. Becker, M. </w:t>
      </w:r>
      <w:proofErr w:type="spellStart"/>
      <w:r w:rsidRPr="00EE6661">
        <w:t>Etcheverry</w:t>
      </w:r>
      <w:proofErr w:type="spellEnd"/>
      <w:r w:rsidRPr="00EE6661">
        <w:t xml:space="preserve">, V. </w:t>
      </w:r>
      <w:proofErr w:type="spellStart"/>
      <w:r w:rsidRPr="00EE6661">
        <w:t>Colot</w:t>
      </w:r>
      <w:proofErr w:type="spellEnd"/>
      <w:r w:rsidRPr="00EE6661">
        <w:t xml:space="preserve">, D. </w:t>
      </w:r>
      <w:proofErr w:type="spellStart"/>
      <w:r w:rsidRPr="00EE6661">
        <w:t>Vreugdenhil</w:t>
      </w:r>
      <w:proofErr w:type="spellEnd"/>
      <w:r w:rsidRPr="00EE6661">
        <w:t xml:space="preserve">, J. J. B. </w:t>
      </w:r>
      <w:proofErr w:type="spellStart"/>
      <w:r w:rsidRPr="00EE6661">
        <w:t>Keurentjes</w:t>
      </w:r>
      <w:proofErr w:type="spellEnd"/>
      <w:r w:rsidRPr="00EE6661">
        <w:t xml:space="preserve">, Epigenetic basis of morphological variation and phenotypic plasticity in </w:t>
      </w:r>
      <w:r w:rsidRPr="00EE6661">
        <w:rPr>
          <w:i/>
        </w:rPr>
        <w:t>Arabidopsis thaliana</w:t>
      </w:r>
      <w:r w:rsidRPr="00EE6661">
        <w:t>.</w:t>
      </w:r>
      <w:r>
        <w:t> </w:t>
      </w:r>
      <w:r w:rsidRPr="00EE6661">
        <w:rPr>
          <w:i/>
        </w:rPr>
        <w:t>Plant Cell</w:t>
      </w:r>
      <w:r>
        <w:t> </w:t>
      </w:r>
      <w:r w:rsidRPr="00EE6661">
        <w:rPr>
          <w:b/>
        </w:rPr>
        <w:t>27</w:t>
      </w:r>
      <w:r w:rsidRPr="00EE6661">
        <w:t>, 337-348 (2015).</w:t>
      </w:r>
    </w:p>
    <w:p w14:paraId="4143FFAB" w14:textId="77777777" w:rsidR="005D1F47" w:rsidRDefault="005D1F47" w:rsidP="005D1F47">
      <w:pPr>
        <w:pStyle w:val="Referencesandnotes"/>
        <w:ind w:left="360" w:hanging="502"/>
      </w:pPr>
      <w:r w:rsidRPr="006637A1">
        <w:t xml:space="preserve">R. </w:t>
      </w:r>
      <w:proofErr w:type="spellStart"/>
      <w:r w:rsidRPr="006637A1">
        <w:t>Kooke</w:t>
      </w:r>
      <w:proofErr w:type="spellEnd"/>
      <w:r w:rsidRPr="006637A1">
        <w:t xml:space="preserve">, L. </w:t>
      </w:r>
      <w:proofErr w:type="spellStart"/>
      <w:r w:rsidRPr="006637A1">
        <w:t>Morgado</w:t>
      </w:r>
      <w:proofErr w:type="spellEnd"/>
      <w:r w:rsidRPr="006637A1">
        <w:t xml:space="preserve">, F. Becker, H. van </w:t>
      </w:r>
      <w:proofErr w:type="spellStart"/>
      <w:r w:rsidRPr="006637A1">
        <w:t>Eekelen</w:t>
      </w:r>
      <w:proofErr w:type="spellEnd"/>
      <w:r w:rsidRPr="006637A1">
        <w:t xml:space="preserve">, R. Hazarika, Q. Zheng, R. C. H. de </w:t>
      </w:r>
      <w:proofErr w:type="spellStart"/>
      <w:r w:rsidRPr="006637A1">
        <w:t>Vos</w:t>
      </w:r>
      <w:proofErr w:type="spellEnd"/>
      <w:r w:rsidRPr="006637A1">
        <w:t xml:space="preserve">, F. Johannes, J. J. B. </w:t>
      </w:r>
      <w:proofErr w:type="spellStart"/>
      <w:r w:rsidRPr="006637A1">
        <w:t>Keurentjes</w:t>
      </w:r>
      <w:proofErr w:type="spellEnd"/>
      <w:r w:rsidRPr="006637A1">
        <w:t xml:space="preserve">, Epigenetic mapping of the </w:t>
      </w:r>
      <w:r w:rsidRPr="006637A1">
        <w:rPr>
          <w:i/>
        </w:rPr>
        <w:t>Arabidopsis</w:t>
      </w:r>
      <w:r w:rsidRPr="006637A1">
        <w:t xml:space="preserve"> metabolome reveals mediators of the </w:t>
      </w:r>
      <w:proofErr w:type="spellStart"/>
      <w:r w:rsidRPr="006637A1">
        <w:t>epigenotype</w:t>
      </w:r>
      <w:proofErr w:type="spellEnd"/>
      <w:r w:rsidRPr="006637A1">
        <w:t>-phenotype map.</w:t>
      </w:r>
      <w:r>
        <w:t> </w:t>
      </w:r>
      <w:r w:rsidRPr="006637A1">
        <w:rPr>
          <w:i/>
        </w:rPr>
        <w:t>Genome Res.</w:t>
      </w:r>
      <w:r>
        <w:t> </w:t>
      </w:r>
      <w:r w:rsidRPr="006637A1">
        <w:rPr>
          <w:b/>
        </w:rPr>
        <w:t>29</w:t>
      </w:r>
      <w:r w:rsidRPr="006637A1">
        <w:t>, 96-106 (2019).</w:t>
      </w:r>
    </w:p>
    <w:p w14:paraId="425483C9" w14:textId="77777777" w:rsidR="009E3DD6" w:rsidRDefault="009E3DD6" w:rsidP="009E3DD6">
      <w:pPr>
        <w:pStyle w:val="Referencesandnotes"/>
        <w:ind w:left="360" w:hanging="502"/>
      </w:pPr>
      <w:r>
        <w:lastRenderedPageBreak/>
        <w:t xml:space="preserve">I. </w:t>
      </w:r>
      <w:proofErr w:type="spellStart"/>
      <w:r>
        <w:t>Kronholm</w:t>
      </w:r>
      <w:proofErr w:type="spellEnd"/>
      <w:r>
        <w:t xml:space="preserve">, A. Bassett, D. </w:t>
      </w:r>
      <w:proofErr w:type="spellStart"/>
      <w:r>
        <w:t>Baulcombe</w:t>
      </w:r>
      <w:proofErr w:type="spellEnd"/>
      <w:r>
        <w:t xml:space="preserve">, S. Collins, Epigenetic and Genetic Contributions to Adaptation in </w:t>
      </w:r>
      <w:proofErr w:type="spellStart"/>
      <w:r w:rsidRPr="00AE0879">
        <w:rPr>
          <w:i/>
        </w:rPr>
        <w:t>Chlamydomonas</w:t>
      </w:r>
      <w:proofErr w:type="spellEnd"/>
      <w:r>
        <w:t>. </w:t>
      </w:r>
      <w:r w:rsidRPr="00AE0879">
        <w:rPr>
          <w:i/>
        </w:rPr>
        <w:t xml:space="preserve">Mol. Biol. </w:t>
      </w:r>
      <w:proofErr w:type="spellStart"/>
      <w:r w:rsidRPr="00AE0879">
        <w:rPr>
          <w:i/>
        </w:rPr>
        <w:t>Evol</w:t>
      </w:r>
      <w:proofErr w:type="spellEnd"/>
      <w:r w:rsidRPr="00AE0879">
        <w:rPr>
          <w:i/>
        </w:rPr>
        <w:t>.</w:t>
      </w:r>
      <w:r>
        <w:t> </w:t>
      </w:r>
      <w:r w:rsidRPr="00AE0879">
        <w:rPr>
          <w:b/>
        </w:rPr>
        <w:t>34</w:t>
      </w:r>
      <w:r>
        <w:t>, 2285–2306 (2017).</w:t>
      </w:r>
    </w:p>
    <w:p w14:paraId="182DF2E2" w14:textId="77777777" w:rsidR="00FA3C12" w:rsidRDefault="00FA3C12" w:rsidP="00FA3C12">
      <w:pPr>
        <w:pStyle w:val="Referencesandnotes"/>
        <w:ind w:left="360" w:hanging="502"/>
      </w:pPr>
      <w:r w:rsidRPr="00EA184F">
        <w:t xml:space="preserve">M. </w:t>
      </w:r>
      <w:proofErr w:type="spellStart"/>
      <w:r w:rsidRPr="00EA184F">
        <w:t>Latutrie</w:t>
      </w:r>
      <w:proofErr w:type="spellEnd"/>
      <w:r w:rsidRPr="00EA184F">
        <w:t xml:space="preserve">, D. </w:t>
      </w:r>
      <w:proofErr w:type="spellStart"/>
      <w:r w:rsidRPr="00EA184F">
        <w:t>Gourcilleau</w:t>
      </w:r>
      <w:proofErr w:type="spellEnd"/>
      <w:r w:rsidRPr="00EA184F">
        <w:t xml:space="preserve">, B. Pujol, Epigenetic variation for agronomic improvement: an opportunity for </w:t>
      </w:r>
      <w:proofErr w:type="spellStart"/>
      <w:r w:rsidRPr="00EA184F">
        <w:t>vegetatively</w:t>
      </w:r>
      <w:proofErr w:type="spellEnd"/>
      <w:r w:rsidRPr="00EA184F">
        <w:t xml:space="preserve"> propagated crops. </w:t>
      </w:r>
      <w:r w:rsidRPr="00EA184F">
        <w:rPr>
          <w:i/>
        </w:rPr>
        <w:t>Am. J. Bot.</w:t>
      </w:r>
      <w:r>
        <w:t> </w:t>
      </w:r>
      <w:r w:rsidRPr="00EA184F">
        <w:rPr>
          <w:b/>
        </w:rPr>
        <w:t>106</w:t>
      </w:r>
      <w:r>
        <w:t>,</w:t>
      </w:r>
      <w:r w:rsidRPr="00EA184F">
        <w:t>1281-1284</w:t>
      </w:r>
      <w:r>
        <w:t xml:space="preserve"> (</w:t>
      </w:r>
      <w:r w:rsidRPr="00EA184F">
        <w:t>2019</w:t>
      </w:r>
      <w:r>
        <w:t>)</w:t>
      </w:r>
      <w:r w:rsidRPr="00EA184F">
        <w:t>.</w:t>
      </w:r>
    </w:p>
    <w:p w14:paraId="6EAFCE0D" w14:textId="77777777" w:rsidR="005D1F47" w:rsidRDefault="005D1F47" w:rsidP="005D1F47">
      <w:pPr>
        <w:pStyle w:val="Referencesandnotes"/>
        <w:ind w:left="360" w:hanging="502"/>
      </w:pPr>
      <w:r w:rsidRPr="00885C92">
        <w:t xml:space="preserve">K. </w:t>
      </w:r>
      <w:proofErr w:type="spellStart"/>
      <w:r w:rsidRPr="00885C92">
        <w:t>Lauss</w:t>
      </w:r>
      <w:proofErr w:type="spellEnd"/>
      <w:r w:rsidRPr="00885C92">
        <w:t xml:space="preserve">, R. </w:t>
      </w:r>
      <w:proofErr w:type="spellStart"/>
      <w:r w:rsidRPr="00885C92">
        <w:t>Wardenaar</w:t>
      </w:r>
      <w:proofErr w:type="spellEnd"/>
      <w:r w:rsidRPr="00885C92">
        <w:t xml:space="preserve">, R. Oka, M. H. A. van </w:t>
      </w:r>
      <w:proofErr w:type="spellStart"/>
      <w:r w:rsidRPr="00885C92">
        <w:t>Hulten</w:t>
      </w:r>
      <w:proofErr w:type="spellEnd"/>
      <w:r w:rsidRPr="00885C92">
        <w:t xml:space="preserve">, V. Guryev, J. J. B. </w:t>
      </w:r>
      <w:proofErr w:type="spellStart"/>
      <w:r w:rsidRPr="00885C92">
        <w:t>Keurentjes</w:t>
      </w:r>
      <w:proofErr w:type="spellEnd"/>
      <w:r w:rsidRPr="00885C92">
        <w:t xml:space="preserve">, M. </w:t>
      </w:r>
      <w:proofErr w:type="spellStart"/>
      <w:r w:rsidRPr="00885C92">
        <w:t>Stam</w:t>
      </w:r>
      <w:proofErr w:type="spellEnd"/>
      <w:r w:rsidRPr="00885C92">
        <w:t xml:space="preserve">, F. Johannes. Parental DNA Methylation states are associated with </w:t>
      </w:r>
      <w:proofErr w:type="spellStart"/>
      <w:r w:rsidRPr="00885C92">
        <w:t>heterosis</w:t>
      </w:r>
      <w:proofErr w:type="spellEnd"/>
      <w:r w:rsidRPr="00885C92">
        <w:t xml:space="preserve"> in epigenetic hybrids.</w:t>
      </w:r>
      <w:r>
        <w:t> </w:t>
      </w:r>
      <w:r w:rsidRPr="00885C92">
        <w:rPr>
          <w:i/>
        </w:rPr>
        <w:t>Plant. Physiol.</w:t>
      </w:r>
      <w:r>
        <w:t> </w:t>
      </w:r>
      <w:r w:rsidRPr="00885C92">
        <w:rPr>
          <w:b/>
        </w:rPr>
        <w:t>176</w:t>
      </w:r>
      <w:r w:rsidRPr="00885C92">
        <w:t>, 1627-1645 (2018).</w:t>
      </w:r>
    </w:p>
    <w:p w14:paraId="77543726" w14:textId="77777777" w:rsidR="005D1F47" w:rsidRDefault="005D1F47" w:rsidP="005D1F47">
      <w:pPr>
        <w:pStyle w:val="Referencesandnotes"/>
        <w:ind w:left="360" w:hanging="502"/>
      </w:pPr>
      <w:r w:rsidRPr="00AB0DC6">
        <w:t xml:space="preserve">K. D. </w:t>
      </w:r>
      <w:proofErr w:type="spellStart"/>
      <w:r w:rsidRPr="00AB0DC6">
        <w:t>Lemmen</w:t>
      </w:r>
      <w:proofErr w:type="spellEnd"/>
      <w:r w:rsidRPr="00AB0DC6">
        <w:t xml:space="preserve">, K. J. </w:t>
      </w:r>
      <w:proofErr w:type="spellStart"/>
      <w:r w:rsidRPr="00AB0DC6">
        <w:t>Verhoeven</w:t>
      </w:r>
      <w:proofErr w:type="spellEnd"/>
      <w:r w:rsidRPr="00AB0DC6">
        <w:t xml:space="preserve">, S. A. </w:t>
      </w:r>
      <w:proofErr w:type="spellStart"/>
      <w:r w:rsidRPr="00AB0DC6">
        <w:t>Declerck</w:t>
      </w:r>
      <w:proofErr w:type="spellEnd"/>
      <w:r w:rsidRPr="00AB0DC6">
        <w:t>, Experimental evidence of rapid heritable adaptation in the absence of initial standing genetic variation.</w:t>
      </w:r>
      <w:r>
        <w:t> </w:t>
      </w:r>
      <w:proofErr w:type="spellStart"/>
      <w:r w:rsidRPr="00AB0DC6">
        <w:rPr>
          <w:i/>
        </w:rPr>
        <w:t>Funct</w:t>
      </w:r>
      <w:proofErr w:type="spellEnd"/>
      <w:r w:rsidRPr="00AB0DC6">
        <w:rPr>
          <w:i/>
        </w:rPr>
        <w:t>. Ecol.</w:t>
      </w:r>
      <w:r>
        <w:t> </w:t>
      </w:r>
      <w:r w:rsidRPr="00AB0DC6">
        <w:rPr>
          <w:b/>
        </w:rPr>
        <w:t>36</w:t>
      </w:r>
      <w:r w:rsidRPr="00AB0DC6">
        <w:t>, 226-238 (2022).</w:t>
      </w:r>
    </w:p>
    <w:p w14:paraId="355FDB6E" w14:textId="77777777" w:rsidR="005D1F47" w:rsidRDefault="005D1F47" w:rsidP="005D1F47">
      <w:pPr>
        <w:pStyle w:val="Referencesandnotes"/>
        <w:ind w:left="360" w:hanging="502"/>
      </w:pPr>
      <w:r w:rsidRPr="00EE6661">
        <w:t>J. L. Lush,</w:t>
      </w:r>
      <w:r>
        <w:t> </w:t>
      </w:r>
      <w:r w:rsidRPr="00EE6661">
        <w:rPr>
          <w:i/>
        </w:rPr>
        <w:t>Animal Breeding Plans</w:t>
      </w:r>
      <w:r>
        <w:t> (</w:t>
      </w:r>
      <w:r w:rsidRPr="00EE6661">
        <w:t>Iowa State Collegiate Press, Ames</w:t>
      </w:r>
      <w:r>
        <w:t xml:space="preserve">, </w:t>
      </w:r>
      <w:r w:rsidRPr="00EE6661">
        <w:t>1937).</w:t>
      </w:r>
    </w:p>
    <w:p w14:paraId="12A2D3C9" w14:textId="77777777" w:rsidR="005D1F47" w:rsidRDefault="005D1F47" w:rsidP="005D1F47">
      <w:pPr>
        <w:pStyle w:val="Referencesandnotes"/>
        <w:ind w:left="360" w:hanging="502"/>
      </w:pPr>
      <w:r w:rsidRPr="00016B49">
        <w:t xml:space="preserve">T. </w:t>
      </w:r>
      <w:proofErr w:type="spellStart"/>
      <w:r w:rsidRPr="00016B49">
        <w:t>Mailund</w:t>
      </w:r>
      <w:proofErr w:type="spellEnd"/>
      <w:r w:rsidRPr="00016B49">
        <w:t xml:space="preserve">, </w:t>
      </w:r>
      <w:r w:rsidRPr="00016B49">
        <w:rPr>
          <w:i/>
        </w:rPr>
        <w:t xml:space="preserve">Manipulating Data Frames: </w:t>
      </w:r>
      <w:proofErr w:type="spellStart"/>
      <w:r w:rsidRPr="00016B49">
        <w:rPr>
          <w:i/>
        </w:rPr>
        <w:t>dplyr</w:t>
      </w:r>
      <w:proofErr w:type="spellEnd"/>
      <w:r w:rsidRPr="00016B49">
        <w:rPr>
          <w:i/>
        </w:rPr>
        <w:t>. R Data Science Quick Reference</w:t>
      </w:r>
      <w:r w:rsidRPr="00016B49">
        <w:t xml:space="preserve"> (</w:t>
      </w:r>
      <w:proofErr w:type="spellStart"/>
      <w:r w:rsidRPr="00016B49">
        <w:t>Apress</w:t>
      </w:r>
      <w:proofErr w:type="spellEnd"/>
      <w:r w:rsidRPr="00016B49">
        <w:t>, Berkeley, CA, 2019).</w:t>
      </w:r>
    </w:p>
    <w:p w14:paraId="5B63C0CC" w14:textId="77777777" w:rsidR="005D1F47" w:rsidRDefault="005D1F47" w:rsidP="005D1F47">
      <w:pPr>
        <w:pStyle w:val="Referencesandnotes"/>
        <w:ind w:left="360" w:hanging="502"/>
      </w:pPr>
      <w:r w:rsidRPr="001D4B7F">
        <w:t xml:space="preserve">O. Mathieu, J. </w:t>
      </w:r>
      <w:proofErr w:type="spellStart"/>
      <w:r w:rsidRPr="001D4B7F">
        <w:t>Reinders</w:t>
      </w:r>
      <w:proofErr w:type="spellEnd"/>
      <w:r w:rsidRPr="001D4B7F">
        <w:t xml:space="preserve">, M. </w:t>
      </w:r>
      <w:proofErr w:type="spellStart"/>
      <w:r w:rsidRPr="001D4B7F">
        <w:t>Caikovski</w:t>
      </w:r>
      <w:proofErr w:type="spellEnd"/>
      <w:r w:rsidRPr="001D4B7F">
        <w:t xml:space="preserve">, C. </w:t>
      </w:r>
      <w:proofErr w:type="spellStart"/>
      <w:r w:rsidRPr="001D4B7F">
        <w:t>Smathajitt</w:t>
      </w:r>
      <w:proofErr w:type="spellEnd"/>
      <w:r w:rsidRPr="001D4B7F">
        <w:t xml:space="preserve">, J. </w:t>
      </w:r>
      <w:proofErr w:type="spellStart"/>
      <w:r w:rsidRPr="001D4B7F">
        <w:t>Paszkowski</w:t>
      </w:r>
      <w:proofErr w:type="spellEnd"/>
      <w:r w:rsidRPr="001D4B7F">
        <w:t xml:space="preserve">, Transgenerational stability of the </w:t>
      </w:r>
      <w:r w:rsidRPr="005E2EB4">
        <w:rPr>
          <w:i/>
        </w:rPr>
        <w:t>Arabidopsis</w:t>
      </w:r>
      <w:r w:rsidRPr="001D4B7F">
        <w:t xml:space="preserve"> </w:t>
      </w:r>
      <w:proofErr w:type="spellStart"/>
      <w:r w:rsidRPr="001D4B7F">
        <w:t>epigenome</w:t>
      </w:r>
      <w:proofErr w:type="spellEnd"/>
      <w:r w:rsidRPr="001D4B7F">
        <w:t xml:space="preserve"> is coordinated by CG methylation.</w:t>
      </w:r>
      <w:r>
        <w:t> </w:t>
      </w:r>
      <w:r w:rsidRPr="001D4B7F">
        <w:rPr>
          <w:i/>
        </w:rPr>
        <w:t>Cell</w:t>
      </w:r>
      <w:r>
        <w:t> </w:t>
      </w:r>
      <w:r w:rsidRPr="001D4B7F">
        <w:rPr>
          <w:b/>
        </w:rPr>
        <w:t>130</w:t>
      </w:r>
      <w:r w:rsidRPr="001D4B7F">
        <w:t>, 851-862 (2007).</w:t>
      </w:r>
    </w:p>
    <w:p w14:paraId="71CFCBB7" w14:textId="77777777" w:rsidR="005D1F47" w:rsidRDefault="005D1F47" w:rsidP="005D1F47">
      <w:pPr>
        <w:pStyle w:val="Referencesandnotes"/>
        <w:ind w:left="360" w:hanging="502"/>
      </w:pPr>
      <w:r w:rsidRPr="007F522F">
        <w:t xml:space="preserve">M. </w:t>
      </w:r>
      <w:proofErr w:type="spellStart"/>
      <w:r w:rsidRPr="007F522F">
        <w:t>Mirouze</w:t>
      </w:r>
      <w:proofErr w:type="spellEnd"/>
      <w:r w:rsidRPr="007F522F">
        <w:t xml:space="preserve">, J. </w:t>
      </w:r>
      <w:proofErr w:type="spellStart"/>
      <w:r w:rsidRPr="007F522F">
        <w:t>Reinders</w:t>
      </w:r>
      <w:proofErr w:type="spellEnd"/>
      <w:r w:rsidRPr="007F522F">
        <w:t xml:space="preserve">, E. Bucher, T. Nishimura, K. </w:t>
      </w:r>
      <w:proofErr w:type="spellStart"/>
      <w:r w:rsidRPr="007F522F">
        <w:t>Schneeberger</w:t>
      </w:r>
      <w:proofErr w:type="spellEnd"/>
      <w:r w:rsidRPr="007F522F">
        <w:t xml:space="preserve">, S. </w:t>
      </w:r>
      <w:proofErr w:type="spellStart"/>
      <w:r w:rsidRPr="007F522F">
        <w:t>Ossowski</w:t>
      </w:r>
      <w:proofErr w:type="spellEnd"/>
      <w:r w:rsidRPr="007F522F">
        <w:t xml:space="preserve">, J. Cao, D. </w:t>
      </w:r>
      <w:proofErr w:type="spellStart"/>
      <w:r w:rsidRPr="007F522F">
        <w:t>Weigel</w:t>
      </w:r>
      <w:proofErr w:type="spellEnd"/>
      <w:r w:rsidRPr="007F522F">
        <w:t xml:space="preserve">, J. </w:t>
      </w:r>
      <w:proofErr w:type="spellStart"/>
      <w:r w:rsidRPr="007F522F">
        <w:t>Paszkowski</w:t>
      </w:r>
      <w:proofErr w:type="spellEnd"/>
      <w:r w:rsidRPr="007F522F">
        <w:t xml:space="preserve">, O. Mathieu, Selective epigenetic control of </w:t>
      </w:r>
      <w:proofErr w:type="spellStart"/>
      <w:r w:rsidRPr="007F522F">
        <w:t>retrotransposition</w:t>
      </w:r>
      <w:proofErr w:type="spellEnd"/>
      <w:r w:rsidRPr="007F522F">
        <w:t xml:space="preserve"> in </w:t>
      </w:r>
      <w:r w:rsidRPr="007F522F">
        <w:rPr>
          <w:i/>
        </w:rPr>
        <w:t>Arabidopsis</w:t>
      </w:r>
      <w:r w:rsidRPr="007F522F">
        <w:t>.</w:t>
      </w:r>
      <w:r>
        <w:t> </w:t>
      </w:r>
      <w:r w:rsidRPr="007F522F">
        <w:rPr>
          <w:i/>
        </w:rPr>
        <w:t>Nature</w:t>
      </w:r>
      <w:r>
        <w:t> </w:t>
      </w:r>
      <w:r w:rsidRPr="007F522F">
        <w:rPr>
          <w:b/>
        </w:rPr>
        <w:t>461</w:t>
      </w:r>
      <w:r w:rsidRPr="007F522F">
        <w:t>, 427-430 (2009).</w:t>
      </w:r>
    </w:p>
    <w:p w14:paraId="4B47928B" w14:textId="77777777" w:rsidR="009E3DD6" w:rsidRDefault="009E3DD6" w:rsidP="009E3DD6">
      <w:pPr>
        <w:pStyle w:val="Referencesandnotes"/>
        <w:ind w:left="360" w:hanging="502"/>
      </w:pPr>
      <w:r>
        <w:t xml:space="preserve">A. </w:t>
      </w:r>
      <w:proofErr w:type="spellStart"/>
      <w:r>
        <w:t>Muyle</w:t>
      </w:r>
      <w:proofErr w:type="spellEnd"/>
      <w:r>
        <w:t xml:space="preserve">, J. Ross-Ibarra, D. K. Seymour, B. S. </w:t>
      </w:r>
      <w:proofErr w:type="spellStart"/>
      <w:r>
        <w:t>Gaut</w:t>
      </w:r>
      <w:proofErr w:type="spellEnd"/>
      <w:r>
        <w:t xml:space="preserve">, Gene body methylation is under selection in </w:t>
      </w:r>
      <w:r w:rsidRPr="00AB2F01">
        <w:rPr>
          <w:i/>
        </w:rPr>
        <w:t>Arabidopsis thaliana</w:t>
      </w:r>
      <w:r>
        <w:t>. </w:t>
      </w:r>
      <w:r w:rsidRPr="00AE0879">
        <w:rPr>
          <w:i/>
        </w:rPr>
        <w:t>Genetics</w:t>
      </w:r>
      <w:r>
        <w:t> </w:t>
      </w:r>
      <w:r w:rsidRPr="00AB2F01">
        <w:rPr>
          <w:b/>
        </w:rPr>
        <w:t>218</w:t>
      </w:r>
      <w:r>
        <w:t>, iyab061 (2021).</w:t>
      </w:r>
    </w:p>
    <w:p w14:paraId="795BEA69" w14:textId="77777777" w:rsidR="005D1F47" w:rsidRDefault="005D1F47" w:rsidP="005D1F47">
      <w:pPr>
        <w:pStyle w:val="Referencesandnotes"/>
        <w:ind w:left="360" w:hanging="502"/>
      </w:pPr>
      <w:r w:rsidRPr="005E2EB4">
        <w:t xml:space="preserve">C. E. </w:t>
      </w:r>
      <w:proofErr w:type="spellStart"/>
      <w:r w:rsidRPr="005E2EB4">
        <w:t>Niederhuth</w:t>
      </w:r>
      <w:proofErr w:type="spellEnd"/>
      <w:r w:rsidRPr="005E2EB4">
        <w:t>, R. J. Schmitz, Covering your bases: inheritance of DNA methylation in plant genomes.</w:t>
      </w:r>
      <w:r w:rsidRPr="005E2EB4">
        <w:rPr>
          <w:i/>
        </w:rPr>
        <w:t> Mol. Plant.</w:t>
      </w:r>
      <w:r>
        <w:t> </w:t>
      </w:r>
      <w:r w:rsidRPr="005E2EB4">
        <w:rPr>
          <w:b/>
        </w:rPr>
        <w:t>7</w:t>
      </w:r>
      <w:r w:rsidRPr="005E2EB4">
        <w:t>, 472-480 (2014).</w:t>
      </w:r>
    </w:p>
    <w:p w14:paraId="6330A517" w14:textId="77777777" w:rsidR="009E3DD6" w:rsidRDefault="009E3DD6" w:rsidP="009E3DD6">
      <w:pPr>
        <w:pStyle w:val="Referencesandnotes"/>
        <w:ind w:left="360" w:hanging="502"/>
      </w:pPr>
      <w:r w:rsidRPr="0007097E">
        <w:t xml:space="preserve">J. M. </w:t>
      </w:r>
      <w:proofErr w:type="spellStart"/>
      <w:r w:rsidRPr="0007097E">
        <w:t>Noshay</w:t>
      </w:r>
      <w:proofErr w:type="spellEnd"/>
      <w:r w:rsidRPr="0007097E">
        <w:t>, N. M. Springer, Stories that can’t be told by SNPs; DNA methylation variation in plant populations.</w:t>
      </w:r>
      <w:r>
        <w:t> </w:t>
      </w:r>
      <w:proofErr w:type="spellStart"/>
      <w:r w:rsidRPr="0007097E">
        <w:rPr>
          <w:i/>
        </w:rPr>
        <w:t>Curr</w:t>
      </w:r>
      <w:proofErr w:type="spellEnd"/>
      <w:r w:rsidRPr="0007097E">
        <w:rPr>
          <w:i/>
        </w:rPr>
        <w:t xml:space="preserve">. </w:t>
      </w:r>
      <w:proofErr w:type="spellStart"/>
      <w:r w:rsidRPr="0007097E">
        <w:rPr>
          <w:i/>
        </w:rPr>
        <w:t>Opin</w:t>
      </w:r>
      <w:proofErr w:type="spellEnd"/>
      <w:r>
        <w:rPr>
          <w:i/>
        </w:rPr>
        <w:t xml:space="preserve">. </w:t>
      </w:r>
      <w:r w:rsidRPr="0007097E">
        <w:rPr>
          <w:i/>
        </w:rPr>
        <w:t>Plant Biol.</w:t>
      </w:r>
      <w:r>
        <w:t> </w:t>
      </w:r>
      <w:r w:rsidRPr="0007097E">
        <w:rPr>
          <w:b/>
        </w:rPr>
        <w:t>61</w:t>
      </w:r>
      <w:r w:rsidRPr="0007097E">
        <w:t>, 101989 (2021).</w:t>
      </w:r>
    </w:p>
    <w:p w14:paraId="25B7697B" w14:textId="77777777" w:rsidR="009E3DD6" w:rsidRDefault="009E3DD6" w:rsidP="009E3DD6">
      <w:pPr>
        <w:pStyle w:val="Referencesandnotes"/>
        <w:ind w:left="360" w:hanging="502"/>
      </w:pPr>
      <w:r>
        <w:t xml:space="preserve">M. Ong-Abdullah, J. M. Ordway, N. Jiang, S.-E. </w:t>
      </w:r>
      <w:proofErr w:type="spellStart"/>
      <w:r>
        <w:t>Ooi</w:t>
      </w:r>
      <w:proofErr w:type="spellEnd"/>
      <w:r>
        <w:t xml:space="preserve">, S.-Y. </w:t>
      </w:r>
      <w:proofErr w:type="spellStart"/>
      <w:r>
        <w:t>Kok</w:t>
      </w:r>
      <w:proofErr w:type="spellEnd"/>
      <w:r>
        <w:t xml:space="preserve">, N. </w:t>
      </w:r>
      <w:proofErr w:type="spellStart"/>
      <w:r>
        <w:t>Sarpan</w:t>
      </w:r>
      <w:proofErr w:type="spellEnd"/>
      <w:r>
        <w:t xml:space="preserve">, N. </w:t>
      </w:r>
      <w:proofErr w:type="spellStart"/>
      <w:r>
        <w:t>Azimi</w:t>
      </w:r>
      <w:proofErr w:type="spellEnd"/>
      <w:r>
        <w:t xml:space="preserve">, A. T. </w:t>
      </w:r>
      <w:proofErr w:type="spellStart"/>
      <w:r>
        <w:t>Hashim</w:t>
      </w:r>
      <w:proofErr w:type="spellEnd"/>
      <w:r>
        <w:t xml:space="preserve">, Z. </w:t>
      </w:r>
      <w:proofErr w:type="spellStart"/>
      <w:r>
        <w:t>Ishak</w:t>
      </w:r>
      <w:proofErr w:type="spellEnd"/>
      <w:r>
        <w:t xml:space="preserve">, S. K. </w:t>
      </w:r>
      <w:proofErr w:type="spellStart"/>
      <w:r>
        <w:t>Rosli</w:t>
      </w:r>
      <w:proofErr w:type="spellEnd"/>
      <w:r>
        <w:t xml:space="preserve">, F. A. </w:t>
      </w:r>
      <w:proofErr w:type="spellStart"/>
      <w:r>
        <w:t>Malike</w:t>
      </w:r>
      <w:proofErr w:type="spellEnd"/>
      <w:r>
        <w:t xml:space="preserve">, N. A. Abu Bakar, M. </w:t>
      </w:r>
      <w:proofErr w:type="spellStart"/>
      <w:r>
        <w:t>Marjuni</w:t>
      </w:r>
      <w:proofErr w:type="spellEnd"/>
      <w:r>
        <w:t xml:space="preserve">, N. Abdullah, Z. </w:t>
      </w:r>
      <w:proofErr w:type="spellStart"/>
      <w:r>
        <w:t>Yaakub</w:t>
      </w:r>
      <w:proofErr w:type="spellEnd"/>
      <w:r>
        <w:t xml:space="preserve">, M. Din </w:t>
      </w:r>
      <w:proofErr w:type="spellStart"/>
      <w:r>
        <w:t>Amiruddin</w:t>
      </w:r>
      <w:proofErr w:type="spellEnd"/>
      <w:r>
        <w:t xml:space="preserve">, R. </w:t>
      </w:r>
      <w:proofErr w:type="spellStart"/>
      <w:r>
        <w:t>Nookiah</w:t>
      </w:r>
      <w:proofErr w:type="spellEnd"/>
      <w:r>
        <w:t xml:space="preserve">, R. Singh, E.-T. L. Low, K.-L. Chan, N. </w:t>
      </w:r>
      <w:proofErr w:type="spellStart"/>
      <w:r>
        <w:t>Azizi</w:t>
      </w:r>
      <w:proofErr w:type="spellEnd"/>
      <w:r>
        <w:t xml:space="preserve">, S. W. Smith, B. </w:t>
      </w:r>
      <w:proofErr w:type="spellStart"/>
      <w:r>
        <w:t>Bacher</w:t>
      </w:r>
      <w:proofErr w:type="spellEnd"/>
      <w:r>
        <w:t xml:space="preserve">, M. A. </w:t>
      </w:r>
      <w:proofErr w:type="spellStart"/>
      <w:r>
        <w:t>Budiman</w:t>
      </w:r>
      <w:proofErr w:type="spellEnd"/>
      <w:r>
        <w:t xml:space="preserve">, A. Van Brunt, C. </w:t>
      </w:r>
      <w:proofErr w:type="spellStart"/>
      <w:r>
        <w:t>Wischmeyer</w:t>
      </w:r>
      <w:proofErr w:type="spellEnd"/>
      <w:r>
        <w:t xml:space="preserve">, M. </w:t>
      </w:r>
      <w:proofErr w:type="spellStart"/>
      <w:r>
        <w:t>Beil</w:t>
      </w:r>
      <w:proofErr w:type="spellEnd"/>
      <w:r>
        <w:t xml:space="preserve">, M. Hogan, N. </w:t>
      </w:r>
      <w:proofErr w:type="spellStart"/>
      <w:r>
        <w:t>Lakey</w:t>
      </w:r>
      <w:proofErr w:type="spellEnd"/>
      <w:r>
        <w:t xml:space="preserve">, C.-C. Lim, X. </w:t>
      </w:r>
      <w:proofErr w:type="spellStart"/>
      <w:r>
        <w:t>Arulandoo</w:t>
      </w:r>
      <w:proofErr w:type="spellEnd"/>
      <w:r>
        <w:t xml:space="preserve">, C.-K. Wong, C.-N. Choo, W.-C. Wong, Y.-Y. Kwan, S. S. R. S. </w:t>
      </w:r>
      <w:proofErr w:type="spellStart"/>
      <w:r>
        <w:t>Alwee</w:t>
      </w:r>
      <w:proofErr w:type="spellEnd"/>
      <w:r>
        <w:t xml:space="preserve">, R. </w:t>
      </w:r>
      <w:proofErr w:type="spellStart"/>
      <w:r>
        <w:t>Sambanthamurthi</w:t>
      </w:r>
      <w:proofErr w:type="spellEnd"/>
      <w:r>
        <w:t xml:space="preserve">, R. A. </w:t>
      </w:r>
      <w:proofErr w:type="spellStart"/>
      <w:r>
        <w:t>Martienssen</w:t>
      </w:r>
      <w:proofErr w:type="spellEnd"/>
      <w:r>
        <w:t xml:space="preserve">, Loss of Karma transposon methylation underlies the mantled </w:t>
      </w:r>
      <w:proofErr w:type="spellStart"/>
      <w:r>
        <w:t>somaclonal</w:t>
      </w:r>
      <w:proofErr w:type="spellEnd"/>
      <w:r>
        <w:t xml:space="preserve"> variant of oil palm. </w:t>
      </w:r>
      <w:r w:rsidRPr="00AB2F01">
        <w:rPr>
          <w:i/>
        </w:rPr>
        <w:t>Nature</w:t>
      </w:r>
      <w:r>
        <w:t> </w:t>
      </w:r>
      <w:r w:rsidRPr="00AB2F01">
        <w:rPr>
          <w:b/>
        </w:rPr>
        <w:t>525</w:t>
      </w:r>
      <w:r>
        <w:t xml:space="preserve">, 533–537 (2015). </w:t>
      </w:r>
    </w:p>
    <w:p w14:paraId="04CF432C" w14:textId="77777777" w:rsidR="005D1F47" w:rsidRDefault="005D1F47" w:rsidP="005D1F47">
      <w:pPr>
        <w:pStyle w:val="Referencesandnotes"/>
        <w:ind w:left="360" w:hanging="502"/>
      </w:pPr>
      <w:r w:rsidRPr="000F0FAB">
        <w:t xml:space="preserve">S. </w:t>
      </w:r>
      <w:proofErr w:type="spellStart"/>
      <w:r w:rsidRPr="000F0FAB">
        <w:t>Ossowski</w:t>
      </w:r>
      <w:proofErr w:type="spellEnd"/>
      <w:r w:rsidRPr="000F0FAB">
        <w:t xml:space="preserve">, K. </w:t>
      </w:r>
      <w:proofErr w:type="spellStart"/>
      <w:r w:rsidRPr="000F0FAB">
        <w:t>Schneeberger</w:t>
      </w:r>
      <w:proofErr w:type="spellEnd"/>
      <w:r w:rsidRPr="000F0FAB">
        <w:t>, J. I. Lucas-</w:t>
      </w:r>
      <w:proofErr w:type="spellStart"/>
      <w:r w:rsidRPr="000F0FAB">
        <w:t>Lledó</w:t>
      </w:r>
      <w:proofErr w:type="spellEnd"/>
      <w:r w:rsidRPr="000F0FAB">
        <w:t xml:space="preserve">, N. </w:t>
      </w:r>
      <w:proofErr w:type="spellStart"/>
      <w:r w:rsidRPr="000F0FAB">
        <w:t>Warthmann</w:t>
      </w:r>
      <w:proofErr w:type="spellEnd"/>
      <w:r w:rsidRPr="000F0FAB">
        <w:t xml:space="preserve">, R. M. Clark, R. G. Shaw, D. </w:t>
      </w:r>
      <w:proofErr w:type="spellStart"/>
      <w:r w:rsidRPr="000F0FAB">
        <w:t>Weigel</w:t>
      </w:r>
      <w:proofErr w:type="spellEnd"/>
      <w:r w:rsidRPr="000F0FAB">
        <w:t xml:space="preserve">, M. Lynch, The rate and molecular spectrum of spontaneous mutations in </w:t>
      </w:r>
      <w:r w:rsidRPr="000F0FAB">
        <w:rPr>
          <w:i/>
        </w:rPr>
        <w:t>Arabidopsis thaliana</w:t>
      </w:r>
      <w:r w:rsidRPr="000F0FAB">
        <w:t>.</w:t>
      </w:r>
      <w:r>
        <w:t> </w:t>
      </w:r>
      <w:r w:rsidRPr="000F0FAB">
        <w:rPr>
          <w:i/>
        </w:rPr>
        <w:t>Science</w:t>
      </w:r>
      <w:r>
        <w:t> </w:t>
      </w:r>
      <w:r w:rsidRPr="000F0FAB">
        <w:rPr>
          <w:b/>
        </w:rPr>
        <w:t>327</w:t>
      </w:r>
      <w:r w:rsidRPr="000F0FAB">
        <w:t>, 92-94 (2010).</w:t>
      </w:r>
    </w:p>
    <w:p w14:paraId="6248F8DC" w14:textId="77777777" w:rsidR="005D1F47" w:rsidRDefault="005D1F47" w:rsidP="005D1F47">
      <w:pPr>
        <w:pStyle w:val="Referencesandnotes"/>
        <w:ind w:left="360" w:hanging="502"/>
      </w:pPr>
      <w:r w:rsidRPr="00EE6661">
        <w:t xml:space="preserve">B. Pujol, S. Blanchet, A. </w:t>
      </w:r>
      <w:proofErr w:type="spellStart"/>
      <w:r w:rsidRPr="00EE6661">
        <w:t>Charmantier</w:t>
      </w:r>
      <w:proofErr w:type="spellEnd"/>
      <w:r w:rsidRPr="00EE6661">
        <w:t xml:space="preserve">, E. </w:t>
      </w:r>
      <w:proofErr w:type="spellStart"/>
      <w:r w:rsidRPr="00EE6661">
        <w:t>Danchin</w:t>
      </w:r>
      <w:proofErr w:type="spellEnd"/>
      <w:r w:rsidRPr="00EE6661">
        <w:t xml:space="preserve">, B. </w:t>
      </w:r>
      <w:proofErr w:type="spellStart"/>
      <w:r w:rsidRPr="00EE6661">
        <w:t>Facon</w:t>
      </w:r>
      <w:proofErr w:type="spellEnd"/>
      <w:r w:rsidRPr="00EE6661">
        <w:t xml:space="preserve">, P. </w:t>
      </w:r>
      <w:proofErr w:type="spellStart"/>
      <w:r w:rsidRPr="00EE6661">
        <w:t>Marrot</w:t>
      </w:r>
      <w:proofErr w:type="spellEnd"/>
      <w:r w:rsidRPr="00EE6661">
        <w:t xml:space="preserve">, F. Roux, I. </w:t>
      </w:r>
      <w:proofErr w:type="spellStart"/>
      <w:r w:rsidRPr="00EE6661">
        <w:t>Scotti</w:t>
      </w:r>
      <w:proofErr w:type="spellEnd"/>
      <w:r w:rsidRPr="00EE6661">
        <w:t xml:space="preserve">, C. </w:t>
      </w:r>
      <w:proofErr w:type="spellStart"/>
      <w:r w:rsidRPr="00EE6661">
        <w:t>Téplitsky</w:t>
      </w:r>
      <w:proofErr w:type="spellEnd"/>
      <w:r w:rsidRPr="00EE6661">
        <w:t xml:space="preserve">, C. E. Thomson, I. S. </w:t>
      </w:r>
      <w:proofErr w:type="spellStart"/>
      <w:r w:rsidRPr="00EE6661">
        <w:t>Winney</w:t>
      </w:r>
      <w:proofErr w:type="spellEnd"/>
      <w:r w:rsidRPr="00EE6661">
        <w:t>. The missing response to selection in the wild.</w:t>
      </w:r>
      <w:r>
        <w:t> </w:t>
      </w:r>
      <w:r w:rsidRPr="00EE6661">
        <w:rPr>
          <w:i/>
        </w:rPr>
        <w:t xml:space="preserve">Trends Ecol. </w:t>
      </w:r>
      <w:proofErr w:type="spellStart"/>
      <w:r w:rsidRPr="00EE6661">
        <w:rPr>
          <w:i/>
        </w:rPr>
        <w:t>Evol</w:t>
      </w:r>
      <w:proofErr w:type="spellEnd"/>
      <w:r w:rsidRPr="00EE6661">
        <w:rPr>
          <w:i/>
        </w:rPr>
        <w:t>.</w:t>
      </w:r>
      <w:r>
        <w:t> </w:t>
      </w:r>
      <w:r w:rsidRPr="00EE6661">
        <w:rPr>
          <w:b/>
        </w:rPr>
        <w:t>33</w:t>
      </w:r>
      <w:r w:rsidRPr="00EE6661">
        <w:t>, 337-346 (2018).</w:t>
      </w:r>
    </w:p>
    <w:p w14:paraId="363FFBC4" w14:textId="77777777" w:rsidR="009E3DD6" w:rsidRDefault="009E3DD6" w:rsidP="009E3DD6">
      <w:pPr>
        <w:pStyle w:val="Referencesandnotes"/>
        <w:ind w:left="360" w:hanging="502"/>
      </w:pPr>
      <w:r>
        <w:t xml:space="preserve">L. </w:t>
      </w:r>
      <w:proofErr w:type="spellStart"/>
      <w:r>
        <w:t>Quadrana</w:t>
      </w:r>
      <w:proofErr w:type="spellEnd"/>
      <w:r>
        <w:t xml:space="preserve">, V. </w:t>
      </w:r>
      <w:proofErr w:type="spellStart"/>
      <w:r>
        <w:t>Colot</w:t>
      </w:r>
      <w:proofErr w:type="spellEnd"/>
      <w:r>
        <w:t>, Plant transgenerational epigenetics. </w:t>
      </w:r>
      <w:proofErr w:type="spellStart"/>
      <w:r w:rsidRPr="00AB2F01">
        <w:rPr>
          <w:i/>
        </w:rPr>
        <w:t>Annu</w:t>
      </w:r>
      <w:proofErr w:type="spellEnd"/>
      <w:r w:rsidRPr="00AB2F01">
        <w:rPr>
          <w:i/>
        </w:rPr>
        <w:t>. Rev. Genet.</w:t>
      </w:r>
      <w:r>
        <w:t> </w:t>
      </w:r>
      <w:r w:rsidRPr="00AB2F01">
        <w:rPr>
          <w:b/>
        </w:rPr>
        <w:t>50</w:t>
      </w:r>
      <w:r>
        <w:t>, 467–491 (2016).</w:t>
      </w:r>
    </w:p>
    <w:p w14:paraId="5A55B8B3" w14:textId="77777777" w:rsidR="005D1F47" w:rsidRDefault="005D1F47" w:rsidP="005D1F47">
      <w:pPr>
        <w:pStyle w:val="Referencesandnotes"/>
        <w:ind w:left="360" w:hanging="502"/>
      </w:pPr>
      <w:r w:rsidRPr="00581CC2">
        <w:t xml:space="preserve">L. </w:t>
      </w:r>
      <w:proofErr w:type="spellStart"/>
      <w:r w:rsidRPr="00581CC2">
        <w:t>Quadrana</w:t>
      </w:r>
      <w:proofErr w:type="spellEnd"/>
      <w:r w:rsidRPr="00581CC2">
        <w:t xml:space="preserve">, M. </w:t>
      </w:r>
      <w:proofErr w:type="spellStart"/>
      <w:r w:rsidRPr="00581CC2">
        <w:t>Etcheverry</w:t>
      </w:r>
      <w:proofErr w:type="spellEnd"/>
      <w:r w:rsidRPr="00581CC2">
        <w:t xml:space="preserve">, A. Gilly, E. </w:t>
      </w:r>
      <w:proofErr w:type="spellStart"/>
      <w:r w:rsidRPr="00581CC2">
        <w:t>Caillieux</w:t>
      </w:r>
      <w:proofErr w:type="spellEnd"/>
      <w:r w:rsidRPr="00581CC2">
        <w:t xml:space="preserve">, M.-A. </w:t>
      </w:r>
      <w:proofErr w:type="spellStart"/>
      <w:r w:rsidRPr="00581CC2">
        <w:t>Madoui</w:t>
      </w:r>
      <w:proofErr w:type="spellEnd"/>
      <w:r w:rsidRPr="00581CC2">
        <w:t xml:space="preserve">, J. Guy, A. </w:t>
      </w:r>
      <w:proofErr w:type="spellStart"/>
      <w:r w:rsidRPr="00581CC2">
        <w:t>Bortolini</w:t>
      </w:r>
      <w:proofErr w:type="spellEnd"/>
      <w:r w:rsidRPr="00581CC2">
        <w:t xml:space="preserve"> </w:t>
      </w:r>
      <w:proofErr w:type="spellStart"/>
      <w:r w:rsidRPr="00581CC2">
        <w:t>Silveira</w:t>
      </w:r>
      <w:proofErr w:type="spellEnd"/>
      <w:r w:rsidRPr="00581CC2">
        <w:t xml:space="preserve">, S. </w:t>
      </w:r>
      <w:proofErr w:type="spellStart"/>
      <w:r w:rsidRPr="00581CC2">
        <w:t>Engelen</w:t>
      </w:r>
      <w:proofErr w:type="spellEnd"/>
      <w:r w:rsidRPr="00581CC2">
        <w:t xml:space="preserve">, V. </w:t>
      </w:r>
      <w:proofErr w:type="spellStart"/>
      <w:r w:rsidRPr="00581CC2">
        <w:t>Baillet</w:t>
      </w:r>
      <w:proofErr w:type="spellEnd"/>
      <w:r w:rsidRPr="00581CC2">
        <w:t xml:space="preserve">, P. </w:t>
      </w:r>
      <w:proofErr w:type="spellStart"/>
      <w:r w:rsidRPr="00581CC2">
        <w:t>Wincker</w:t>
      </w:r>
      <w:proofErr w:type="spellEnd"/>
      <w:r w:rsidRPr="00581CC2">
        <w:t xml:space="preserve">, J.-M. </w:t>
      </w:r>
      <w:proofErr w:type="spellStart"/>
      <w:r w:rsidRPr="00581CC2">
        <w:t>Aury</w:t>
      </w:r>
      <w:proofErr w:type="spellEnd"/>
      <w:r w:rsidRPr="00581CC2">
        <w:t xml:space="preserve">, V. </w:t>
      </w:r>
      <w:proofErr w:type="spellStart"/>
      <w:r w:rsidRPr="00581CC2">
        <w:t>Colot</w:t>
      </w:r>
      <w:proofErr w:type="spellEnd"/>
      <w:r>
        <w:t>,</w:t>
      </w:r>
      <w:r w:rsidRPr="00581CC2">
        <w:t xml:space="preserve"> Transposition favors the generation of large effect mutations that may facilitate rapid adaption.</w:t>
      </w:r>
      <w:r>
        <w:t> </w:t>
      </w:r>
      <w:r w:rsidRPr="00581CC2">
        <w:rPr>
          <w:i/>
        </w:rPr>
        <w:t xml:space="preserve">Nat. </w:t>
      </w:r>
      <w:proofErr w:type="spellStart"/>
      <w:r w:rsidRPr="00581CC2">
        <w:rPr>
          <w:i/>
        </w:rPr>
        <w:t>Commun</w:t>
      </w:r>
      <w:proofErr w:type="spellEnd"/>
      <w:r w:rsidRPr="00581CC2">
        <w:rPr>
          <w:i/>
        </w:rPr>
        <w:t>.</w:t>
      </w:r>
      <w:r>
        <w:t> </w:t>
      </w:r>
      <w:r w:rsidRPr="00581CC2">
        <w:rPr>
          <w:b/>
        </w:rPr>
        <w:t>10</w:t>
      </w:r>
      <w:r w:rsidRPr="00581CC2">
        <w:t>, 3421 (2019).</w:t>
      </w:r>
    </w:p>
    <w:p w14:paraId="1A5936DB" w14:textId="77777777" w:rsidR="005D1F47" w:rsidRDefault="005D1F47" w:rsidP="005D1F47">
      <w:pPr>
        <w:pStyle w:val="Referencesandnotes"/>
        <w:ind w:left="360" w:hanging="502"/>
      </w:pPr>
      <w:r w:rsidRPr="00AB0DC6">
        <w:t xml:space="preserve">R Core Team, </w:t>
      </w:r>
      <w:r>
        <w:t>“</w:t>
      </w:r>
      <w:r w:rsidRPr="00AB0DC6">
        <w:t>R: A language and environment for statistical computing. R Foundation for Statistical Computing</w:t>
      </w:r>
      <w:r>
        <w:t xml:space="preserve">” (2023; </w:t>
      </w:r>
      <w:r w:rsidRPr="00AB0DC6">
        <w:t>https://www. R-project. org/</w:t>
      </w:r>
      <w:r>
        <w:t>)</w:t>
      </w:r>
    </w:p>
    <w:p w14:paraId="4C6360B9" w14:textId="77777777" w:rsidR="005D1F47" w:rsidRDefault="005D1F47" w:rsidP="005D1F47">
      <w:pPr>
        <w:pStyle w:val="Referencesandnotes"/>
        <w:ind w:left="360" w:hanging="502"/>
      </w:pPr>
      <w:r w:rsidRPr="003076DE">
        <w:lastRenderedPageBreak/>
        <w:t xml:space="preserve">J. </w:t>
      </w:r>
      <w:proofErr w:type="spellStart"/>
      <w:r w:rsidRPr="003076DE">
        <w:t>Reinders</w:t>
      </w:r>
      <w:proofErr w:type="spellEnd"/>
      <w:r w:rsidRPr="003076DE">
        <w:t xml:space="preserve">, B. B. H. </w:t>
      </w:r>
      <w:proofErr w:type="spellStart"/>
      <w:r w:rsidRPr="003076DE">
        <w:t>Wulff</w:t>
      </w:r>
      <w:proofErr w:type="spellEnd"/>
      <w:r w:rsidRPr="003076DE">
        <w:t xml:space="preserve">, M. </w:t>
      </w:r>
      <w:proofErr w:type="spellStart"/>
      <w:r w:rsidRPr="003076DE">
        <w:t>Mirouze</w:t>
      </w:r>
      <w:proofErr w:type="spellEnd"/>
      <w:r w:rsidRPr="003076DE">
        <w:t xml:space="preserve">, A. </w:t>
      </w:r>
      <w:proofErr w:type="spellStart"/>
      <w:r w:rsidRPr="003076DE">
        <w:t>Marí-Ordóñez</w:t>
      </w:r>
      <w:proofErr w:type="spellEnd"/>
      <w:r w:rsidRPr="003076DE">
        <w:t xml:space="preserve">, M. </w:t>
      </w:r>
      <w:proofErr w:type="spellStart"/>
      <w:r w:rsidRPr="003076DE">
        <w:t>Dapp</w:t>
      </w:r>
      <w:proofErr w:type="spellEnd"/>
      <w:r w:rsidRPr="003076DE">
        <w:t xml:space="preserve">, W. </w:t>
      </w:r>
      <w:proofErr w:type="spellStart"/>
      <w:r w:rsidRPr="003076DE">
        <w:t>Rozhon</w:t>
      </w:r>
      <w:proofErr w:type="spellEnd"/>
      <w:r w:rsidRPr="003076DE">
        <w:t xml:space="preserve">, E. Bucher, G. Theiler, J. </w:t>
      </w:r>
      <w:proofErr w:type="spellStart"/>
      <w:r w:rsidRPr="003076DE">
        <w:t>Paszkowski</w:t>
      </w:r>
      <w:proofErr w:type="spellEnd"/>
      <w:r w:rsidRPr="003076DE">
        <w:t xml:space="preserve">, Compromised stability of DNA methylation and transposon immobilization in mosaic </w:t>
      </w:r>
      <w:r w:rsidRPr="003076DE">
        <w:rPr>
          <w:i/>
        </w:rPr>
        <w:t>Arabidopsis</w:t>
      </w:r>
      <w:r w:rsidRPr="003076DE">
        <w:t xml:space="preserve"> </w:t>
      </w:r>
      <w:proofErr w:type="spellStart"/>
      <w:r w:rsidRPr="003076DE">
        <w:t>epigenomes</w:t>
      </w:r>
      <w:proofErr w:type="spellEnd"/>
      <w:r w:rsidRPr="003076DE">
        <w:t>.</w:t>
      </w:r>
      <w:r>
        <w:t> </w:t>
      </w:r>
      <w:r w:rsidRPr="003076DE">
        <w:rPr>
          <w:i/>
        </w:rPr>
        <w:t>Genes Dev.</w:t>
      </w:r>
      <w:r>
        <w:t> </w:t>
      </w:r>
      <w:r w:rsidRPr="003076DE">
        <w:rPr>
          <w:b/>
        </w:rPr>
        <w:t>23</w:t>
      </w:r>
      <w:r w:rsidRPr="003076DE">
        <w:t>, 939-950 (2009).</w:t>
      </w:r>
    </w:p>
    <w:p w14:paraId="35FDF49D" w14:textId="77777777" w:rsidR="009E3DD6" w:rsidRDefault="009E3DD6" w:rsidP="009E3DD6">
      <w:pPr>
        <w:pStyle w:val="Referencesandnotes"/>
        <w:ind w:left="360" w:hanging="502"/>
      </w:pPr>
      <w:r w:rsidRPr="006A1E40">
        <w:t xml:space="preserve">C. L. Richards, C. Alonso, C. Becker, O. </w:t>
      </w:r>
      <w:proofErr w:type="spellStart"/>
      <w:r w:rsidRPr="006A1E40">
        <w:t>Bossdorf</w:t>
      </w:r>
      <w:proofErr w:type="spellEnd"/>
      <w:r w:rsidRPr="006A1E40">
        <w:t xml:space="preserve">, E. Bucher, M. </w:t>
      </w:r>
      <w:proofErr w:type="spellStart"/>
      <w:r w:rsidRPr="006A1E40">
        <w:t>Colomé-Tatché</w:t>
      </w:r>
      <w:proofErr w:type="spellEnd"/>
      <w:r w:rsidRPr="006A1E40">
        <w:t xml:space="preserve">, W. </w:t>
      </w:r>
      <w:proofErr w:type="spellStart"/>
      <w:r w:rsidRPr="006A1E40">
        <w:t>Durka</w:t>
      </w:r>
      <w:proofErr w:type="spellEnd"/>
      <w:r w:rsidRPr="006A1E40">
        <w:t xml:space="preserve">, J. </w:t>
      </w:r>
      <w:proofErr w:type="spellStart"/>
      <w:r w:rsidRPr="006A1E40">
        <w:t>Engelhardt</w:t>
      </w:r>
      <w:proofErr w:type="spellEnd"/>
      <w:r w:rsidRPr="006A1E40">
        <w:t>, B. Gaspar, A. Gogol-</w:t>
      </w:r>
      <w:proofErr w:type="spellStart"/>
      <w:r w:rsidRPr="006A1E40">
        <w:t>Döring</w:t>
      </w:r>
      <w:proofErr w:type="spellEnd"/>
      <w:r w:rsidRPr="006A1E40">
        <w:t xml:space="preserve">, I. Grosse, T. P. van </w:t>
      </w:r>
      <w:proofErr w:type="spellStart"/>
      <w:r w:rsidRPr="006A1E40">
        <w:t>Gurp</w:t>
      </w:r>
      <w:proofErr w:type="spellEnd"/>
      <w:r w:rsidRPr="006A1E40">
        <w:t xml:space="preserve">, K. </w:t>
      </w:r>
      <w:proofErr w:type="spellStart"/>
      <w:r w:rsidRPr="006A1E40">
        <w:t>Heer</w:t>
      </w:r>
      <w:proofErr w:type="spellEnd"/>
      <w:r w:rsidRPr="006A1E40">
        <w:t xml:space="preserve">, I. </w:t>
      </w:r>
      <w:proofErr w:type="spellStart"/>
      <w:r w:rsidRPr="006A1E40">
        <w:t>Kronholm</w:t>
      </w:r>
      <w:proofErr w:type="spellEnd"/>
      <w:r w:rsidRPr="006A1E40">
        <w:t xml:space="preserve">, C. </w:t>
      </w:r>
      <w:proofErr w:type="spellStart"/>
      <w:r w:rsidRPr="006A1E40">
        <w:t>Lampei</w:t>
      </w:r>
      <w:proofErr w:type="spellEnd"/>
      <w:r w:rsidRPr="006A1E40">
        <w:t xml:space="preserve">, V. </w:t>
      </w:r>
      <w:proofErr w:type="spellStart"/>
      <w:r w:rsidRPr="006A1E40">
        <w:t>Latzel</w:t>
      </w:r>
      <w:proofErr w:type="spellEnd"/>
      <w:r w:rsidRPr="006A1E40">
        <w:t xml:space="preserve">, M. </w:t>
      </w:r>
      <w:proofErr w:type="spellStart"/>
      <w:r w:rsidRPr="006A1E40">
        <w:t>Mirouze</w:t>
      </w:r>
      <w:proofErr w:type="spellEnd"/>
      <w:r w:rsidRPr="006A1E40">
        <w:t xml:space="preserve">, L. </w:t>
      </w:r>
      <w:proofErr w:type="spellStart"/>
      <w:r w:rsidRPr="006A1E40">
        <w:t>Opgenoorth</w:t>
      </w:r>
      <w:proofErr w:type="spellEnd"/>
      <w:r w:rsidRPr="006A1E40">
        <w:t xml:space="preserve">, O. </w:t>
      </w:r>
      <w:proofErr w:type="spellStart"/>
      <w:r w:rsidRPr="006A1E40">
        <w:t>Paun</w:t>
      </w:r>
      <w:proofErr w:type="spellEnd"/>
      <w:r w:rsidRPr="006A1E40">
        <w:t xml:space="preserve">, S. J. </w:t>
      </w:r>
      <w:proofErr w:type="spellStart"/>
      <w:r w:rsidRPr="006A1E40">
        <w:t>Prohaska</w:t>
      </w:r>
      <w:proofErr w:type="spellEnd"/>
      <w:r w:rsidRPr="006A1E40">
        <w:t xml:space="preserve">, S. A. </w:t>
      </w:r>
      <w:proofErr w:type="spellStart"/>
      <w:r w:rsidRPr="006A1E40">
        <w:t>Rensing</w:t>
      </w:r>
      <w:proofErr w:type="spellEnd"/>
      <w:r w:rsidRPr="006A1E40">
        <w:t xml:space="preserve">, P. F. </w:t>
      </w:r>
      <w:proofErr w:type="spellStart"/>
      <w:r w:rsidRPr="006A1E40">
        <w:t>Stadler</w:t>
      </w:r>
      <w:proofErr w:type="spellEnd"/>
      <w:r w:rsidRPr="006A1E40">
        <w:t xml:space="preserve">, E. </w:t>
      </w:r>
      <w:proofErr w:type="spellStart"/>
      <w:r w:rsidRPr="006A1E40">
        <w:t>Trucchi</w:t>
      </w:r>
      <w:proofErr w:type="spellEnd"/>
      <w:r w:rsidRPr="006A1E40">
        <w:t xml:space="preserve">, K. </w:t>
      </w:r>
      <w:proofErr w:type="spellStart"/>
      <w:r w:rsidRPr="006A1E40">
        <w:t>Ullrich</w:t>
      </w:r>
      <w:proofErr w:type="spellEnd"/>
      <w:r w:rsidRPr="006A1E40">
        <w:t xml:space="preserve">, K. J. F. </w:t>
      </w:r>
      <w:proofErr w:type="spellStart"/>
      <w:r w:rsidRPr="006A1E40">
        <w:t>Verhoeven</w:t>
      </w:r>
      <w:proofErr w:type="spellEnd"/>
      <w:r w:rsidRPr="006A1E40">
        <w:t>, Ecological plant epigenetics: Evidence from model and non-model species, and the way forward.</w:t>
      </w:r>
      <w:r>
        <w:t> </w:t>
      </w:r>
      <w:r w:rsidRPr="006A1E40">
        <w:rPr>
          <w:i/>
        </w:rPr>
        <w:t>Ecol. Lett.</w:t>
      </w:r>
      <w:r>
        <w:t> </w:t>
      </w:r>
      <w:r w:rsidRPr="006A1E40">
        <w:rPr>
          <w:b/>
        </w:rPr>
        <w:t>20</w:t>
      </w:r>
      <w:r w:rsidRPr="006A1E40">
        <w:t>, 1576–1590 (2017).</w:t>
      </w:r>
    </w:p>
    <w:p w14:paraId="0566B88B" w14:textId="77777777" w:rsidR="005D1F47" w:rsidRDefault="005D1F47" w:rsidP="005D1F47">
      <w:pPr>
        <w:pStyle w:val="Referencesandnotes"/>
        <w:ind w:left="360" w:hanging="502"/>
      </w:pPr>
      <w:r w:rsidRPr="007F1999">
        <w:t xml:space="preserve">F. Roux, M. </w:t>
      </w:r>
      <w:proofErr w:type="spellStart"/>
      <w:r w:rsidRPr="007F1999">
        <w:t>Colomé-Tatché</w:t>
      </w:r>
      <w:proofErr w:type="spellEnd"/>
      <w:r w:rsidRPr="007F1999">
        <w:t xml:space="preserve">, C. </w:t>
      </w:r>
      <w:proofErr w:type="spellStart"/>
      <w:r w:rsidRPr="007F1999">
        <w:t>Edelist</w:t>
      </w:r>
      <w:proofErr w:type="spellEnd"/>
      <w:r w:rsidRPr="007F1999">
        <w:t xml:space="preserve">, R. </w:t>
      </w:r>
      <w:proofErr w:type="spellStart"/>
      <w:r w:rsidRPr="007F1999">
        <w:t>Wardenaar</w:t>
      </w:r>
      <w:proofErr w:type="spellEnd"/>
      <w:r w:rsidRPr="007F1999">
        <w:t xml:space="preserve">, P. </w:t>
      </w:r>
      <w:proofErr w:type="spellStart"/>
      <w:r w:rsidRPr="007F1999">
        <w:t>Guerche</w:t>
      </w:r>
      <w:proofErr w:type="spellEnd"/>
      <w:r w:rsidRPr="007F1999">
        <w:t xml:space="preserve">, F. Hospital, V. </w:t>
      </w:r>
      <w:proofErr w:type="spellStart"/>
      <w:r w:rsidRPr="007F1999">
        <w:t>Colot</w:t>
      </w:r>
      <w:proofErr w:type="spellEnd"/>
      <w:r w:rsidRPr="007F1999">
        <w:t>, R. C. Jansen, F. Johannes, Genome-wide epigenetic perturbation jump-starts patterns of heritable variation found in nature.</w:t>
      </w:r>
      <w:r>
        <w:t> </w:t>
      </w:r>
      <w:r w:rsidRPr="007F1999">
        <w:rPr>
          <w:i/>
        </w:rPr>
        <w:t>Genetics</w:t>
      </w:r>
      <w:r>
        <w:t> </w:t>
      </w:r>
      <w:r w:rsidRPr="007F1999">
        <w:rPr>
          <w:b/>
        </w:rPr>
        <w:t>188</w:t>
      </w:r>
      <w:r w:rsidRPr="007F1999">
        <w:t>,</w:t>
      </w:r>
      <w:r>
        <w:t xml:space="preserve"> </w:t>
      </w:r>
      <w:r w:rsidRPr="007F1999">
        <w:t>1015–1017 (2011).</w:t>
      </w:r>
    </w:p>
    <w:p w14:paraId="495614AF" w14:textId="77777777" w:rsidR="009E3DD6" w:rsidRDefault="009E3DD6" w:rsidP="009E3DD6">
      <w:pPr>
        <w:pStyle w:val="Referencesandnotes"/>
        <w:ind w:left="360" w:hanging="502"/>
      </w:pPr>
      <w:r w:rsidRPr="006D463F">
        <w:t xml:space="preserve">M. W. </w:t>
      </w:r>
      <w:proofErr w:type="spellStart"/>
      <w:r w:rsidRPr="006D463F">
        <w:t>Schmid</w:t>
      </w:r>
      <w:proofErr w:type="spellEnd"/>
      <w:r w:rsidRPr="006D463F">
        <w:t xml:space="preserve">, C. </w:t>
      </w:r>
      <w:proofErr w:type="spellStart"/>
      <w:r w:rsidRPr="006D463F">
        <w:t>Heichinger</w:t>
      </w:r>
      <w:proofErr w:type="spellEnd"/>
      <w:r w:rsidRPr="006D463F">
        <w:t xml:space="preserve">, D. </w:t>
      </w:r>
      <w:proofErr w:type="spellStart"/>
      <w:r w:rsidRPr="006D463F">
        <w:t>Coman</w:t>
      </w:r>
      <w:proofErr w:type="spellEnd"/>
      <w:r w:rsidRPr="006D463F">
        <w:t xml:space="preserve"> </w:t>
      </w:r>
      <w:proofErr w:type="spellStart"/>
      <w:r w:rsidRPr="006D463F">
        <w:t>Schmid</w:t>
      </w:r>
      <w:proofErr w:type="spellEnd"/>
      <w:r w:rsidRPr="006D463F">
        <w:t xml:space="preserve">, D. </w:t>
      </w:r>
      <w:proofErr w:type="spellStart"/>
      <w:r w:rsidRPr="006D463F">
        <w:t>Guthörl</w:t>
      </w:r>
      <w:proofErr w:type="spellEnd"/>
      <w:r w:rsidRPr="006D463F">
        <w:t xml:space="preserve">, V. </w:t>
      </w:r>
      <w:proofErr w:type="spellStart"/>
      <w:r w:rsidRPr="006D463F">
        <w:t>Gagliardini</w:t>
      </w:r>
      <w:proofErr w:type="spellEnd"/>
      <w:r w:rsidRPr="006D463F">
        <w:t xml:space="preserve">, R. </w:t>
      </w:r>
      <w:proofErr w:type="spellStart"/>
      <w:r w:rsidRPr="006D463F">
        <w:t>Bruggmann</w:t>
      </w:r>
      <w:proofErr w:type="spellEnd"/>
      <w:r w:rsidRPr="006D463F">
        <w:t xml:space="preserve">, S. </w:t>
      </w:r>
      <w:proofErr w:type="spellStart"/>
      <w:r w:rsidRPr="006D463F">
        <w:t>Aluri</w:t>
      </w:r>
      <w:proofErr w:type="spellEnd"/>
      <w:r w:rsidRPr="006D463F">
        <w:t xml:space="preserve">, C. Aquino, B. </w:t>
      </w:r>
      <w:proofErr w:type="spellStart"/>
      <w:r w:rsidRPr="006D463F">
        <w:t>Schmid</w:t>
      </w:r>
      <w:proofErr w:type="spellEnd"/>
      <w:r w:rsidRPr="006D463F">
        <w:t xml:space="preserve">, L. A. Turnbull, U. </w:t>
      </w:r>
      <w:proofErr w:type="spellStart"/>
      <w:r w:rsidRPr="006D463F">
        <w:t>Grossniklaus</w:t>
      </w:r>
      <w:proofErr w:type="spellEnd"/>
      <w:r w:rsidRPr="006D463F">
        <w:t>, Contribution of epigenetic variation to adaptation in Arabidopsis.</w:t>
      </w:r>
      <w:r>
        <w:t> </w:t>
      </w:r>
      <w:r w:rsidRPr="006D463F">
        <w:rPr>
          <w:i/>
        </w:rPr>
        <w:t xml:space="preserve">Nat. </w:t>
      </w:r>
      <w:proofErr w:type="spellStart"/>
      <w:r w:rsidRPr="006D463F">
        <w:rPr>
          <w:i/>
        </w:rPr>
        <w:t>Commun</w:t>
      </w:r>
      <w:proofErr w:type="spellEnd"/>
      <w:r w:rsidRPr="006D463F">
        <w:rPr>
          <w:i/>
        </w:rPr>
        <w:t>.</w:t>
      </w:r>
      <w:r>
        <w:t> </w:t>
      </w:r>
      <w:r w:rsidRPr="006D463F">
        <w:rPr>
          <w:b/>
        </w:rPr>
        <w:t>9</w:t>
      </w:r>
      <w:r w:rsidRPr="006D463F">
        <w:t>, 4446 (2018).</w:t>
      </w:r>
    </w:p>
    <w:p w14:paraId="2C34CF6A" w14:textId="77777777" w:rsidR="005D1F47" w:rsidRDefault="005D1F47" w:rsidP="005D1F47">
      <w:pPr>
        <w:pStyle w:val="Referencesandnotes"/>
        <w:ind w:left="360" w:hanging="502"/>
      </w:pPr>
      <w:r w:rsidRPr="007F1E8D">
        <w:t xml:space="preserve">R. J. Schmitz, M. D. Schultz, M. G. </w:t>
      </w:r>
      <w:proofErr w:type="spellStart"/>
      <w:r w:rsidRPr="007F1E8D">
        <w:t>Lewsey</w:t>
      </w:r>
      <w:proofErr w:type="spellEnd"/>
      <w:r w:rsidRPr="007F1E8D">
        <w:t xml:space="preserve">, R. C. O'Malley, M. A. </w:t>
      </w:r>
      <w:proofErr w:type="spellStart"/>
      <w:r w:rsidRPr="007F1E8D">
        <w:t>Urich</w:t>
      </w:r>
      <w:proofErr w:type="spellEnd"/>
      <w:r w:rsidRPr="007F1E8D">
        <w:t xml:space="preserve">, O. </w:t>
      </w:r>
      <w:proofErr w:type="spellStart"/>
      <w:r w:rsidRPr="007F1E8D">
        <w:t>Libiger</w:t>
      </w:r>
      <w:proofErr w:type="spellEnd"/>
      <w:r w:rsidRPr="007F1E8D">
        <w:t xml:space="preserve">, N. J. </w:t>
      </w:r>
      <w:proofErr w:type="spellStart"/>
      <w:r w:rsidRPr="007F1E8D">
        <w:t>Schork</w:t>
      </w:r>
      <w:proofErr w:type="spellEnd"/>
      <w:r w:rsidRPr="007F1E8D">
        <w:t>, J. R. Ecker, Transgenerational epigenetic instability is a source of novel methylation variants.</w:t>
      </w:r>
      <w:r>
        <w:t> </w:t>
      </w:r>
      <w:r w:rsidRPr="007F1E8D">
        <w:rPr>
          <w:i/>
        </w:rPr>
        <w:t>Science</w:t>
      </w:r>
      <w:r>
        <w:t> </w:t>
      </w:r>
      <w:r w:rsidRPr="007F1E8D">
        <w:rPr>
          <w:b/>
        </w:rPr>
        <w:t>334</w:t>
      </w:r>
      <w:r w:rsidRPr="007F1E8D">
        <w:t>, 369-373 (2011).</w:t>
      </w:r>
    </w:p>
    <w:p w14:paraId="0B1EE337" w14:textId="77777777" w:rsidR="005D1F47" w:rsidRDefault="005D1F47" w:rsidP="005D1F47">
      <w:pPr>
        <w:pStyle w:val="Referencesandnotes"/>
        <w:ind w:left="360" w:hanging="502"/>
      </w:pPr>
      <w:r w:rsidRPr="003076DE">
        <w:t xml:space="preserve">R. K. </w:t>
      </w:r>
      <w:proofErr w:type="spellStart"/>
      <w:r w:rsidRPr="003076DE">
        <w:t>Slotkin</w:t>
      </w:r>
      <w:proofErr w:type="spellEnd"/>
      <w:r w:rsidRPr="003076DE">
        <w:t xml:space="preserve">, R. </w:t>
      </w:r>
      <w:proofErr w:type="spellStart"/>
      <w:r w:rsidRPr="003076DE">
        <w:t>Martienssen</w:t>
      </w:r>
      <w:proofErr w:type="spellEnd"/>
      <w:r w:rsidRPr="003076DE">
        <w:t>, Transposable elements and the epigenetic regulation of the genome.</w:t>
      </w:r>
      <w:r>
        <w:t> </w:t>
      </w:r>
      <w:r w:rsidRPr="003076DE">
        <w:rPr>
          <w:i/>
        </w:rPr>
        <w:t>Nat. Rev. Genet.</w:t>
      </w:r>
      <w:r>
        <w:t> </w:t>
      </w:r>
      <w:r w:rsidRPr="003076DE">
        <w:rPr>
          <w:b/>
        </w:rPr>
        <w:t>8</w:t>
      </w:r>
      <w:r w:rsidRPr="003076DE">
        <w:t>, 272-285 (2007).</w:t>
      </w:r>
    </w:p>
    <w:p w14:paraId="328790E1" w14:textId="77777777" w:rsidR="009E3DD6" w:rsidRDefault="009E3DD6" w:rsidP="009E3DD6">
      <w:pPr>
        <w:pStyle w:val="Referencesandnotes"/>
        <w:ind w:left="360" w:hanging="502"/>
      </w:pPr>
      <w:r>
        <w:t xml:space="preserve">D. </w:t>
      </w:r>
      <w:proofErr w:type="spellStart"/>
      <w:r>
        <w:t>Stajic</w:t>
      </w:r>
      <w:proofErr w:type="spellEnd"/>
      <w:r>
        <w:t xml:space="preserve">, L. </w:t>
      </w:r>
      <w:proofErr w:type="spellStart"/>
      <w:r>
        <w:t>Perfeito</w:t>
      </w:r>
      <w:proofErr w:type="spellEnd"/>
      <w:r>
        <w:t>, L. E. T. Jansen, Epigenetic gene silencing alters the mechanisms and rate of evolutionary adaptation. </w:t>
      </w:r>
      <w:r w:rsidRPr="00AE0879">
        <w:rPr>
          <w:i/>
        </w:rPr>
        <w:t xml:space="preserve">Nat. Ecol. </w:t>
      </w:r>
      <w:proofErr w:type="spellStart"/>
      <w:r w:rsidRPr="00AE0879">
        <w:rPr>
          <w:i/>
        </w:rPr>
        <w:t>Evol</w:t>
      </w:r>
      <w:proofErr w:type="spellEnd"/>
      <w:r w:rsidRPr="00AE0879">
        <w:rPr>
          <w:i/>
        </w:rPr>
        <w:t>.</w:t>
      </w:r>
      <w:r>
        <w:t> </w:t>
      </w:r>
      <w:r w:rsidRPr="00AE0879">
        <w:rPr>
          <w:b/>
        </w:rPr>
        <w:t>3</w:t>
      </w:r>
      <w:r>
        <w:t>, 491–498 (2019).</w:t>
      </w:r>
    </w:p>
    <w:p w14:paraId="2EEC89D6" w14:textId="77777777" w:rsidR="005D1F47" w:rsidRDefault="005D1F47" w:rsidP="005D1F47">
      <w:pPr>
        <w:pStyle w:val="Referencesandnotes"/>
        <w:ind w:left="360" w:hanging="502"/>
      </w:pPr>
      <w:r w:rsidRPr="00AB0DC6">
        <w:t xml:space="preserve">D. </w:t>
      </w:r>
      <w:proofErr w:type="spellStart"/>
      <w:r w:rsidRPr="00AB0DC6">
        <w:t>Stajic</w:t>
      </w:r>
      <w:proofErr w:type="spellEnd"/>
      <w:r w:rsidRPr="00AB0DC6">
        <w:t>, L. E. T. Jansen, Empirical evidence for epigenetic inheritance driving evolutionary adaptation.</w:t>
      </w:r>
      <w:r>
        <w:t> </w:t>
      </w:r>
      <w:r w:rsidRPr="00AB0DC6">
        <w:rPr>
          <w:i/>
        </w:rPr>
        <w:t xml:space="preserve">Philos. Trans. R. Soc. </w:t>
      </w:r>
      <w:proofErr w:type="spellStart"/>
      <w:r w:rsidRPr="00AB0DC6">
        <w:rPr>
          <w:i/>
        </w:rPr>
        <w:t>Lond</w:t>
      </w:r>
      <w:proofErr w:type="spellEnd"/>
      <w:r w:rsidRPr="00AB0DC6">
        <w:rPr>
          <w:i/>
        </w:rPr>
        <w:t>. B. Biol. Sci.</w:t>
      </w:r>
      <w:r>
        <w:t> </w:t>
      </w:r>
      <w:r w:rsidRPr="00AB0DC6">
        <w:rPr>
          <w:b/>
        </w:rPr>
        <w:t>376</w:t>
      </w:r>
      <w:r w:rsidRPr="00AB0DC6">
        <w:t>, 20200121 (2021).</w:t>
      </w:r>
    </w:p>
    <w:p w14:paraId="612BA51B" w14:textId="77777777" w:rsidR="00FA3C12" w:rsidRPr="00EA184F" w:rsidRDefault="00FA3C12" w:rsidP="00FA3C12">
      <w:pPr>
        <w:pStyle w:val="Referencesandnotes"/>
        <w:ind w:left="360" w:hanging="502"/>
      </w:pPr>
      <w:r w:rsidRPr="00EA184F">
        <w:t>C</w:t>
      </w:r>
      <w:r>
        <w:t xml:space="preserve">. </w:t>
      </w:r>
      <w:r w:rsidRPr="00EA184F">
        <w:t>E</w:t>
      </w:r>
      <w:r>
        <w:t>.</w:t>
      </w:r>
      <w:r w:rsidRPr="00EA184F">
        <w:t xml:space="preserve"> Thomson, I</w:t>
      </w:r>
      <w:r>
        <w:t xml:space="preserve">. </w:t>
      </w:r>
      <w:r w:rsidRPr="00EA184F">
        <w:t xml:space="preserve">S </w:t>
      </w:r>
      <w:proofErr w:type="spellStart"/>
      <w:r w:rsidRPr="00EA184F">
        <w:t>Winney</w:t>
      </w:r>
      <w:proofErr w:type="spellEnd"/>
      <w:r w:rsidRPr="00EA184F">
        <w:t>, O</w:t>
      </w:r>
      <w:r>
        <w:t xml:space="preserve">. </w:t>
      </w:r>
      <w:r w:rsidRPr="00EA184F">
        <w:t>C</w:t>
      </w:r>
      <w:r>
        <w:t>.</w:t>
      </w:r>
      <w:r w:rsidRPr="00EA184F">
        <w:t xml:space="preserve"> </w:t>
      </w:r>
      <w:proofErr w:type="spellStart"/>
      <w:r w:rsidRPr="00EA184F">
        <w:t>Salles</w:t>
      </w:r>
      <w:proofErr w:type="spellEnd"/>
      <w:r w:rsidRPr="00EA184F">
        <w:t>, B</w:t>
      </w:r>
      <w:r>
        <w:t>.</w:t>
      </w:r>
      <w:r w:rsidRPr="00EA184F">
        <w:t xml:space="preserve"> </w:t>
      </w:r>
      <w:r>
        <w:t>Pujol,</w:t>
      </w:r>
      <w:r w:rsidRPr="00EA184F">
        <w:t xml:space="preserve"> </w:t>
      </w:r>
      <w:proofErr w:type="gramStart"/>
      <w:r w:rsidRPr="00EA184F">
        <w:t>A</w:t>
      </w:r>
      <w:proofErr w:type="gramEnd"/>
      <w:r w:rsidRPr="00EA184F">
        <w:t xml:space="preserve"> guide to using a multiple-matrix animal model to disentangle genetic and </w:t>
      </w:r>
      <w:proofErr w:type="spellStart"/>
      <w:r w:rsidRPr="00EA184F">
        <w:t>nongenetic</w:t>
      </w:r>
      <w:proofErr w:type="spellEnd"/>
      <w:r w:rsidRPr="00EA184F">
        <w:t xml:space="preserve"> causes of phenotypic variance. </w:t>
      </w:r>
      <w:proofErr w:type="spellStart"/>
      <w:r w:rsidRPr="00387979">
        <w:rPr>
          <w:i/>
        </w:rPr>
        <w:t>PLoS</w:t>
      </w:r>
      <w:proofErr w:type="spellEnd"/>
      <w:r w:rsidRPr="00387979">
        <w:rPr>
          <w:i/>
        </w:rPr>
        <w:t xml:space="preserve"> ONE</w:t>
      </w:r>
      <w:r>
        <w:t> </w:t>
      </w:r>
      <w:proofErr w:type="gramStart"/>
      <w:r w:rsidRPr="00387979">
        <w:rPr>
          <w:b/>
        </w:rPr>
        <w:t>13</w:t>
      </w:r>
      <w:r>
        <w:t>,</w:t>
      </w:r>
      <w:r w:rsidRPr="00EA184F">
        <w:t>e</w:t>
      </w:r>
      <w:proofErr w:type="gramEnd"/>
      <w:r w:rsidRPr="00EA184F">
        <w:t>0197720</w:t>
      </w:r>
      <w:r>
        <w:t xml:space="preserve"> </w:t>
      </w:r>
      <w:r w:rsidRPr="00EA184F">
        <w:t>(2018)</w:t>
      </w:r>
      <w:r>
        <w:t xml:space="preserve">. </w:t>
      </w:r>
    </w:p>
    <w:p w14:paraId="6ADD655E" w14:textId="77777777" w:rsidR="009E3DD6" w:rsidRDefault="009E3DD6" w:rsidP="009E3DD6">
      <w:pPr>
        <w:pStyle w:val="Referencesandnotes"/>
        <w:ind w:left="360" w:hanging="502"/>
      </w:pPr>
      <w:r w:rsidRPr="00AB2F01">
        <w:t xml:space="preserve">K. J. F. </w:t>
      </w:r>
      <w:proofErr w:type="spellStart"/>
      <w:r w:rsidRPr="00AB2F01">
        <w:t>Verhoeven</w:t>
      </w:r>
      <w:proofErr w:type="spellEnd"/>
      <w:r w:rsidRPr="00AB2F01">
        <w:t xml:space="preserve">, B. M. </w:t>
      </w:r>
      <w:proofErr w:type="spellStart"/>
      <w:r w:rsidRPr="00AB2F01">
        <w:t>vonHoldt</w:t>
      </w:r>
      <w:proofErr w:type="spellEnd"/>
      <w:r w:rsidRPr="00AB2F01">
        <w:t xml:space="preserve">, V. L. </w:t>
      </w:r>
      <w:proofErr w:type="spellStart"/>
      <w:r w:rsidRPr="00AB2F01">
        <w:t>Sork</w:t>
      </w:r>
      <w:proofErr w:type="spellEnd"/>
      <w:r w:rsidRPr="00AB2F01">
        <w:t>, Epigenetics in ecology and evolution: what we know and what we need to know.</w:t>
      </w:r>
      <w:r>
        <w:t> </w:t>
      </w:r>
      <w:r w:rsidRPr="00AB2F01">
        <w:rPr>
          <w:i/>
        </w:rPr>
        <w:t>Mol. Ecol.</w:t>
      </w:r>
      <w:r>
        <w:t> </w:t>
      </w:r>
      <w:r w:rsidRPr="00AB2F01">
        <w:rPr>
          <w:b/>
        </w:rPr>
        <w:t>25</w:t>
      </w:r>
      <w:r w:rsidRPr="00AB2F01">
        <w:t>, 1631–1638 (2016).</w:t>
      </w:r>
    </w:p>
    <w:p w14:paraId="47D54D83" w14:textId="77777777" w:rsidR="005D1F47" w:rsidRDefault="005D1F47" w:rsidP="005D1F47">
      <w:pPr>
        <w:pStyle w:val="Referencesandnotes"/>
        <w:ind w:left="360" w:hanging="502"/>
      </w:pPr>
      <w:r w:rsidRPr="00031259">
        <w:t xml:space="preserve">G. </w:t>
      </w:r>
      <w:proofErr w:type="spellStart"/>
      <w:r w:rsidRPr="00031259">
        <w:t>Vernaz</w:t>
      </w:r>
      <w:proofErr w:type="spellEnd"/>
      <w:r w:rsidRPr="00031259">
        <w:t xml:space="preserve">, M. Malinsky, H. </w:t>
      </w:r>
      <w:proofErr w:type="spellStart"/>
      <w:r w:rsidRPr="00031259">
        <w:t>Svardal</w:t>
      </w:r>
      <w:proofErr w:type="spellEnd"/>
      <w:r w:rsidRPr="00031259">
        <w:t xml:space="preserve">, M. Du, A. M. </w:t>
      </w:r>
      <w:proofErr w:type="spellStart"/>
      <w:r w:rsidRPr="00031259">
        <w:t>Tyers</w:t>
      </w:r>
      <w:proofErr w:type="spellEnd"/>
      <w:r w:rsidRPr="00031259">
        <w:t xml:space="preserve">, M. E. Santos, R. Durbin, M. J. </w:t>
      </w:r>
      <w:proofErr w:type="spellStart"/>
      <w:r w:rsidRPr="00031259">
        <w:t>Genner</w:t>
      </w:r>
      <w:proofErr w:type="spellEnd"/>
      <w:r w:rsidRPr="00031259">
        <w:t xml:space="preserve">, G. F. Turner, E. A. </w:t>
      </w:r>
      <w:proofErr w:type="spellStart"/>
      <w:r w:rsidRPr="00031259">
        <w:t>Miska</w:t>
      </w:r>
      <w:proofErr w:type="spellEnd"/>
      <w:r w:rsidRPr="00031259">
        <w:t>, Mapping epigenetic divergence in the massive radiation of Lake Malawi cichlid fishes.</w:t>
      </w:r>
      <w:r>
        <w:t> </w:t>
      </w:r>
      <w:r w:rsidRPr="00031259">
        <w:rPr>
          <w:i/>
        </w:rPr>
        <w:t xml:space="preserve">Nat. </w:t>
      </w:r>
      <w:proofErr w:type="spellStart"/>
      <w:r w:rsidRPr="00031259">
        <w:rPr>
          <w:i/>
        </w:rPr>
        <w:t>Commun</w:t>
      </w:r>
      <w:proofErr w:type="spellEnd"/>
      <w:r w:rsidRPr="00031259">
        <w:rPr>
          <w:i/>
        </w:rPr>
        <w:t>.</w:t>
      </w:r>
      <w:r>
        <w:t> </w:t>
      </w:r>
      <w:r w:rsidRPr="00031259">
        <w:rPr>
          <w:b/>
        </w:rPr>
        <w:t>12</w:t>
      </w:r>
      <w:r w:rsidRPr="00031259">
        <w:t>, 5870 (2021).</w:t>
      </w:r>
    </w:p>
    <w:p w14:paraId="243C39B3" w14:textId="77777777" w:rsidR="009E3DD6" w:rsidRDefault="009E3DD6" w:rsidP="009E3DD6">
      <w:pPr>
        <w:pStyle w:val="Referencesandnotes"/>
        <w:ind w:left="360" w:hanging="502"/>
      </w:pPr>
      <w:r w:rsidRPr="0007097E">
        <w:t>G. Vogt, Epigenetic variation in animal populations: Sources, extent, phenotypic implications, and ecological and evolutionary relevance.</w:t>
      </w:r>
      <w:r>
        <w:t> </w:t>
      </w:r>
      <w:r w:rsidRPr="0007097E">
        <w:rPr>
          <w:i/>
        </w:rPr>
        <w:t xml:space="preserve">J. </w:t>
      </w:r>
      <w:proofErr w:type="spellStart"/>
      <w:r w:rsidRPr="0007097E">
        <w:rPr>
          <w:i/>
        </w:rPr>
        <w:t>Biosci</w:t>
      </w:r>
      <w:proofErr w:type="spellEnd"/>
      <w:r>
        <w:t>. </w:t>
      </w:r>
      <w:r w:rsidRPr="0007097E">
        <w:rPr>
          <w:b/>
        </w:rPr>
        <w:t>46</w:t>
      </w:r>
      <w:r w:rsidRPr="0007097E">
        <w:t>,</w:t>
      </w:r>
      <w:r>
        <w:t xml:space="preserve"> 24</w:t>
      </w:r>
      <w:r w:rsidRPr="0007097E">
        <w:t xml:space="preserve"> (2021).</w:t>
      </w:r>
    </w:p>
    <w:p w14:paraId="276FA031" w14:textId="5A636362" w:rsidR="00AE0879" w:rsidRDefault="00AE0879" w:rsidP="00062BF6">
      <w:pPr>
        <w:pStyle w:val="Referencesandnotes"/>
        <w:ind w:left="360" w:hanging="502"/>
      </w:pPr>
      <w:r>
        <w:t>B. Walsh, M. Lynch</w:t>
      </w:r>
      <w:r w:rsidRPr="00AE0879">
        <w:rPr>
          <w:i/>
        </w:rPr>
        <w:t>,</w:t>
      </w:r>
      <w:r>
        <w:rPr>
          <w:i/>
        </w:rPr>
        <w:t> </w:t>
      </w:r>
      <w:r w:rsidRPr="00AE0879">
        <w:rPr>
          <w:i/>
        </w:rPr>
        <w:t xml:space="preserve">Evolution </w:t>
      </w:r>
      <w:proofErr w:type="gramStart"/>
      <w:r w:rsidRPr="00AE0879">
        <w:rPr>
          <w:i/>
        </w:rPr>
        <w:t>And</w:t>
      </w:r>
      <w:proofErr w:type="gramEnd"/>
      <w:r w:rsidRPr="00AE0879">
        <w:rPr>
          <w:i/>
        </w:rPr>
        <w:t xml:space="preserve"> Selection Of Quantitative Traits</w:t>
      </w:r>
      <w:r>
        <w:t> (Oxford University Press, Oxford, 2018).</w:t>
      </w:r>
    </w:p>
    <w:p w14:paraId="50F51778" w14:textId="77777777" w:rsidR="005D1F47" w:rsidRDefault="005D1F47" w:rsidP="005D1F47">
      <w:pPr>
        <w:pStyle w:val="Referencesandnotes"/>
        <w:ind w:left="360" w:hanging="502"/>
      </w:pPr>
      <w:r w:rsidRPr="00AB0DC6">
        <w:t xml:space="preserve">H. Wickham, </w:t>
      </w:r>
      <w:r w:rsidRPr="00AB0DC6">
        <w:rPr>
          <w:i/>
        </w:rPr>
        <w:t xml:space="preserve">ggplot2: Elegant Graphics </w:t>
      </w:r>
      <w:proofErr w:type="gramStart"/>
      <w:r w:rsidRPr="00AB0DC6">
        <w:rPr>
          <w:i/>
        </w:rPr>
        <w:t>For</w:t>
      </w:r>
      <w:proofErr w:type="gramEnd"/>
      <w:r w:rsidRPr="00AB0DC6">
        <w:rPr>
          <w:i/>
        </w:rPr>
        <w:t xml:space="preserve"> Data Analysis</w:t>
      </w:r>
      <w:r w:rsidRPr="00AB0DC6">
        <w:t xml:space="preserve"> (Springer-</w:t>
      </w:r>
      <w:proofErr w:type="spellStart"/>
      <w:r w:rsidRPr="00AB0DC6">
        <w:t>Verlag</w:t>
      </w:r>
      <w:proofErr w:type="spellEnd"/>
      <w:r w:rsidRPr="00AB0DC6">
        <w:t>, New York, 2016).</w:t>
      </w:r>
    </w:p>
    <w:p w14:paraId="3AF80FBF" w14:textId="77777777" w:rsidR="00FA3C12" w:rsidRDefault="00FA3C12" w:rsidP="00FA3C12">
      <w:pPr>
        <w:pStyle w:val="Referencesandnotes"/>
        <w:ind w:left="360" w:hanging="502"/>
      </w:pPr>
      <w:r w:rsidRPr="00016B49">
        <w:t xml:space="preserve">H. Wickham, M. </w:t>
      </w:r>
      <w:proofErr w:type="spellStart"/>
      <w:r w:rsidRPr="00016B49">
        <w:t>Averick</w:t>
      </w:r>
      <w:proofErr w:type="spellEnd"/>
      <w:r w:rsidRPr="00016B49">
        <w:t xml:space="preserve">, J. Bryan, W. Chang, L. </w:t>
      </w:r>
      <w:proofErr w:type="spellStart"/>
      <w:r w:rsidRPr="00016B49">
        <w:t>D’Agostino</w:t>
      </w:r>
      <w:proofErr w:type="spellEnd"/>
      <w:r w:rsidRPr="00016B49">
        <w:t xml:space="preserve"> McGowan, R. François, G. </w:t>
      </w:r>
      <w:proofErr w:type="spellStart"/>
      <w:r w:rsidRPr="00016B49">
        <w:t>Grolemund</w:t>
      </w:r>
      <w:proofErr w:type="spellEnd"/>
      <w:r w:rsidRPr="00016B49">
        <w:t xml:space="preserve">, A. Hayes, L. Henry, J. Hester, M. Kuhn, T. L. Pedersen, E. Miller, S. M. Bache, K. Müller, J. </w:t>
      </w:r>
      <w:proofErr w:type="spellStart"/>
      <w:r w:rsidRPr="00016B49">
        <w:t>Ooms</w:t>
      </w:r>
      <w:proofErr w:type="spellEnd"/>
      <w:r w:rsidRPr="00016B49">
        <w:t xml:space="preserve">, D. Robinson, D. P. Seidel, V. </w:t>
      </w:r>
      <w:proofErr w:type="spellStart"/>
      <w:r w:rsidRPr="00016B49">
        <w:t>Spinu</w:t>
      </w:r>
      <w:proofErr w:type="spellEnd"/>
      <w:r w:rsidRPr="00016B49">
        <w:t xml:space="preserve">, K. Takahashi, D. Vaughan, C. Wilke, K. Woo, H. </w:t>
      </w:r>
      <w:proofErr w:type="spellStart"/>
      <w:r w:rsidRPr="00016B49">
        <w:t>Yutani</w:t>
      </w:r>
      <w:proofErr w:type="spellEnd"/>
      <w:r w:rsidRPr="00016B49">
        <w:t xml:space="preserve">, Welcome to the </w:t>
      </w:r>
      <w:proofErr w:type="spellStart"/>
      <w:r w:rsidRPr="00016B49">
        <w:t>Tidyverse</w:t>
      </w:r>
      <w:proofErr w:type="spellEnd"/>
      <w:r w:rsidRPr="00016B49">
        <w:t>.</w:t>
      </w:r>
      <w:r>
        <w:t> </w:t>
      </w:r>
      <w:r w:rsidRPr="00016B49">
        <w:rPr>
          <w:i/>
        </w:rPr>
        <w:t>J. Open Source Soft.</w:t>
      </w:r>
      <w:r>
        <w:t> </w:t>
      </w:r>
      <w:r w:rsidRPr="00016B49">
        <w:rPr>
          <w:b/>
        </w:rPr>
        <w:t>4</w:t>
      </w:r>
      <w:r w:rsidRPr="00016B49">
        <w:t>, 1686 (2019).</w:t>
      </w:r>
    </w:p>
    <w:p w14:paraId="03D69FA4" w14:textId="77777777" w:rsidR="005D1F47" w:rsidRDefault="005D1F47" w:rsidP="005D1F47">
      <w:pPr>
        <w:pStyle w:val="Referencesandnotes"/>
        <w:ind w:left="360" w:hanging="502"/>
      </w:pPr>
      <w:r w:rsidRPr="00EE6661">
        <w:t xml:space="preserve">A. J. Wilson, A. </w:t>
      </w:r>
      <w:proofErr w:type="spellStart"/>
      <w:r w:rsidRPr="00EE6661">
        <w:t>Rambaut</w:t>
      </w:r>
      <w:proofErr w:type="spellEnd"/>
      <w:r w:rsidRPr="00EE6661">
        <w:t>, Breeding racehorses: what price good genes?</w:t>
      </w:r>
      <w:r>
        <w:t> </w:t>
      </w:r>
      <w:r w:rsidRPr="00EE6661">
        <w:rPr>
          <w:i/>
        </w:rPr>
        <w:t>Biol. Lett.</w:t>
      </w:r>
      <w:r>
        <w:t> </w:t>
      </w:r>
      <w:r w:rsidRPr="00EE6661">
        <w:rPr>
          <w:b/>
        </w:rPr>
        <w:t>4</w:t>
      </w:r>
      <w:r w:rsidRPr="00EE6661">
        <w:t>, 173–175 (2008).</w:t>
      </w:r>
    </w:p>
    <w:p w14:paraId="230EBD4B" w14:textId="77777777" w:rsidR="005D1F47" w:rsidRDefault="005D1F47" w:rsidP="005D1F47">
      <w:pPr>
        <w:pStyle w:val="Referencesandnotes"/>
        <w:ind w:left="360" w:hanging="502"/>
      </w:pPr>
      <w:r w:rsidRPr="005B0F0D">
        <w:lastRenderedPageBreak/>
        <w:t xml:space="preserve">Y. Xi, W. Li, BSMAP: whole genome bisulfite sequence </w:t>
      </w:r>
      <w:proofErr w:type="spellStart"/>
      <w:r w:rsidRPr="005B0F0D">
        <w:t>MAPping</w:t>
      </w:r>
      <w:proofErr w:type="spellEnd"/>
      <w:r w:rsidRPr="005B0F0D">
        <w:t xml:space="preserve"> program.</w:t>
      </w:r>
      <w:r>
        <w:t> </w:t>
      </w:r>
      <w:r w:rsidRPr="005B0F0D">
        <w:rPr>
          <w:i/>
        </w:rPr>
        <w:t xml:space="preserve">BMC </w:t>
      </w:r>
      <w:proofErr w:type="spellStart"/>
      <w:r w:rsidRPr="005B0F0D">
        <w:rPr>
          <w:i/>
        </w:rPr>
        <w:t>Bioinform</w:t>
      </w:r>
      <w:proofErr w:type="spellEnd"/>
      <w:r w:rsidRPr="005B0F0D">
        <w:rPr>
          <w:i/>
        </w:rPr>
        <w:t>.</w:t>
      </w:r>
      <w:r>
        <w:t> </w:t>
      </w:r>
      <w:r w:rsidRPr="005B0F0D">
        <w:rPr>
          <w:b/>
        </w:rPr>
        <w:t>10</w:t>
      </w:r>
      <w:r w:rsidRPr="005B0F0D">
        <w:t>, 232 (2009).</w:t>
      </w:r>
    </w:p>
    <w:p w14:paraId="5BC9B578" w14:textId="355417C2" w:rsidR="00E53057" w:rsidRDefault="00E53057" w:rsidP="00062BF6">
      <w:pPr>
        <w:pStyle w:val="Referencesandnotes"/>
        <w:ind w:left="360" w:hanging="502"/>
      </w:pPr>
      <w:r w:rsidRPr="00E53057">
        <w:t>H. Zhang, Z. Lang, J.-K. Zhu, Dynamics and function of DNA methylation in plants.</w:t>
      </w:r>
      <w:r>
        <w:t> </w:t>
      </w:r>
      <w:r w:rsidRPr="00E53057">
        <w:rPr>
          <w:i/>
        </w:rPr>
        <w:t>Nat. Rev. Mol. Cell. Biol.</w:t>
      </w:r>
      <w:r>
        <w:t> </w:t>
      </w:r>
      <w:r w:rsidRPr="00E53057">
        <w:rPr>
          <w:b/>
        </w:rPr>
        <w:t>19</w:t>
      </w:r>
      <w:r w:rsidRPr="00E53057">
        <w:t>, 489–506 (2018).</w:t>
      </w:r>
    </w:p>
    <w:p w14:paraId="28A30F3A" w14:textId="77777777" w:rsidR="005D1F47" w:rsidRDefault="005D1F47" w:rsidP="005D1F47">
      <w:pPr>
        <w:pStyle w:val="Referencesandnotes"/>
        <w:ind w:left="360" w:hanging="502"/>
      </w:pPr>
      <w:r w:rsidRPr="00507047">
        <w:t xml:space="preserve">Y. Zhang, V. </w:t>
      </w:r>
      <w:proofErr w:type="spellStart"/>
      <w:r w:rsidRPr="00507047">
        <w:t>Latzel</w:t>
      </w:r>
      <w:proofErr w:type="spellEnd"/>
      <w:r w:rsidRPr="00507047">
        <w:t xml:space="preserve">, M. Fischer, O. </w:t>
      </w:r>
      <w:proofErr w:type="spellStart"/>
      <w:r w:rsidRPr="00507047">
        <w:t>Bossdorf</w:t>
      </w:r>
      <w:proofErr w:type="spellEnd"/>
      <w:r w:rsidRPr="00507047">
        <w:t xml:space="preserve">, Understanding the evolutionary potential of epigenetic variation: a comparison of heritable phenotypic variation in </w:t>
      </w:r>
      <w:proofErr w:type="spellStart"/>
      <w:r w:rsidRPr="00507047">
        <w:t>epiRILs</w:t>
      </w:r>
      <w:proofErr w:type="spellEnd"/>
      <w:r w:rsidRPr="00507047">
        <w:t xml:space="preserve">, RILs, and natural ecotypes of </w:t>
      </w:r>
      <w:r w:rsidRPr="00507047">
        <w:rPr>
          <w:i/>
        </w:rPr>
        <w:t>Arabidopsis thaliana</w:t>
      </w:r>
      <w:r w:rsidRPr="00507047">
        <w:t>.</w:t>
      </w:r>
      <w:r>
        <w:t> </w:t>
      </w:r>
      <w:r w:rsidRPr="00507047">
        <w:rPr>
          <w:i/>
        </w:rPr>
        <w:t>Heredity</w:t>
      </w:r>
      <w:r>
        <w:t> </w:t>
      </w:r>
      <w:r w:rsidRPr="00507047">
        <w:rPr>
          <w:b/>
        </w:rPr>
        <w:t>121</w:t>
      </w:r>
      <w:r w:rsidRPr="00507047">
        <w:t>, 257-265 (2018).</w:t>
      </w:r>
    </w:p>
    <w:p w14:paraId="3EC19E33" w14:textId="77777777" w:rsidR="005D1F47" w:rsidRDefault="005D1F47" w:rsidP="005D1F47">
      <w:pPr>
        <w:pStyle w:val="Referencesandnotes"/>
        <w:ind w:left="360" w:hanging="502"/>
      </w:pPr>
      <w:r w:rsidRPr="00031259">
        <w:t xml:space="preserve">Y. Y. Zhang, M. Fischer, V. </w:t>
      </w:r>
      <w:proofErr w:type="spellStart"/>
      <w:r w:rsidRPr="00031259">
        <w:t>Colot</w:t>
      </w:r>
      <w:proofErr w:type="spellEnd"/>
      <w:r w:rsidRPr="00031259">
        <w:t xml:space="preserve">, O. </w:t>
      </w:r>
      <w:proofErr w:type="spellStart"/>
      <w:r w:rsidRPr="00031259">
        <w:t>Bossdorf</w:t>
      </w:r>
      <w:proofErr w:type="spellEnd"/>
      <w:r w:rsidRPr="00031259">
        <w:t>, Epigenetic variation creates potential for evolution of plant phenotypic plasticity.</w:t>
      </w:r>
      <w:r>
        <w:t> </w:t>
      </w:r>
      <w:r w:rsidRPr="00031259">
        <w:rPr>
          <w:i/>
        </w:rPr>
        <w:t>New. Phytol.</w:t>
      </w:r>
      <w:r>
        <w:t> </w:t>
      </w:r>
      <w:r w:rsidRPr="00031259">
        <w:rPr>
          <w:b/>
        </w:rPr>
        <w:t>197</w:t>
      </w:r>
      <w:r w:rsidRPr="00031259">
        <w:t>, 314-322 (2013).</w:t>
      </w:r>
    </w:p>
    <w:p w14:paraId="112689FB" w14:textId="70522E54" w:rsidR="00004F53" w:rsidRDefault="00004F53" w:rsidP="00062BF6">
      <w:pPr>
        <w:pStyle w:val="Referencesandnotes"/>
        <w:ind w:left="360" w:hanging="502"/>
      </w:pPr>
    </w:p>
    <w:p w14:paraId="789B9909" w14:textId="77777777" w:rsidR="006D463F" w:rsidRDefault="006D463F" w:rsidP="00062BF6">
      <w:pPr>
        <w:pStyle w:val="Referencesandnotes"/>
        <w:spacing w:before="0"/>
        <w:ind w:left="360" w:hanging="502"/>
      </w:pPr>
    </w:p>
    <w:p w14:paraId="5A6A4AB1" w14:textId="77777777" w:rsidR="00B9057C" w:rsidRPr="00534E77" w:rsidRDefault="00B9057C" w:rsidP="00AC2069">
      <w:pPr>
        <w:pStyle w:val="Referencesandnotes"/>
        <w:spacing w:before="0"/>
        <w:ind w:left="360" w:firstLine="0"/>
        <w:rPr>
          <w:color w:val="000000"/>
        </w:rPr>
      </w:pPr>
    </w:p>
    <w:p w14:paraId="3AC05EC3" w14:textId="77777777" w:rsidR="007E1FBC" w:rsidRDefault="007E1FBC" w:rsidP="00AC2069">
      <w:pPr>
        <w:pStyle w:val="Acknowledgement"/>
        <w:spacing w:before="0"/>
        <w:rPr>
          <w:b/>
        </w:rPr>
      </w:pPr>
    </w:p>
    <w:p w14:paraId="018B1160" w14:textId="0E8E3244" w:rsidR="008707B4" w:rsidRPr="00A06077" w:rsidRDefault="004A10BE" w:rsidP="00A06077">
      <w:pPr>
        <w:pStyle w:val="Acknowledgement"/>
        <w:spacing w:before="0"/>
        <w:rPr>
          <w:b/>
        </w:rPr>
      </w:pPr>
      <w:r w:rsidRPr="00FF5437">
        <w:rPr>
          <w:b/>
        </w:rPr>
        <w:t>Acknowledgments</w:t>
      </w:r>
    </w:p>
    <w:p w14:paraId="53FBAB9C" w14:textId="58C89F64" w:rsidR="00E6681A" w:rsidRDefault="00E6681A" w:rsidP="002542CA">
      <w:pPr>
        <w:pStyle w:val="Acknowledgement"/>
        <w:spacing w:before="0"/>
        <w:ind w:firstLine="0"/>
      </w:pPr>
      <w:r w:rsidRPr="00E6681A">
        <w:t xml:space="preserve">We thank Prof. Doyle </w:t>
      </w:r>
      <w:proofErr w:type="spellStart"/>
      <w:r w:rsidRPr="00E6681A">
        <w:t>McKey</w:t>
      </w:r>
      <w:proofErr w:type="spellEnd"/>
      <w:r w:rsidRPr="00E6681A">
        <w:t>, Prof. John Pannell, Dr. Clément Lafon-</w:t>
      </w:r>
      <w:proofErr w:type="spellStart"/>
      <w:r w:rsidRPr="00E6681A">
        <w:t>Placette</w:t>
      </w:r>
      <w:proofErr w:type="spellEnd"/>
      <w:r w:rsidRPr="00E6681A">
        <w:t xml:space="preserve"> and Dr. </w:t>
      </w:r>
      <w:proofErr w:type="spellStart"/>
      <w:r w:rsidRPr="00E6681A">
        <w:t>Fabrice</w:t>
      </w:r>
      <w:proofErr w:type="spellEnd"/>
      <w:r w:rsidRPr="00E6681A">
        <w:t xml:space="preserve"> Roux for their comments on the manuscript, Y. Marie for the Enzymatic Methyl-sequencing (EM-</w:t>
      </w:r>
      <w:proofErr w:type="spellStart"/>
      <w:r w:rsidRPr="00E6681A">
        <w:t>seq</w:t>
      </w:r>
      <w:proofErr w:type="spellEnd"/>
      <w:r w:rsidRPr="00E6681A">
        <w:t xml:space="preserve">) conducted by the </w:t>
      </w:r>
      <w:proofErr w:type="spellStart"/>
      <w:r w:rsidRPr="00E6681A">
        <w:t>IGen</w:t>
      </w:r>
      <w:proofErr w:type="spellEnd"/>
      <w:r w:rsidRPr="00E6681A">
        <w:t xml:space="preserve"> </w:t>
      </w:r>
      <w:proofErr w:type="spellStart"/>
      <w:r w:rsidRPr="00E6681A">
        <w:t>Seq</w:t>
      </w:r>
      <w:proofErr w:type="spellEnd"/>
      <w:r w:rsidRPr="00E6681A">
        <w:t xml:space="preserve"> platform (ICM, Paris, France), C. </w:t>
      </w:r>
      <w:proofErr w:type="spellStart"/>
      <w:r w:rsidRPr="00E6681A">
        <w:t>Chaparro</w:t>
      </w:r>
      <w:proofErr w:type="spellEnd"/>
      <w:r w:rsidRPr="00E6681A">
        <w:t xml:space="preserve"> (IHPE, Perpignan) for advice on the </w:t>
      </w:r>
      <w:proofErr w:type="spellStart"/>
      <w:r w:rsidRPr="00E6681A">
        <w:t>bioinformatic</w:t>
      </w:r>
      <w:proofErr w:type="spellEnd"/>
      <w:r w:rsidRPr="00E6681A">
        <w:t xml:space="preserve"> analysis of EM-</w:t>
      </w:r>
      <w:proofErr w:type="spellStart"/>
      <w:r w:rsidRPr="00E6681A">
        <w:t>seq</w:t>
      </w:r>
      <w:proofErr w:type="spellEnd"/>
      <w:r w:rsidRPr="00E6681A">
        <w:t xml:space="preserve"> data on the IHPE Galaxy platform, C. </w:t>
      </w:r>
      <w:proofErr w:type="spellStart"/>
      <w:r w:rsidRPr="00E6681A">
        <w:t>Grunau</w:t>
      </w:r>
      <w:proofErr w:type="spellEnd"/>
      <w:r w:rsidRPr="00E6681A">
        <w:t xml:space="preserve"> (IHPE, Perpignan) for animating discussions in the research network GDR 3E (Epigenetics in Ecology and Evolution) and the members and coordinators (including S. Maury) of the COST action (European Cooperation in Science and Technology) </w:t>
      </w:r>
      <w:proofErr w:type="spellStart"/>
      <w:r w:rsidRPr="00E6681A">
        <w:t>EPIgenetic</w:t>
      </w:r>
      <w:proofErr w:type="spellEnd"/>
      <w:r w:rsidRPr="00E6681A">
        <w:t xml:space="preserve"> mechanisms of Crop Adaptation To Climate </w:t>
      </w:r>
      <w:proofErr w:type="spellStart"/>
      <w:r w:rsidRPr="00E6681A">
        <w:t>cHange</w:t>
      </w:r>
      <w:proofErr w:type="spellEnd"/>
      <w:r w:rsidRPr="00E6681A">
        <w:t xml:space="preserve"> (EPICATCH)—grant number CA19125 for discussions</w:t>
      </w:r>
      <w:r>
        <w:t xml:space="preserve">. </w:t>
      </w:r>
    </w:p>
    <w:p w14:paraId="138E0C9C" w14:textId="77777777" w:rsidR="00E6681A" w:rsidRDefault="00E6681A" w:rsidP="002542CA">
      <w:pPr>
        <w:pStyle w:val="Acknowledgement"/>
        <w:spacing w:before="0"/>
        <w:ind w:firstLine="0"/>
      </w:pPr>
    </w:p>
    <w:p w14:paraId="3F55E774" w14:textId="33DA5357" w:rsidR="002542CA" w:rsidRPr="00A06077" w:rsidRDefault="002542CA" w:rsidP="00E6681A">
      <w:pPr>
        <w:pStyle w:val="Acknowledgement"/>
        <w:spacing w:before="0"/>
        <w:ind w:firstLine="0"/>
        <w:rPr>
          <w:bCs/>
        </w:rPr>
      </w:pPr>
      <w:r w:rsidRPr="00A06077">
        <w:rPr>
          <w:b/>
        </w:rPr>
        <w:t>Funding:</w:t>
      </w:r>
      <w:r w:rsidRPr="00A06077">
        <w:t xml:space="preserve"> </w:t>
      </w:r>
      <w:r w:rsidR="00E6681A" w:rsidRPr="00E6681A">
        <w:t>This project has received funding from the European Research Council (ERC) under the European Union’s horizon 2020 research and innovation program (grant agreement No ERC-CoG-2015-681484-ANGI) awarded to BP.</w:t>
      </w:r>
      <w:r w:rsidR="00E6681A">
        <w:t xml:space="preserve"> </w:t>
      </w:r>
    </w:p>
    <w:p w14:paraId="5D9D19CA" w14:textId="77777777" w:rsidR="002542CA" w:rsidRPr="00A06077" w:rsidRDefault="002542CA" w:rsidP="002542CA">
      <w:pPr>
        <w:pStyle w:val="Acknowledgement"/>
        <w:spacing w:before="0"/>
        <w:ind w:firstLine="0"/>
        <w:rPr>
          <w:b/>
        </w:rPr>
      </w:pPr>
    </w:p>
    <w:p w14:paraId="6EF3539D" w14:textId="77777777" w:rsidR="002542CA" w:rsidRPr="00A06077" w:rsidRDefault="002542CA" w:rsidP="002542CA">
      <w:pPr>
        <w:pStyle w:val="Acknowledgement"/>
        <w:spacing w:before="0"/>
        <w:ind w:firstLine="0"/>
      </w:pPr>
      <w:r w:rsidRPr="00A06077">
        <w:rPr>
          <w:b/>
        </w:rPr>
        <w:t>Author contributions:</w:t>
      </w:r>
      <w:r w:rsidRPr="00A06077">
        <w:t xml:space="preserve"> Each author’s contribution(s) to the paper should be listed (we suggest following the </w:t>
      </w:r>
      <w:proofErr w:type="spellStart"/>
      <w:r w:rsidRPr="00A06077">
        <w:t>CRediT</w:t>
      </w:r>
      <w:proofErr w:type="spellEnd"/>
      <w:r w:rsidRPr="00A06077">
        <w:t xml:space="preserve"> model with each </w:t>
      </w:r>
      <w:proofErr w:type="spellStart"/>
      <w:r w:rsidRPr="00A06077">
        <w:t>CRediT</w:t>
      </w:r>
      <w:proofErr w:type="spellEnd"/>
      <w:r w:rsidRPr="00A06077">
        <w:t xml:space="preserve"> role given its own line. No punctuation in the initials.</w:t>
      </w:r>
    </w:p>
    <w:p w14:paraId="111CF2E5" w14:textId="297C111F" w:rsidR="002542CA" w:rsidRPr="00A06077" w:rsidRDefault="002542CA" w:rsidP="002542CA">
      <w:pPr>
        <w:pStyle w:val="Acknowledgement"/>
        <w:spacing w:before="0"/>
        <w:ind w:firstLine="0"/>
      </w:pPr>
      <w:r w:rsidRPr="00A06077">
        <w:t xml:space="preserve"> </w:t>
      </w:r>
      <w:r w:rsidRPr="00A06077">
        <w:tab/>
        <w:t xml:space="preserve">Conceptualization: </w:t>
      </w:r>
      <w:r w:rsidR="00E6681A">
        <w:t>BP</w:t>
      </w:r>
      <w:r w:rsidRPr="00A06077">
        <w:t xml:space="preserve">, </w:t>
      </w:r>
      <w:proofErr w:type="spellStart"/>
      <w:r w:rsidR="00E6681A">
        <w:t>SMaury</w:t>
      </w:r>
      <w:proofErr w:type="spellEnd"/>
    </w:p>
    <w:p w14:paraId="1E9EED8C" w14:textId="7F10AA62" w:rsidR="002542CA" w:rsidRPr="00A06077" w:rsidRDefault="002542CA" w:rsidP="002542CA">
      <w:pPr>
        <w:pStyle w:val="Acknowledgement"/>
        <w:spacing w:before="0"/>
        <w:ind w:firstLine="0"/>
      </w:pPr>
      <w:r w:rsidRPr="00A06077">
        <w:tab/>
      </w:r>
      <w:r w:rsidR="00E6681A">
        <w:t>Plant experiment and data collection</w:t>
      </w:r>
      <w:r w:rsidRPr="00A06077">
        <w:t xml:space="preserve">: </w:t>
      </w:r>
      <w:r w:rsidR="00E6681A" w:rsidRPr="004B7690">
        <w:t>M</w:t>
      </w:r>
      <w:r w:rsidR="00E6681A">
        <w:t>.</w:t>
      </w:r>
      <w:r w:rsidR="00E6681A" w:rsidRPr="004B7690">
        <w:t>L</w:t>
      </w:r>
      <w:r w:rsidR="00E6681A">
        <w:t>.</w:t>
      </w:r>
      <w:r w:rsidR="00E6681A" w:rsidRPr="004B7690">
        <w:t>, J</w:t>
      </w:r>
      <w:r w:rsidR="00E6681A">
        <w:t>.</w:t>
      </w:r>
      <w:r w:rsidR="00E6681A" w:rsidRPr="004B7690">
        <w:t>P</w:t>
      </w:r>
      <w:r w:rsidR="00E6681A">
        <w:t>.</w:t>
      </w:r>
      <w:r w:rsidR="00E6681A" w:rsidRPr="004B7690">
        <w:t xml:space="preserve">, </w:t>
      </w:r>
      <w:proofErr w:type="spellStart"/>
      <w:proofErr w:type="gramStart"/>
      <w:r w:rsidR="00E6681A" w:rsidRPr="004B7690">
        <w:t>S</w:t>
      </w:r>
      <w:r w:rsidR="00E6681A">
        <w:t>.</w:t>
      </w:r>
      <w:r w:rsidR="00E6681A" w:rsidRPr="004B7690">
        <w:t>Mar</w:t>
      </w:r>
      <w:r w:rsidR="00E6681A">
        <w:t>in</w:t>
      </w:r>
      <w:proofErr w:type="spellEnd"/>
      <w:proofErr w:type="gramEnd"/>
    </w:p>
    <w:p w14:paraId="520BC9BB" w14:textId="19730063" w:rsidR="002542CA" w:rsidRPr="00A06077" w:rsidRDefault="002542CA" w:rsidP="002542CA">
      <w:pPr>
        <w:pStyle w:val="Acknowledgement"/>
        <w:spacing w:before="0"/>
        <w:ind w:firstLine="0"/>
      </w:pPr>
      <w:r w:rsidRPr="00A06077">
        <w:tab/>
      </w:r>
      <w:proofErr w:type="spellStart"/>
      <w:r w:rsidR="00E6681A">
        <w:t>Bioinformatic</w:t>
      </w:r>
      <w:proofErr w:type="spellEnd"/>
      <w:r w:rsidR="00E6681A">
        <w:t xml:space="preserve"> analyses</w:t>
      </w:r>
      <w:r w:rsidRPr="00A06077">
        <w:t xml:space="preserve">: </w:t>
      </w:r>
      <w:r w:rsidR="00E6681A" w:rsidRPr="004B7690">
        <w:t>N</w:t>
      </w:r>
      <w:r w:rsidR="00E6681A">
        <w:t>.</w:t>
      </w:r>
      <w:r w:rsidR="00E6681A" w:rsidRPr="004B7690">
        <w:t>L</w:t>
      </w:r>
      <w:r w:rsidR="00E6681A">
        <w:t>.</w:t>
      </w:r>
      <w:r w:rsidR="00E6681A" w:rsidRPr="004B7690">
        <w:t>-A</w:t>
      </w:r>
    </w:p>
    <w:p w14:paraId="2946FBC7" w14:textId="2CD7F140" w:rsidR="002542CA" w:rsidRDefault="002542CA" w:rsidP="002542CA">
      <w:pPr>
        <w:pStyle w:val="Acknowledgement"/>
        <w:spacing w:before="0"/>
        <w:ind w:firstLine="0"/>
      </w:pPr>
      <w:r w:rsidRPr="00A06077">
        <w:tab/>
      </w:r>
      <w:r w:rsidR="00E6681A">
        <w:t>Data analyses</w:t>
      </w:r>
      <w:r w:rsidRPr="00A06077">
        <w:t xml:space="preserve">: </w:t>
      </w:r>
      <w:r w:rsidR="00E6681A" w:rsidRPr="004B7690">
        <w:t>B</w:t>
      </w:r>
      <w:r w:rsidR="00E6681A">
        <w:t>.</w:t>
      </w:r>
      <w:r w:rsidR="00E6681A" w:rsidRPr="004B7690">
        <w:t>P</w:t>
      </w:r>
      <w:r w:rsidR="00E6681A">
        <w:t>.</w:t>
      </w:r>
      <w:r w:rsidR="00E6681A" w:rsidRPr="004B7690">
        <w:t>, M</w:t>
      </w:r>
      <w:r w:rsidR="00E6681A">
        <w:t>.</w:t>
      </w:r>
      <w:r w:rsidR="00E6681A" w:rsidRPr="004B7690">
        <w:t>L</w:t>
      </w:r>
      <w:r w:rsidR="00E6681A">
        <w:t>.</w:t>
      </w:r>
      <w:r w:rsidR="00E6681A" w:rsidRPr="004B7690">
        <w:t>, N</w:t>
      </w:r>
      <w:r w:rsidR="00E6681A">
        <w:t>.</w:t>
      </w:r>
      <w:r w:rsidR="00E6681A" w:rsidRPr="004B7690">
        <w:t>L</w:t>
      </w:r>
      <w:r w:rsidR="00E6681A">
        <w:t>.</w:t>
      </w:r>
      <w:r w:rsidR="00E6681A" w:rsidRPr="004B7690">
        <w:t>-A</w:t>
      </w:r>
      <w:r w:rsidR="00E6681A">
        <w:t xml:space="preserve">., </w:t>
      </w:r>
      <w:r w:rsidR="00E6681A" w:rsidRPr="004B7690">
        <w:t>P</w:t>
      </w:r>
      <w:r w:rsidR="00E6681A">
        <w:t>.</w:t>
      </w:r>
      <w:r w:rsidR="00E6681A" w:rsidRPr="004B7690">
        <w:t>M</w:t>
      </w:r>
      <w:r w:rsidR="00E6681A">
        <w:t>.</w:t>
      </w:r>
    </w:p>
    <w:p w14:paraId="734EE835" w14:textId="5699E80E" w:rsidR="00E6681A" w:rsidRPr="00A06077" w:rsidRDefault="00E6681A" w:rsidP="002542CA">
      <w:pPr>
        <w:pStyle w:val="Acknowledgement"/>
        <w:spacing w:before="0"/>
        <w:ind w:firstLine="0"/>
      </w:pPr>
      <w:r>
        <w:tab/>
        <w:t>G</w:t>
      </w:r>
      <w:r w:rsidRPr="004B7690">
        <w:t>raphical artwork</w:t>
      </w:r>
      <w:r>
        <w:t xml:space="preserve">: </w:t>
      </w:r>
      <w:r w:rsidR="006B5403">
        <w:t xml:space="preserve">N.L.-A, </w:t>
      </w:r>
      <w:r w:rsidR="006B5403" w:rsidRPr="004B7690">
        <w:t>B</w:t>
      </w:r>
      <w:r w:rsidR="006B5403">
        <w:t>.</w:t>
      </w:r>
      <w:r w:rsidR="006B5403" w:rsidRPr="004B7690">
        <w:t>P</w:t>
      </w:r>
    </w:p>
    <w:p w14:paraId="2335C9E7" w14:textId="5D49031E" w:rsidR="002542CA" w:rsidRPr="00A06077" w:rsidRDefault="002542CA" w:rsidP="002542CA">
      <w:pPr>
        <w:pStyle w:val="Acknowledgement"/>
        <w:spacing w:before="0"/>
        <w:ind w:firstLine="0"/>
      </w:pPr>
      <w:r w:rsidRPr="00A06077">
        <w:tab/>
        <w:t xml:space="preserve">Supervision: </w:t>
      </w:r>
      <w:r w:rsidR="00E6681A">
        <w:t xml:space="preserve">BP, </w:t>
      </w:r>
      <w:proofErr w:type="spellStart"/>
      <w:r w:rsidR="00E6681A">
        <w:t>SMaury</w:t>
      </w:r>
      <w:proofErr w:type="spellEnd"/>
    </w:p>
    <w:p w14:paraId="618F56C4" w14:textId="7B628392" w:rsidR="002542CA" w:rsidRPr="00A06077" w:rsidRDefault="002542CA" w:rsidP="002542CA">
      <w:pPr>
        <w:pStyle w:val="Acknowledgement"/>
        <w:spacing w:before="0"/>
        <w:ind w:firstLine="0"/>
      </w:pPr>
      <w:r w:rsidRPr="00A06077">
        <w:tab/>
        <w:t xml:space="preserve">Writing—original draft: </w:t>
      </w:r>
      <w:r w:rsidR="00E6681A" w:rsidRPr="004B7690">
        <w:t>B</w:t>
      </w:r>
      <w:r w:rsidR="00E6681A">
        <w:t>.</w:t>
      </w:r>
      <w:r w:rsidR="00E6681A" w:rsidRPr="004B7690">
        <w:t>P</w:t>
      </w:r>
      <w:r w:rsidR="00E6681A">
        <w:t>.</w:t>
      </w:r>
      <w:r w:rsidR="00E6681A" w:rsidRPr="004B7690">
        <w:t>, N</w:t>
      </w:r>
      <w:r w:rsidR="00E6681A">
        <w:t>.</w:t>
      </w:r>
      <w:r w:rsidR="00E6681A" w:rsidRPr="004B7690">
        <w:t>L</w:t>
      </w:r>
      <w:r w:rsidR="00E6681A">
        <w:t>.</w:t>
      </w:r>
      <w:r w:rsidR="00E6681A" w:rsidRPr="004B7690">
        <w:t>-A</w:t>
      </w:r>
      <w:r w:rsidR="00E6681A">
        <w:t>.</w:t>
      </w:r>
      <w:r w:rsidR="00E6681A" w:rsidRPr="004B7690">
        <w:t xml:space="preserve"> and </w:t>
      </w:r>
      <w:proofErr w:type="spellStart"/>
      <w:proofErr w:type="gramStart"/>
      <w:r w:rsidR="00E6681A" w:rsidRPr="004B7690">
        <w:t>S</w:t>
      </w:r>
      <w:r w:rsidR="00E6681A">
        <w:t>.</w:t>
      </w:r>
      <w:r w:rsidR="00E6681A" w:rsidRPr="004B7690">
        <w:t>Mau</w:t>
      </w:r>
      <w:r w:rsidR="00E6681A">
        <w:t>ry</w:t>
      </w:r>
      <w:proofErr w:type="spellEnd"/>
      <w:proofErr w:type="gramEnd"/>
    </w:p>
    <w:p w14:paraId="530091B7" w14:textId="1BCCE33F" w:rsidR="002542CA" w:rsidRPr="00A06077" w:rsidRDefault="002542CA" w:rsidP="002542CA">
      <w:pPr>
        <w:pStyle w:val="Acknowledgement"/>
        <w:spacing w:before="0"/>
        <w:ind w:firstLine="0"/>
      </w:pPr>
      <w:r w:rsidRPr="00A06077">
        <w:tab/>
        <w:t xml:space="preserve">Writing—review &amp; editing: </w:t>
      </w:r>
      <w:r w:rsidR="00E6681A">
        <w:t>all authors</w:t>
      </w:r>
    </w:p>
    <w:p w14:paraId="57E304A0" w14:textId="77777777" w:rsidR="002542CA" w:rsidRPr="00A06077" w:rsidRDefault="002542CA" w:rsidP="002542CA">
      <w:pPr>
        <w:pStyle w:val="Acknowledgement"/>
        <w:spacing w:before="0"/>
        <w:ind w:firstLine="0"/>
      </w:pPr>
    </w:p>
    <w:p w14:paraId="3B356496" w14:textId="5C7C3A69" w:rsidR="002542CA" w:rsidRPr="00A06077" w:rsidRDefault="002542CA" w:rsidP="002542CA">
      <w:pPr>
        <w:pStyle w:val="Acknowledgement"/>
        <w:spacing w:before="0"/>
        <w:ind w:firstLine="0"/>
      </w:pPr>
      <w:r w:rsidRPr="00A06077">
        <w:rPr>
          <w:b/>
        </w:rPr>
        <w:t>Competing interests:</w:t>
      </w:r>
      <w:r w:rsidRPr="00A06077">
        <w:t xml:space="preserve"> All other authors declare th</w:t>
      </w:r>
      <w:r w:rsidR="00F07991">
        <w:t>ey have no competing interests.</w:t>
      </w:r>
    </w:p>
    <w:p w14:paraId="0A60AF01" w14:textId="77777777" w:rsidR="002542CA" w:rsidRPr="00A06077" w:rsidRDefault="002542CA" w:rsidP="002542CA">
      <w:pPr>
        <w:pStyle w:val="Acknowledgement"/>
        <w:spacing w:before="0"/>
        <w:ind w:firstLine="0"/>
        <w:rPr>
          <w:b/>
        </w:rPr>
      </w:pPr>
    </w:p>
    <w:p w14:paraId="783B76B0" w14:textId="77777777" w:rsidR="00F07991" w:rsidRDefault="002542CA" w:rsidP="002542CA">
      <w:pPr>
        <w:pStyle w:val="Acknowledgement"/>
        <w:spacing w:before="0"/>
        <w:ind w:firstLine="0"/>
      </w:pPr>
      <w:r w:rsidRPr="00A06077">
        <w:rPr>
          <w:b/>
        </w:rPr>
        <w:t>Data and materials availability:</w:t>
      </w:r>
      <w:r w:rsidRPr="00A06077">
        <w:t xml:space="preserve"> </w:t>
      </w:r>
    </w:p>
    <w:p w14:paraId="717482B8" w14:textId="5D8FFCD1" w:rsidR="00F07991" w:rsidRPr="00F07991" w:rsidRDefault="00F07991" w:rsidP="00F07991">
      <w:pPr>
        <w:pStyle w:val="Acknowledgement"/>
        <w:ind w:hanging="11"/>
      </w:pPr>
      <w:r w:rsidRPr="00F07991">
        <w:t>All data are available in the main text or the supplementary materials.</w:t>
      </w:r>
      <w:r>
        <w:t xml:space="preserve"> The EM-</w:t>
      </w:r>
      <w:proofErr w:type="spellStart"/>
      <w:r>
        <w:t>seq</w:t>
      </w:r>
      <w:proofErr w:type="spellEnd"/>
      <w:r>
        <w:t xml:space="preserve"> data used in this study are available on the NCBI </w:t>
      </w:r>
      <w:proofErr w:type="spellStart"/>
      <w:r>
        <w:t>bioproject</w:t>
      </w:r>
      <w:proofErr w:type="spellEnd"/>
      <w:r>
        <w:t xml:space="preserve"> online repository. The names of the repository/repositories and accession number(s) can be found below: </w:t>
      </w:r>
      <w:hyperlink r:id="rId14" w:history="1">
        <w:r w:rsidRPr="00CC1BF2">
          <w:rPr>
            <w:rStyle w:val="Lienhypertexte"/>
          </w:rPr>
          <w:t>https://www.ncbi.nlm.nih.gov/bioproject/PRJNA773039</w:t>
        </w:r>
      </w:hyperlink>
      <w:r>
        <w:t xml:space="preserve">. Data and R protocols used for the statistical analyses are available from the ZENODO Digital Repository </w:t>
      </w:r>
      <w:hyperlink r:id="rId15" w:history="1">
        <w:r w:rsidRPr="00CC1BF2">
          <w:rPr>
            <w:rStyle w:val="Lienhypertexte"/>
          </w:rPr>
          <w:t>https://doi.org/10.5281/zenodo.7603324</w:t>
        </w:r>
      </w:hyperlink>
      <w:r>
        <w:t xml:space="preserve">. </w:t>
      </w:r>
      <w:r w:rsidRPr="00F07991">
        <w:t>Correspondence and requests for the seed material o</w:t>
      </w:r>
      <w:r>
        <w:t xml:space="preserve">f the 123 </w:t>
      </w:r>
      <w:proofErr w:type="spellStart"/>
      <w:r>
        <w:t>epiRILs</w:t>
      </w:r>
      <w:proofErr w:type="spellEnd"/>
      <w:r>
        <w:t xml:space="preserve"> - </w:t>
      </w:r>
      <w:r w:rsidRPr="00F07991">
        <w:t xml:space="preserve">see Table S5 in </w:t>
      </w:r>
      <w:proofErr w:type="spellStart"/>
      <w:r w:rsidRPr="00F07991">
        <w:t>Colomé-Thatché</w:t>
      </w:r>
      <w:proofErr w:type="spellEnd"/>
      <w:r w:rsidRPr="00F07991">
        <w:t xml:space="preserve"> et al. </w:t>
      </w:r>
      <w:r>
        <w:t>(</w:t>
      </w:r>
      <w:r w:rsidRPr="00F07991">
        <w:t>25</w:t>
      </w:r>
      <w:r>
        <w:t>)</w:t>
      </w:r>
      <w:r w:rsidRPr="00F07991">
        <w:t xml:space="preserve"> for a list of accession names</w:t>
      </w:r>
      <w:r>
        <w:t xml:space="preserve"> -</w:t>
      </w:r>
      <w:r w:rsidRPr="00F07991">
        <w:t xml:space="preserve"> should be addressed to the Institute Jean-Pierre </w:t>
      </w:r>
      <w:proofErr w:type="spellStart"/>
      <w:r w:rsidRPr="00F07991">
        <w:t>Bourgin</w:t>
      </w:r>
      <w:proofErr w:type="spellEnd"/>
      <w:r w:rsidRPr="00F07991">
        <w:t xml:space="preserve"> (IJPB - UMR1318 INRAE-</w:t>
      </w:r>
      <w:proofErr w:type="spellStart"/>
      <w:r w:rsidRPr="00F07991">
        <w:t>AgroParisTech</w:t>
      </w:r>
      <w:proofErr w:type="spellEnd"/>
      <w:r w:rsidRPr="00F07991">
        <w:t xml:space="preserve">, Versailles, France, https://publiclines.versailles.inrae.fr/catalogue/epiril). No material transfer agreement is necessary for scientific work on accessions of the model plant </w:t>
      </w:r>
      <w:r w:rsidRPr="00F07991">
        <w:rPr>
          <w:i/>
        </w:rPr>
        <w:t>Arabidopsis</w:t>
      </w:r>
      <w:r>
        <w:t>.</w:t>
      </w:r>
    </w:p>
    <w:p w14:paraId="6F2851A6" w14:textId="77777777" w:rsidR="007E1FBC" w:rsidRDefault="007E1FBC" w:rsidP="00AC2069">
      <w:pPr>
        <w:pStyle w:val="Acknowledgement"/>
        <w:spacing w:before="0"/>
        <w:rPr>
          <w:b/>
        </w:rPr>
      </w:pPr>
    </w:p>
    <w:p w14:paraId="78D1341A" w14:textId="77777777" w:rsidR="004A10BE" w:rsidRDefault="004A10BE" w:rsidP="00AC2069">
      <w:pPr>
        <w:pStyle w:val="Acknowledgement"/>
        <w:spacing w:before="0"/>
      </w:pPr>
      <w:r w:rsidRPr="008B1FB9">
        <w:rPr>
          <w:b/>
        </w:rPr>
        <w:t>Figures</w:t>
      </w:r>
      <w:r w:rsidR="008B601B">
        <w:rPr>
          <w:b/>
        </w:rPr>
        <w:t xml:space="preserve"> and Tables</w:t>
      </w:r>
    </w:p>
    <w:p w14:paraId="3A191D46" w14:textId="77777777" w:rsidR="00E15BF1" w:rsidRDefault="00E15BF1" w:rsidP="00AC2069">
      <w:pPr>
        <w:pStyle w:val="Acknowledgement"/>
        <w:spacing w:before="0"/>
        <w:ind w:firstLine="0"/>
      </w:pPr>
    </w:p>
    <w:p w14:paraId="3A0FABDA" w14:textId="54AEBC64" w:rsidR="0051705D" w:rsidRPr="0051705D" w:rsidRDefault="007E4970" w:rsidP="0051705D">
      <w:pPr>
        <w:pStyle w:val="Acknowledgement"/>
        <w:ind w:left="1440"/>
        <w:rPr>
          <w:b/>
        </w:rPr>
      </w:pPr>
      <w:r w:rsidRPr="007E4970">
        <w:rPr>
          <w:b/>
          <w:noProof/>
          <w:lang w:val="fr-FR" w:eastAsia="fr-FR"/>
        </w:rPr>
        <w:drawing>
          <wp:inline distT="0" distB="0" distL="0" distR="0" wp14:anchorId="311186B1" wp14:editId="4F7809CB">
            <wp:extent cx="5998845" cy="3525682"/>
            <wp:effectExtent l="0" t="0" r="1905" b="0"/>
            <wp:docPr id="8" name="Image 8" descr="C:\Users\Benoit\Desktop\MANUSCRIPT  SUBMITTED - PUJOL - Arabidopsis\Fig 1ab.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enoit\Desktop\MANUSCRIPT  SUBMITTED - PUJOL - Arabidopsis\Fig 1ab.tif"/>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98845" cy="3525682"/>
                    </a:xfrm>
                    <a:prstGeom prst="rect">
                      <a:avLst/>
                    </a:prstGeom>
                    <a:noFill/>
                    <a:ln>
                      <a:noFill/>
                    </a:ln>
                  </pic:spPr>
                </pic:pic>
              </a:graphicData>
            </a:graphic>
          </wp:inline>
        </w:drawing>
      </w:r>
    </w:p>
    <w:p w14:paraId="52EBFA45" w14:textId="4A751442" w:rsidR="004A10BE" w:rsidRDefault="0051705D" w:rsidP="0051705D">
      <w:pPr>
        <w:pStyle w:val="Acknowledgement"/>
        <w:spacing w:before="0"/>
        <w:ind w:left="1440"/>
      </w:pPr>
      <w:r w:rsidRPr="0051705D">
        <w:rPr>
          <w:b/>
        </w:rPr>
        <w:t>Fig. 1. Selection experiment drives phenotypic trait changes</w:t>
      </w:r>
      <w:r w:rsidRPr="007E4970">
        <w:rPr>
          <w:b/>
        </w:rPr>
        <w:t>.</w:t>
      </w:r>
      <w:r w:rsidRPr="007E4970">
        <w:t xml:space="preserve"> </w:t>
      </w:r>
      <w:r w:rsidR="00415CC3" w:rsidRPr="007E4970">
        <w:rPr>
          <w:b/>
        </w:rPr>
        <w:t>(A)</w:t>
      </w:r>
      <w:r w:rsidRPr="007E4970">
        <w:t>, Plant</w:t>
      </w:r>
      <w:r w:rsidRPr="0051705D">
        <w:t xml:space="preserve"> experiment: Two sets of 60 different </w:t>
      </w:r>
      <w:proofErr w:type="spellStart"/>
      <w:r w:rsidRPr="0051705D">
        <w:t>epiRILs</w:t>
      </w:r>
      <w:proofErr w:type="spellEnd"/>
      <w:r w:rsidRPr="0051705D">
        <w:t xml:space="preserve"> (Arabidopsis thaliana Col-ddm1) were randomly assembled to build the two different experimental populations that were cultivated at different periods in the cultivation chamber. Seeds from the collection were grown to produce a buffer generation without selection and generate the seeds used to grow G0 plants. G1 plants – the progeny of G0 – were produced by self-fertilization. </w:t>
      </w:r>
      <w:r w:rsidR="00415CC3" w:rsidRPr="007E4970">
        <w:rPr>
          <w:b/>
        </w:rPr>
        <w:t>(B)</w:t>
      </w:r>
      <w:r w:rsidRPr="007E4970">
        <w:t>,</w:t>
      </w:r>
      <w:r w:rsidRPr="0051705D">
        <w:t xml:space="preserve"> Selection design: At G0, a control group was made of randomly selected plants. Plants with the highest and lowest trait values were respectively used to build the high and low selection lines. Weak and strong selection lines were respectively made up of 33% and 11% of the population. Corresponding progenies were used to build control groups and selection lines in G1, with differences between G1 lines reflecting responses to selection. </w:t>
      </w:r>
    </w:p>
    <w:p w14:paraId="10C248B3" w14:textId="5E9C518B" w:rsidR="0051705D" w:rsidRPr="0051705D" w:rsidRDefault="0051705D" w:rsidP="0051705D">
      <w:pPr>
        <w:pStyle w:val="Acknowledgement"/>
        <w:spacing w:before="0"/>
      </w:pPr>
      <w:r w:rsidRPr="000059CE">
        <w:rPr>
          <w:noProof/>
          <w:lang w:val="fr-FR" w:eastAsia="fr-FR"/>
        </w:rPr>
        <w:lastRenderedPageBreak/>
        <w:drawing>
          <wp:inline distT="0" distB="0" distL="0" distR="0" wp14:anchorId="2DF13CE8" wp14:editId="1ABA49FB">
            <wp:extent cx="5731510" cy="4257356"/>
            <wp:effectExtent l="0" t="0" r="2540" b="0"/>
            <wp:docPr id="5" name="Image 5" descr="C:\Users\Benoit\Desktop\MANUSCRIPT  SUBMITTED - PUJOL - Arabidopsis\Fig 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Benoit\Desktop\MANUSCRIPT  SUBMITTED - PUJOL - Arabidopsis\Fig 2.t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31510" cy="4257356"/>
                    </a:xfrm>
                    <a:prstGeom prst="rect">
                      <a:avLst/>
                    </a:prstGeom>
                    <a:noFill/>
                    <a:ln>
                      <a:noFill/>
                    </a:ln>
                  </pic:spPr>
                </pic:pic>
              </a:graphicData>
            </a:graphic>
          </wp:inline>
        </w:drawing>
      </w:r>
    </w:p>
    <w:p w14:paraId="41ED1BA2" w14:textId="33449FCF" w:rsidR="008573F1" w:rsidRDefault="0051705D" w:rsidP="00AC2069">
      <w:pPr>
        <w:pStyle w:val="Acknowledgement"/>
        <w:spacing w:before="0"/>
        <w:ind w:left="1440"/>
      </w:pPr>
      <w:r w:rsidRPr="0051705D">
        <w:rPr>
          <w:b/>
        </w:rPr>
        <w:t xml:space="preserve">Fig. 2. Selection experiment drives changes in epigenetic frequencies. </w:t>
      </w:r>
      <w:r w:rsidRPr="00415CC3">
        <w:t>Changes in epigenetic allele frequencies after selection: The heat map presents DMR frequencies in G1 selection lines (LSL: low selection line and HSL: high selection line) and control groups (CG) for each of the four traits (BIOM: above ground dry biomass, DIAM: rosette diameter, FLTM: flowering time, HGHT: height of first silique) in populations 1 and 2. DMRs location on the five chromosomes are labelled on the left-hand vertical axis. Methylation frequencies of DMRs are represented by a colored band, with a gradient from blue (wild-type methylation status) to yellow (fixation of ddm1-2 mutant methylation status). In each panel, DMR frequencies on a given chromosome are presented for the low, control and high selection lines. Each column corresponds to a trait. Frequencies were estimated on the basis of 1000 bootstraps.</w:t>
      </w:r>
      <w:r w:rsidR="005B36C0">
        <w:t xml:space="preserve"> </w:t>
      </w:r>
    </w:p>
    <w:p w14:paraId="6AB3894F" w14:textId="3EE0A184" w:rsidR="00075B2B" w:rsidRDefault="00075B2B" w:rsidP="00AC2069">
      <w:pPr>
        <w:pStyle w:val="Acknowledgement"/>
        <w:spacing w:before="0"/>
        <w:ind w:left="1440"/>
      </w:pPr>
      <w:r w:rsidRPr="00544E0B">
        <w:rPr>
          <w:noProof/>
          <w:lang w:val="fr-FR" w:eastAsia="fr-FR"/>
        </w:rPr>
        <w:lastRenderedPageBreak/>
        <w:drawing>
          <wp:inline distT="0" distB="0" distL="0" distR="0" wp14:anchorId="4AA1143A" wp14:editId="2091D5A8">
            <wp:extent cx="3590925" cy="4982284"/>
            <wp:effectExtent l="0" t="0" r="0" b="8890"/>
            <wp:docPr id="7" name="Image 7" descr="C:\Users\Benoit\Desktop\Travaux URGENT SHIT\MANUSCRIPT DRAFT - PUJOL - Arabidopsis\FIG 2 new new.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Benoit\Desktop\Travaux URGENT SHIT\MANUSCRIPT DRAFT - PUJOL - Arabidopsis\FIG 2 new new.tif"/>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620988" cy="5023996"/>
                    </a:xfrm>
                    <a:prstGeom prst="rect">
                      <a:avLst/>
                    </a:prstGeom>
                    <a:noFill/>
                    <a:ln>
                      <a:noFill/>
                    </a:ln>
                  </pic:spPr>
                </pic:pic>
              </a:graphicData>
            </a:graphic>
          </wp:inline>
        </w:drawing>
      </w:r>
    </w:p>
    <w:p w14:paraId="34EF5601" w14:textId="1A2EBB3D" w:rsidR="00075B2B" w:rsidRDefault="00075B2B" w:rsidP="00AC2069">
      <w:pPr>
        <w:pStyle w:val="Acknowledgement"/>
        <w:spacing w:before="0"/>
        <w:ind w:left="1440"/>
      </w:pPr>
      <w:r w:rsidRPr="00075B2B">
        <w:rPr>
          <w:b/>
        </w:rPr>
        <w:t>Fig. 3. Epigenetic divergence or its lack thereof between selection treatments.</w:t>
      </w:r>
      <w:r w:rsidRPr="00075B2B">
        <w:t xml:space="preserve"> Epigenetic divergence for each Arabidopsis thaliana </w:t>
      </w:r>
      <w:proofErr w:type="spellStart"/>
      <w:r w:rsidRPr="00075B2B">
        <w:t>epiRIL</w:t>
      </w:r>
      <w:proofErr w:type="spellEnd"/>
      <w:r w:rsidRPr="00075B2B">
        <w:t xml:space="preserve"> population (pop 1 and 2), each trait, each selection strength (n = 60 for each line under weak selection, n = 20 for each line under strong selection), and line (high and low selection lines) of plants. Principal Component Analysis coordinates for the first dimension (PC1), which synthesizes 18% and 22% of the global DMR variation in populations 1 and 2 respectively, are presented with their 95% confidence intervals. Divergence was considered significant following a conservative approach avoiding sampling bias: when 95% Confidence Intervals of PC1 values estimated on the basis of 1000 bootstraps did not overlap between upper and lower selection lines. Significant epigenetic divergent responses to selection are shown in red.</w:t>
      </w:r>
    </w:p>
    <w:p w14:paraId="27B051D8" w14:textId="77777777" w:rsidR="00415CC3" w:rsidRDefault="00415CC3" w:rsidP="00AC2069">
      <w:pPr>
        <w:pStyle w:val="Acknowledgement"/>
        <w:spacing w:before="0"/>
        <w:ind w:left="1440"/>
      </w:pPr>
    </w:p>
    <w:p w14:paraId="4049E547" w14:textId="7302892F" w:rsidR="004A10BE" w:rsidRPr="00075B2B" w:rsidRDefault="00075B2B" w:rsidP="00075B2B">
      <w:pPr>
        <w:pStyle w:val="Legend"/>
        <w:spacing w:before="0"/>
        <w:ind w:left="1440" w:hanging="720"/>
      </w:pPr>
      <w:r w:rsidRPr="00075B2B">
        <w:rPr>
          <w:b/>
        </w:rPr>
        <w:t>Table 1. Selection differential (S), response to selection (R) and heritability (h²) for every selection line.</w:t>
      </w:r>
      <w:r>
        <w:rPr>
          <w:b/>
        </w:rPr>
        <w:t xml:space="preserve"> </w:t>
      </w:r>
      <w:r w:rsidRPr="00075B2B">
        <w:t xml:space="preserve">Weak selection: selection by truncation of the upper and the lower third (n = 60) of Arabidopsis thaliana plants ranked by trait values to compose high and low selection lines (HSL and LSL, respectively). Strong selection: same method but selecting by truncation the upper and lower ca. 11% (n = 20) of plants. R is presented as trait change in trait units (g, cm, d) and percentage change. Narrow-sense heritability (h²) calculated by the breeder’s equation is in fact broad-sense heritability (H²) in self-fertilizing plants. Selection was considered significant following a conservative approach avoiding sampling bias; when the 95% Confidence Intervals of average trait values estimated on the </w:t>
      </w:r>
      <w:r w:rsidRPr="00075B2B">
        <w:lastRenderedPageBreak/>
        <w:t>basis of 1000 bootstraps did not overlap between upper and lower selection lines (Extended Data Table 3). Biomass: above-ground dry biomass (g). Diameter: rosette diameter (cm). Flowering time (d). Height: Height at first fruit (cm).</w:t>
      </w:r>
    </w:p>
    <w:tbl>
      <w:tblPr>
        <w:tblpPr w:leftFromText="141" w:rightFromText="141" w:vertAnchor="text" w:horzAnchor="margin" w:tblpXSpec="center" w:tblpY="348"/>
        <w:tblW w:w="10628" w:type="dxa"/>
        <w:tblLayout w:type="fixed"/>
        <w:tblCellMar>
          <w:left w:w="70" w:type="dxa"/>
          <w:right w:w="70" w:type="dxa"/>
        </w:tblCellMar>
        <w:tblLook w:val="04A0" w:firstRow="1" w:lastRow="0" w:firstColumn="1" w:lastColumn="0" w:noHBand="0" w:noVBand="1"/>
      </w:tblPr>
      <w:tblGrid>
        <w:gridCol w:w="568"/>
        <w:gridCol w:w="1275"/>
        <w:gridCol w:w="685"/>
        <w:gridCol w:w="685"/>
        <w:gridCol w:w="685"/>
        <w:gridCol w:w="685"/>
        <w:gridCol w:w="685"/>
        <w:gridCol w:w="686"/>
        <w:gridCol w:w="709"/>
        <w:gridCol w:w="803"/>
        <w:gridCol w:w="756"/>
        <w:gridCol w:w="709"/>
        <w:gridCol w:w="803"/>
        <w:gridCol w:w="894"/>
      </w:tblGrid>
      <w:tr w:rsidR="00075B2B" w:rsidRPr="00EC4A07" w14:paraId="7B964A36" w14:textId="77777777" w:rsidTr="00075B2B">
        <w:trPr>
          <w:trHeight w:val="238"/>
        </w:trPr>
        <w:tc>
          <w:tcPr>
            <w:tcW w:w="568" w:type="dxa"/>
            <w:shd w:val="clear" w:color="auto" w:fill="auto"/>
            <w:vAlign w:val="center"/>
          </w:tcPr>
          <w:p w14:paraId="32F97B17" w14:textId="77777777" w:rsidR="00075B2B" w:rsidRPr="00EC4A07" w:rsidRDefault="00075B2B" w:rsidP="00062BF6">
            <w:pPr>
              <w:jc w:val="center"/>
              <w:rPr>
                <w:rFonts w:eastAsia="Times New Roman"/>
                <w:color w:val="000000"/>
                <w:sz w:val="24"/>
                <w:szCs w:val="24"/>
                <w:lang w:eastAsia="fr-FR"/>
              </w:rPr>
            </w:pPr>
          </w:p>
        </w:tc>
        <w:tc>
          <w:tcPr>
            <w:tcW w:w="1275" w:type="dxa"/>
            <w:tcBorders>
              <w:right w:val="single" w:sz="4" w:space="0" w:color="auto"/>
            </w:tcBorders>
            <w:shd w:val="clear" w:color="auto" w:fill="auto"/>
            <w:noWrap/>
            <w:vAlign w:val="center"/>
          </w:tcPr>
          <w:p w14:paraId="27F3EBE9" w14:textId="77777777" w:rsidR="00075B2B" w:rsidRPr="00EC4A07" w:rsidRDefault="00075B2B" w:rsidP="00062BF6">
            <w:pPr>
              <w:jc w:val="center"/>
              <w:rPr>
                <w:rFonts w:eastAsia="Times New Roman"/>
                <w:color w:val="000000"/>
                <w:sz w:val="24"/>
                <w:szCs w:val="24"/>
                <w:lang w:eastAsia="fr-FR"/>
              </w:rPr>
            </w:pPr>
          </w:p>
        </w:tc>
        <w:tc>
          <w:tcPr>
            <w:tcW w:w="4111" w:type="dxa"/>
            <w:gridSpan w:val="6"/>
            <w:tcBorders>
              <w:top w:val="single" w:sz="4" w:space="0" w:color="auto"/>
              <w:left w:val="single" w:sz="4" w:space="0" w:color="auto"/>
              <w:bottom w:val="single" w:sz="4" w:space="0" w:color="auto"/>
              <w:right w:val="single" w:sz="4" w:space="0" w:color="auto"/>
            </w:tcBorders>
            <w:shd w:val="clear" w:color="auto" w:fill="auto"/>
            <w:noWrap/>
            <w:vAlign w:val="center"/>
          </w:tcPr>
          <w:p w14:paraId="53AE1938" w14:textId="77777777" w:rsidR="00075B2B" w:rsidRPr="00EC4A07" w:rsidRDefault="00075B2B" w:rsidP="00062BF6">
            <w:pPr>
              <w:jc w:val="center"/>
              <w:rPr>
                <w:rFonts w:eastAsia="Times New Roman"/>
                <w:color w:val="000000"/>
                <w:sz w:val="24"/>
                <w:szCs w:val="24"/>
                <w:lang w:eastAsia="fr-FR"/>
              </w:rPr>
            </w:pPr>
            <w:r w:rsidRPr="00EC4A07">
              <w:rPr>
                <w:rFonts w:eastAsia="Times New Roman"/>
                <w:color w:val="000000"/>
                <w:sz w:val="24"/>
                <w:szCs w:val="24"/>
                <w:lang w:eastAsia="fr-FR"/>
              </w:rPr>
              <w:t>Weak selection</w:t>
            </w:r>
          </w:p>
        </w:tc>
        <w:tc>
          <w:tcPr>
            <w:tcW w:w="4674" w:type="dxa"/>
            <w:gridSpan w:val="6"/>
            <w:tcBorders>
              <w:top w:val="single" w:sz="4" w:space="0" w:color="auto"/>
              <w:left w:val="single" w:sz="4" w:space="0" w:color="auto"/>
              <w:bottom w:val="single" w:sz="4" w:space="0" w:color="auto"/>
              <w:right w:val="single" w:sz="4" w:space="0" w:color="auto"/>
            </w:tcBorders>
            <w:shd w:val="clear" w:color="auto" w:fill="auto"/>
            <w:noWrap/>
            <w:vAlign w:val="center"/>
          </w:tcPr>
          <w:p w14:paraId="590A4F6F" w14:textId="77777777" w:rsidR="00075B2B" w:rsidRPr="00EC4A07" w:rsidRDefault="00075B2B" w:rsidP="00062BF6">
            <w:pPr>
              <w:jc w:val="center"/>
              <w:rPr>
                <w:rFonts w:eastAsia="Times New Roman"/>
                <w:color w:val="000000"/>
                <w:sz w:val="24"/>
                <w:szCs w:val="24"/>
                <w:lang w:eastAsia="fr-FR"/>
              </w:rPr>
            </w:pPr>
            <w:r w:rsidRPr="00EC4A07">
              <w:rPr>
                <w:rFonts w:eastAsia="Times New Roman"/>
                <w:color w:val="000000"/>
                <w:sz w:val="24"/>
                <w:szCs w:val="24"/>
                <w:lang w:eastAsia="fr-FR"/>
              </w:rPr>
              <w:t>Strong selection</w:t>
            </w:r>
          </w:p>
        </w:tc>
      </w:tr>
      <w:tr w:rsidR="00075B2B" w:rsidRPr="00EC4A07" w14:paraId="46511DFF" w14:textId="77777777" w:rsidTr="00075B2B">
        <w:trPr>
          <w:trHeight w:val="238"/>
        </w:trPr>
        <w:tc>
          <w:tcPr>
            <w:tcW w:w="568" w:type="dxa"/>
            <w:tcBorders>
              <w:bottom w:val="single" w:sz="4" w:space="0" w:color="auto"/>
            </w:tcBorders>
            <w:shd w:val="clear" w:color="auto" w:fill="auto"/>
            <w:vAlign w:val="center"/>
          </w:tcPr>
          <w:p w14:paraId="4FA9E13E" w14:textId="77777777" w:rsidR="00075B2B" w:rsidRPr="00EC4A07" w:rsidRDefault="00075B2B" w:rsidP="00062BF6">
            <w:pPr>
              <w:jc w:val="center"/>
              <w:rPr>
                <w:rFonts w:eastAsia="Times New Roman"/>
                <w:color w:val="000000"/>
                <w:sz w:val="24"/>
                <w:szCs w:val="24"/>
                <w:lang w:eastAsia="fr-FR"/>
              </w:rPr>
            </w:pPr>
          </w:p>
        </w:tc>
        <w:tc>
          <w:tcPr>
            <w:tcW w:w="1275" w:type="dxa"/>
            <w:tcBorders>
              <w:bottom w:val="single" w:sz="4" w:space="0" w:color="auto"/>
              <w:right w:val="single" w:sz="4" w:space="0" w:color="auto"/>
            </w:tcBorders>
            <w:shd w:val="clear" w:color="auto" w:fill="auto"/>
            <w:noWrap/>
            <w:vAlign w:val="center"/>
          </w:tcPr>
          <w:p w14:paraId="4332E974" w14:textId="77777777" w:rsidR="00075B2B" w:rsidRPr="00EC4A07" w:rsidRDefault="00075B2B" w:rsidP="00062BF6">
            <w:pPr>
              <w:jc w:val="center"/>
              <w:rPr>
                <w:rFonts w:eastAsia="Times New Roman"/>
                <w:color w:val="000000"/>
                <w:sz w:val="24"/>
                <w:szCs w:val="24"/>
                <w:lang w:eastAsia="fr-FR"/>
              </w:rPr>
            </w:pPr>
          </w:p>
        </w:tc>
        <w:tc>
          <w:tcPr>
            <w:tcW w:w="2055"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14:paraId="1332F07E" w14:textId="77777777" w:rsidR="00075B2B" w:rsidRPr="00EC4A07" w:rsidRDefault="00075B2B" w:rsidP="00062BF6">
            <w:pPr>
              <w:jc w:val="center"/>
              <w:rPr>
                <w:rFonts w:eastAsia="Times New Roman"/>
                <w:color w:val="000000"/>
                <w:sz w:val="24"/>
                <w:szCs w:val="24"/>
                <w:lang w:eastAsia="fr-FR"/>
              </w:rPr>
            </w:pPr>
            <w:r w:rsidRPr="00EC4A07">
              <w:rPr>
                <w:rFonts w:eastAsia="Times New Roman"/>
                <w:color w:val="000000"/>
                <w:sz w:val="24"/>
                <w:szCs w:val="24"/>
                <w:lang w:eastAsia="fr-FR"/>
              </w:rPr>
              <w:t>LSL</w:t>
            </w:r>
          </w:p>
        </w:tc>
        <w:tc>
          <w:tcPr>
            <w:tcW w:w="2056"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14:paraId="2440D416" w14:textId="77777777" w:rsidR="00075B2B" w:rsidRPr="00EC4A07" w:rsidRDefault="00075B2B" w:rsidP="00062BF6">
            <w:pPr>
              <w:jc w:val="center"/>
              <w:rPr>
                <w:rFonts w:eastAsia="Times New Roman"/>
                <w:color w:val="000000"/>
                <w:sz w:val="24"/>
                <w:szCs w:val="24"/>
                <w:lang w:eastAsia="fr-FR"/>
              </w:rPr>
            </w:pPr>
            <w:r w:rsidRPr="00EC4A07">
              <w:rPr>
                <w:rFonts w:eastAsia="Times New Roman"/>
                <w:color w:val="000000"/>
                <w:sz w:val="24"/>
                <w:szCs w:val="24"/>
                <w:lang w:eastAsia="fr-FR"/>
              </w:rPr>
              <w:t>HSL</w:t>
            </w:r>
          </w:p>
        </w:tc>
        <w:tc>
          <w:tcPr>
            <w:tcW w:w="2268"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14:paraId="66152050" w14:textId="77777777" w:rsidR="00075B2B" w:rsidRPr="00EC4A07" w:rsidRDefault="00075B2B" w:rsidP="00062BF6">
            <w:pPr>
              <w:jc w:val="center"/>
              <w:rPr>
                <w:rFonts w:eastAsia="Times New Roman"/>
                <w:color w:val="000000"/>
                <w:sz w:val="24"/>
                <w:szCs w:val="24"/>
                <w:lang w:eastAsia="fr-FR"/>
              </w:rPr>
            </w:pPr>
            <w:r w:rsidRPr="00EC4A07">
              <w:rPr>
                <w:rFonts w:eastAsia="Times New Roman"/>
                <w:color w:val="000000"/>
                <w:sz w:val="24"/>
                <w:szCs w:val="24"/>
                <w:lang w:eastAsia="fr-FR"/>
              </w:rPr>
              <w:t>LSL</w:t>
            </w:r>
          </w:p>
        </w:tc>
        <w:tc>
          <w:tcPr>
            <w:tcW w:w="2406"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14:paraId="53859279" w14:textId="77777777" w:rsidR="00075B2B" w:rsidRPr="00EC4A07" w:rsidRDefault="00075B2B" w:rsidP="00062BF6">
            <w:pPr>
              <w:jc w:val="center"/>
              <w:rPr>
                <w:rFonts w:eastAsia="Times New Roman"/>
                <w:color w:val="000000"/>
                <w:sz w:val="24"/>
                <w:szCs w:val="24"/>
                <w:lang w:eastAsia="fr-FR"/>
              </w:rPr>
            </w:pPr>
            <w:r w:rsidRPr="00EC4A07">
              <w:rPr>
                <w:rFonts w:eastAsia="Times New Roman"/>
                <w:color w:val="000000"/>
                <w:sz w:val="24"/>
                <w:szCs w:val="24"/>
                <w:lang w:eastAsia="fr-FR"/>
              </w:rPr>
              <w:t>HSL</w:t>
            </w:r>
          </w:p>
        </w:tc>
      </w:tr>
      <w:tr w:rsidR="00075B2B" w:rsidRPr="00EC4A07" w14:paraId="12B3E95A" w14:textId="77777777" w:rsidTr="00075B2B">
        <w:trPr>
          <w:trHeight w:val="238"/>
        </w:trPr>
        <w:tc>
          <w:tcPr>
            <w:tcW w:w="568" w:type="dxa"/>
            <w:tcBorders>
              <w:top w:val="single" w:sz="4" w:space="0" w:color="auto"/>
              <w:left w:val="single" w:sz="4" w:space="0" w:color="auto"/>
              <w:bottom w:val="single" w:sz="4" w:space="0" w:color="auto"/>
              <w:right w:val="single" w:sz="4" w:space="0" w:color="auto"/>
            </w:tcBorders>
            <w:shd w:val="clear" w:color="auto" w:fill="auto"/>
            <w:vAlign w:val="center"/>
          </w:tcPr>
          <w:p w14:paraId="30F8AB03" w14:textId="77777777" w:rsidR="00075B2B" w:rsidRPr="00EC4A07" w:rsidRDefault="00075B2B" w:rsidP="00062BF6">
            <w:pPr>
              <w:jc w:val="center"/>
              <w:rPr>
                <w:rFonts w:eastAsia="Times New Roman"/>
                <w:color w:val="000000"/>
                <w:sz w:val="24"/>
                <w:szCs w:val="24"/>
                <w:lang w:eastAsia="fr-FR"/>
              </w:rPr>
            </w:pPr>
            <w:r w:rsidRPr="00EC4A07">
              <w:rPr>
                <w:rFonts w:eastAsia="Times New Roman"/>
                <w:color w:val="000000"/>
                <w:sz w:val="24"/>
                <w:szCs w:val="24"/>
                <w:lang w:eastAsia="fr-FR"/>
              </w:rPr>
              <w:t>Pop</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EC550BB" w14:textId="77777777" w:rsidR="00075B2B" w:rsidRPr="00EC4A07" w:rsidRDefault="00075B2B" w:rsidP="00062BF6">
            <w:pPr>
              <w:jc w:val="center"/>
              <w:rPr>
                <w:rFonts w:eastAsia="Times New Roman"/>
                <w:color w:val="000000"/>
                <w:sz w:val="24"/>
                <w:szCs w:val="24"/>
                <w:lang w:eastAsia="fr-FR"/>
              </w:rPr>
            </w:pPr>
            <w:r w:rsidRPr="00EC4A07">
              <w:rPr>
                <w:rFonts w:eastAsia="Times New Roman"/>
                <w:color w:val="000000"/>
                <w:sz w:val="24"/>
                <w:szCs w:val="24"/>
                <w:lang w:eastAsia="fr-FR"/>
              </w:rPr>
              <w:t>Trait</w:t>
            </w:r>
          </w:p>
        </w:tc>
        <w:tc>
          <w:tcPr>
            <w:tcW w:w="685" w:type="dxa"/>
            <w:tcBorders>
              <w:top w:val="single" w:sz="4" w:space="0" w:color="auto"/>
              <w:left w:val="single" w:sz="4" w:space="0" w:color="auto"/>
              <w:bottom w:val="single" w:sz="4" w:space="0" w:color="auto"/>
            </w:tcBorders>
            <w:shd w:val="clear" w:color="auto" w:fill="auto"/>
            <w:noWrap/>
            <w:vAlign w:val="center"/>
            <w:hideMark/>
          </w:tcPr>
          <w:p w14:paraId="02B6EA15" w14:textId="77777777" w:rsidR="00075B2B" w:rsidRPr="00EC4A07" w:rsidRDefault="00075B2B" w:rsidP="00062BF6">
            <w:pPr>
              <w:jc w:val="center"/>
              <w:rPr>
                <w:rFonts w:eastAsia="Times New Roman"/>
                <w:color w:val="000000"/>
                <w:sz w:val="24"/>
                <w:szCs w:val="24"/>
                <w:lang w:eastAsia="fr-FR"/>
              </w:rPr>
            </w:pPr>
            <w:r w:rsidRPr="00EC4A07">
              <w:rPr>
                <w:rFonts w:eastAsia="Times New Roman"/>
                <w:color w:val="000000"/>
                <w:sz w:val="24"/>
                <w:szCs w:val="24"/>
                <w:lang w:eastAsia="fr-FR"/>
              </w:rPr>
              <w:t>S</w:t>
            </w:r>
          </w:p>
        </w:tc>
        <w:tc>
          <w:tcPr>
            <w:tcW w:w="685" w:type="dxa"/>
            <w:tcBorders>
              <w:top w:val="single" w:sz="4" w:space="0" w:color="auto"/>
              <w:bottom w:val="single" w:sz="4" w:space="0" w:color="auto"/>
            </w:tcBorders>
            <w:shd w:val="clear" w:color="auto" w:fill="auto"/>
            <w:noWrap/>
            <w:vAlign w:val="center"/>
            <w:hideMark/>
          </w:tcPr>
          <w:p w14:paraId="3E3EDA6E" w14:textId="77777777" w:rsidR="00075B2B" w:rsidRPr="00EC4A07" w:rsidRDefault="00075B2B" w:rsidP="00062BF6">
            <w:pPr>
              <w:jc w:val="center"/>
              <w:rPr>
                <w:rFonts w:eastAsia="Times New Roman"/>
                <w:color w:val="000000"/>
                <w:sz w:val="24"/>
                <w:szCs w:val="24"/>
                <w:lang w:eastAsia="fr-FR"/>
              </w:rPr>
            </w:pPr>
            <w:r w:rsidRPr="00EC4A07">
              <w:rPr>
                <w:rFonts w:eastAsia="Times New Roman"/>
                <w:color w:val="000000"/>
                <w:sz w:val="24"/>
                <w:szCs w:val="24"/>
                <w:lang w:eastAsia="fr-FR"/>
              </w:rPr>
              <w:t>R</w:t>
            </w:r>
          </w:p>
        </w:tc>
        <w:tc>
          <w:tcPr>
            <w:tcW w:w="685" w:type="dxa"/>
            <w:tcBorders>
              <w:top w:val="single" w:sz="4" w:space="0" w:color="auto"/>
              <w:bottom w:val="single" w:sz="4" w:space="0" w:color="auto"/>
              <w:right w:val="single" w:sz="4" w:space="0" w:color="auto"/>
            </w:tcBorders>
            <w:shd w:val="clear" w:color="auto" w:fill="auto"/>
            <w:noWrap/>
            <w:vAlign w:val="center"/>
            <w:hideMark/>
          </w:tcPr>
          <w:p w14:paraId="0C4E8DA6" w14:textId="77777777" w:rsidR="00075B2B" w:rsidRPr="00EC4A07" w:rsidRDefault="00075B2B" w:rsidP="00062BF6">
            <w:pPr>
              <w:jc w:val="center"/>
              <w:rPr>
                <w:rFonts w:eastAsia="Times New Roman"/>
                <w:color w:val="000000"/>
                <w:sz w:val="24"/>
                <w:szCs w:val="24"/>
                <w:lang w:eastAsia="fr-FR"/>
              </w:rPr>
            </w:pPr>
            <w:r w:rsidRPr="00EC4A07">
              <w:rPr>
                <w:rFonts w:eastAsia="Times New Roman"/>
                <w:color w:val="000000"/>
                <w:sz w:val="24"/>
                <w:szCs w:val="24"/>
                <w:lang w:eastAsia="fr-FR"/>
              </w:rPr>
              <w:t>H²</w:t>
            </w:r>
          </w:p>
        </w:tc>
        <w:tc>
          <w:tcPr>
            <w:tcW w:w="685" w:type="dxa"/>
            <w:tcBorders>
              <w:top w:val="single" w:sz="4" w:space="0" w:color="auto"/>
              <w:left w:val="single" w:sz="4" w:space="0" w:color="auto"/>
              <w:bottom w:val="single" w:sz="4" w:space="0" w:color="auto"/>
            </w:tcBorders>
            <w:shd w:val="clear" w:color="auto" w:fill="auto"/>
            <w:noWrap/>
            <w:vAlign w:val="center"/>
            <w:hideMark/>
          </w:tcPr>
          <w:p w14:paraId="3C9CE210" w14:textId="77777777" w:rsidR="00075B2B" w:rsidRPr="00EC4A07" w:rsidRDefault="00075B2B" w:rsidP="00062BF6">
            <w:pPr>
              <w:jc w:val="center"/>
              <w:rPr>
                <w:rFonts w:eastAsia="Times New Roman"/>
                <w:color w:val="000000"/>
                <w:sz w:val="24"/>
                <w:szCs w:val="24"/>
                <w:lang w:eastAsia="fr-FR"/>
              </w:rPr>
            </w:pPr>
            <w:r w:rsidRPr="00EC4A07">
              <w:rPr>
                <w:rFonts w:eastAsia="Times New Roman"/>
                <w:color w:val="000000"/>
                <w:sz w:val="24"/>
                <w:szCs w:val="24"/>
                <w:lang w:eastAsia="fr-FR"/>
              </w:rPr>
              <w:t>S</w:t>
            </w:r>
          </w:p>
        </w:tc>
        <w:tc>
          <w:tcPr>
            <w:tcW w:w="685" w:type="dxa"/>
            <w:tcBorders>
              <w:top w:val="single" w:sz="4" w:space="0" w:color="auto"/>
              <w:bottom w:val="single" w:sz="4" w:space="0" w:color="auto"/>
            </w:tcBorders>
            <w:shd w:val="clear" w:color="auto" w:fill="auto"/>
            <w:noWrap/>
            <w:vAlign w:val="center"/>
            <w:hideMark/>
          </w:tcPr>
          <w:p w14:paraId="69994199" w14:textId="77777777" w:rsidR="00075B2B" w:rsidRPr="00EC4A07" w:rsidRDefault="00075B2B" w:rsidP="00062BF6">
            <w:pPr>
              <w:jc w:val="center"/>
              <w:rPr>
                <w:rFonts w:eastAsia="Times New Roman"/>
                <w:color w:val="000000"/>
                <w:sz w:val="24"/>
                <w:szCs w:val="24"/>
                <w:lang w:eastAsia="fr-FR"/>
              </w:rPr>
            </w:pPr>
            <w:r w:rsidRPr="00EC4A07">
              <w:rPr>
                <w:rFonts w:eastAsia="Times New Roman"/>
                <w:color w:val="000000"/>
                <w:sz w:val="24"/>
                <w:szCs w:val="24"/>
                <w:lang w:eastAsia="fr-FR"/>
              </w:rPr>
              <w:t>R</w:t>
            </w:r>
          </w:p>
        </w:tc>
        <w:tc>
          <w:tcPr>
            <w:tcW w:w="686" w:type="dxa"/>
            <w:tcBorders>
              <w:top w:val="single" w:sz="4" w:space="0" w:color="auto"/>
              <w:bottom w:val="single" w:sz="4" w:space="0" w:color="auto"/>
              <w:right w:val="single" w:sz="4" w:space="0" w:color="auto"/>
            </w:tcBorders>
            <w:shd w:val="clear" w:color="auto" w:fill="auto"/>
            <w:noWrap/>
            <w:vAlign w:val="center"/>
            <w:hideMark/>
          </w:tcPr>
          <w:p w14:paraId="377676DB" w14:textId="77777777" w:rsidR="00075B2B" w:rsidRPr="00EC4A07" w:rsidRDefault="00075B2B" w:rsidP="00062BF6">
            <w:pPr>
              <w:jc w:val="center"/>
              <w:rPr>
                <w:rFonts w:eastAsia="Times New Roman"/>
                <w:color w:val="000000"/>
                <w:sz w:val="24"/>
                <w:szCs w:val="24"/>
                <w:lang w:eastAsia="fr-FR"/>
              </w:rPr>
            </w:pPr>
            <w:r w:rsidRPr="00EC4A07">
              <w:rPr>
                <w:rFonts w:eastAsia="Times New Roman"/>
                <w:color w:val="000000"/>
                <w:sz w:val="24"/>
                <w:szCs w:val="24"/>
                <w:lang w:eastAsia="fr-FR"/>
              </w:rPr>
              <w:t>H²</w:t>
            </w:r>
          </w:p>
        </w:tc>
        <w:tc>
          <w:tcPr>
            <w:tcW w:w="709" w:type="dxa"/>
            <w:tcBorders>
              <w:top w:val="single" w:sz="4" w:space="0" w:color="auto"/>
              <w:left w:val="single" w:sz="4" w:space="0" w:color="auto"/>
              <w:bottom w:val="single" w:sz="4" w:space="0" w:color="auto"/>
            </w:tcBorders>
            <w:shd w:val="clear" w:color="auto" w:fill="auto"/>
            <w:noWrap/>
            <w:vAlign w:val="center"/>
            <w:hideMark/>
          </w:tcPr>
          <w:p w14:paraId="56BA7517" w14:textId="77777777" w:rsidR="00075B2B" w:rsidRPr="00EC4A07" w:rsidRDefault="00075B2B" w:rsidP="00062BF6">
            <w:pPr>
              <w:jc w:val="center"/>
              <w:rPr>
                <w:rFonts w:eastAsia="Times New Roman"/>
                <w:color w:val="000000"/>
                <w:sz w:val="24"/>
                <w:szCs w:val="24"/>
                <w:lang w:eastAsia="fr-FR"/>
              </w:rPr>
            </w:pPr>
            <w:r w:rsidRPr="00EC4A07">
              <w:rPr>
                <w:rFonts w:eastAsia="Times New Roman"/>
                <w:color w:val="000000"/>
                <w:sz w:val="24"/>
                <w:szCs w:val="24"/>
                <w:lang w:eastAsia="fr-FR"/>
              </w:rPr>
              <w:t>S</w:t>
            </w:r>
          </w:p>
        </w:tc>
        <w:tc>
          <w:tcPr>
            <w:tcW w:w="803" w:type="dxa"/>
            <w:tcBorders>
              <w:top w:val="single" w:sz="4" w:space="0" w:color="auto"/>
              <w:bottom w:val="single" w:sz="4" w:space="0" w:color="auto"/>
            </w:tcBorders>
            <w:shd w:val="clear" w:color="auto" w:fill="auto"/>
            <w:noWrap/>
            <w:vAlign w:val="center"/>
            <w:hideMark/>
          </w:tcPr>
          <w:p w14:paraId="4A2AE2C6" w14:textId="77777777" w:rsidR="00075B2B" w:rsidRPr="00EC4A07" w:rsidRDefault="00075B2B" w:rsidP="00062BF6">
            <w:pPr>
              <w:jc w:val="center"/>
              <w:rPr>
                <w:rFonts w:eastAsia="Times New Roman"/>
                <w:color w:val="000000"/>
                <w:sz w:val="24"/>
                <w:szCs w:val="24"/>
                <w:lang w:eastAsia="fr-FR"/>
              </w:rPr>
            </w:pPr>
            <w:r w:rsidRPr="00EC4A07">
              <w:rPr>
                <w:rFonts w:eastAsia="Times New Roman"/>
                <w:color w:val="000000"/>
                <w:sz w:val="24"/>
                <w:szCs w:val="24"/>
                <w:lang w:eastAsia="fr-FR"/>
              </w:rPr>
              <w:t>R</w:t>
            </w:r>
          </w:p>
        </w:tc>
        <w:tc>
          <w:tcPr>
            <w:tcW w:w="756" w:type="dxa"/>
            <w:tcBorders>
              <w:top w:val="single" w:sz="4" w:space="0" w:color="auto"/>
              <w:bottom w:val="single" w:sz="4" w:space="0" w:color="auto"/>
              <w:right w:val="single" w:sz="4" w:space="0" w:color="auto"/>
            </w:tcBorders>
            <w:shd w:val="clear" w:color="auto" w:fill="auto"/>
            <w:noWrap/>
            <w:vAlign w:val="center"/>
            <w:hideMark/>
          </w:tcPr>
          <w:p w14:paraId="6A4AA396" w14:textId="77777777" w:rsidR="00075B2B" w:rsidRPr="00EC4A07" w:rsidRDefault="00075B2B" w:rsidP="00062BF6">
            <w:pPr>
              <w:jc w:val="center"/>
              <w:rPr>
                <w:rFonts w:eastAsia="Times New Roman"/>
                <w:color w:val="000000"/>
                <w:sz w:val="24"/>
                <w:szCs w:val="24"/>
                <w:lang w:eastAsia="fr-FR"/>
              </w:rPr>
            </w:pPr>
            <w:r w:rsidRPr="00EC4A07">
              <w:rPr>
                <w:rFonts w:eastAsia="Times New Roman"/>
                <w:color w:val="000000"/>
                <w:sz w:val="24"/>
                <w:szCs w:val="24"/>
                <w:lang w:eastAsia="fr-FR"/>
              </w:rPr>
              <w:t>H²</w:t>
            </w:r>
          </w:p>
        </w:tc>
        <w:tc>
          <w:tcPr>
            <w:tcW w:w="709" w:type="dxa"/>
            <w:tcBorders>
              <w:top w:val="single" w:sz="4" w:space="0" w:color="auto"/>
              <w:left w:val="single" w:sz="4" w:space="0" w:color="auto"/>
              <w:bottom w:val="single" w:sz="4" w:space="0" w:color="auto"/>
            </w:tcBorders>
            <w:shd w:val="clear" w:color="auto" w:fill="auto"/>
            <w:noWrap/>
            <w:vAlign w:val="center"/>
            <w:hideMark/>
          </w:tcPr>
          <w:p w14:paraId="4C72B3A4" w14:textId="77777777" w:rsidR="00075B2B" w:rsidRPr="00EC4A07" w:rsidRDefault="00075B2B" w:rsidP="00062BF6">
            <w:pPr>
              <w:jc w:val="center"/>
              <w:rPr>
                <w:rFonts w:eastAsia="Times New Roman"/>
                <w:color w:val="000000"/>
                <w:sz w:val="24"/>
                <w:szCs w:val="24"/>
                <w:lang w:eastAsia="fr-FR"/>
              </w:rPr>
            </w:pPr>
            <w:r w:rsidRPr="00EC4A07">
              <w:rPr>
                <w:rFonts w:eastAsia="Times New Roman"/>
                <w:color w:val="000000"/>
                <w:sz w:val="24"/>
                <w:szCs w:val="24"/>
                <w:lang w:eastAsia="fr-FR"/>
              </w:rPr>
              <w:t>S</w:t>
            </w:r>
          </w:p>
        </w:tc>
        <w:tc>
          <w:tcPr>
            <w:tcW w:w="803" w:type="dxa"/>
            <w:tcBorders>
              <w:top w:val="single" w:sz="4" w:space="0" w:color="auto"/>
              <w:bottom w:val="single" w:sz="4" w:space="0" w:color="auto"/>
            </w:tcBorders>
            <w:shd w:val="clear" w:color="auto" w:fill="auto"/>
            <w:noWrap/>
            <w:vAlign w:val="center"/>
            <w:hideMark/>
          </w:tcPr>
          <w:p w14:paraId="676287F9" w14:textId="77777777" w:rsidR="00075B2B" w:rsidRPr="00EC4A07" w:rsidRDefault="00075B2B" w:rsidP="00062BF6">
            <w:pPr>
              <w:jc w:val="center"/>
              <w:rPr>
                <w:rFonts w:eastAsia="Times New Roman"/>
                <w:color w:val="000000"/>
                <w:sz w:val="24"/>
                <w:szCs w:val="24"/>
                <w:lang w:eastAsia="fr-FR"/>
              </w:rPr>
            </w:pPr>
            <w:r w:rsidRPr="00EC4A07">
              <w:rPr>
                <w:rFonts w:eastAsia="Times New Roman"/>
                <w:color w:val="000000"/>
                <w:sz w:val="24"/>
                <w:szCs w:val="24"/>
                <w:lang w:eastAsia="fr-FR"/>
              </w:rPr>
              <w:t>R</w:t>
            </w:r>
          </w:p>
        </w:tc>
        <w:tc>
          <w:tcPr>
            <w:tcW w:w="894" w:type="dxa"/>
            <w:tcBorders>
              <w:top w:val="single" w:sz="4" w:space="0" w:color="auto"/>
              <w:bottom w:val="single" w:sz="4" w:space="0" w:color="auto"/>
              <w:right w:val="single" w:sz="4" w:space="0" w:color="auto"/>
            </w:tcBorders>
            <w:shd w:val="clear" w:color="auto" w:fill="auto"/>
            <w:noWrap/>
            <w:vAlign w:val="center"/>
            <w:hideMark/>
          </w:tcPr>
          <w:p w14:paraId="4A073CCA" w14:textId="77777777" w:rsidR="00075B2B" w:rsidRPr="00EC4A07" w:rsidRDefault="00075B2B" w:rsidP="00062BF6">
            <w:pPr>
              <w:jc w:val="center"/>
              <w:rPr>
                <w:rFonts w:eastAsia="Times New Roman"/>
                <w:color w:val="000000"/>
                <w:sz w:val="24"/>
                <w:szCs w:val="24"/>
                <w:lang w:eastAsia="fr-FR"/>
              </w:rPr>
            </w:pPr>
            <w:r w:rsidRPr="00EC4A07">
              <w:rPr>
                <w:rFonts w:eastAsia="Times New Roman"/>
                <w:color w:val="000000"/>
                <w:sz w:val="24"/>
                <w:szCs w:val="24"/>
                <w:lang w:eastAsia="fr-FR"/>
              </w:rPr>
              <w:t>H²</w:t>
            </w:r>
          </w:p>
        </w:tc>
      </w:tr>
      <w:tr w:rsidR="00075B2B" w:rsidRPr="00EC4A07" w14:paraId="151A2859" w14:textId="77777777" w:rsidTr="00075B2B">
        <w:trPr>
          <w:trHeight w:val="238"/>
        </w:trPr>
        <w:tc>
          <w:tcPr>
            <w:tcW w:w="568" w:type="dxa"/>
            <w:tcBorders>
              <w:top w:val="single" w:sz="4" w:space="0" w:color="auto"/>
              <w:left w:val="single" w:sz="4" w:space="0" w:color="auto"/>
              <w:right w:val="single" w:sz="4" w:space="0" w:color="auto"/>
            </w:tcBorders>
            <w:shd w:val="clear" w:color="auto" w:fill="auto"/>
            <w:vAlign w:val="center"/>
          </w:tcPr>
          <w:p w14:paraId="1B0BDE9D" w14:textId="77777777" w:rsidR="00075B2B" w:rsidRPr="00EC4A07" w:rsidRDefault="00075B2B" w:rsidP="00062BF6">
            <w:pPr>
              <w:jc w:val="center"/>
              <w:rPr>
                <w:rFonts w:eastAsia="Times New Roman"/>
                <w:color w:val="000000"/>
                <w:sz w:val="24"/>
                <w:szCs w:val="24"/>
                <w:lang w:eastAsia="fr-FR"/>
              </w:rPr>
            </w:pPr>
            <w:r w:rsidRPr="00EC4A07">
              <w:rPr>
                <w:rFonts w:eastAsia="Times New Roman"/>
                <w:color w:val="000000"/>
                <w:sz w:val="24"/>
                <w:szCs w:val="24"/>
                <w:lang w:eastAsia="fr-FR"/>
              </w:rPr>
              <w:t>1</w:t>
            </w:r>
          </w:p>
          <w:p w14:paraId="3167FA5D" w14:textId="77777777" w:rsidR="00075B2B" w:rsidRPr="00EC4A07" w:rsidRDefault="00075B2B" w:rsidP="00062BF6">
            <w:pPr>
              <w:jc w:val="center"/>
              <w:rPr>
                <w:rFonts w:eastAsia="Times New Roman"/>
                <w:color w:val="000000"/>
                <w:sz w:val="24"/>
                <w:szCs w:val="24"/>
                <w:lang w:eastAsia="fr-FR"/>
              </w:rPr>
            </w:pPr>
          </w:p>
        </w:tc>
        <w:tc>
          <w:tcPr>
            <w:tcW w:w="1275" w:type="dxa"/>
            <w:tcBorders>
              <w:top w:val="single" w:sz="4" w:space="0" w:color="auto"/>
              <w:left w:val="single" w:sz="4" w:space="0" w:color="auto"/>
              <w:right w:val="single" w:sz="4" w:space="0" w:color="auto"/>
            </w:tcBorders>
            <w:shd w:val="clear" w:color="auto" w:fill="auto"/>
            <w:noWrap/>
            <w:vAlign w:val="center"/>
            <w:hideMark/>
          </w:tcPr>
          <w:p w14:paraId="7CFC86A4" w14:textId="77777777" w:rsidR="00075B2B" w:rsidRPr="00EC4A07" w:rsidRDefault="00075B2B" w:rsidP="00062BF6">
            <w:pPr>
              <w:jc w:val="center"/>
              <w:rPr>
                <w:rFonts w:eastAsia="Times New Roman"/>
                <w:color w:val="000000" w:themeColor="text1"/>
                <w:sz w:val="24"/>
                <w:szCs w:val="24"/>
                <w:lang w:eastAsia="fr-FR"/>
              </w:rPr>
            </w:pPr>
          </w:p>
          <w:p w14:paraId="7EC63F01"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Biomass</w:t>
            </w:r>
          </w:p>
          <w:p w14:paraId="166C0C44" w14:textId="77777777" w:rsidR="00075B2B" w:rsidRPr="00EC4A07" w:rsidRDefault="00075B2B" w:rsidP="00062BF6">
            <w:pPr>
              <w:jc w:val="center"/>
              <w:rPr>
                <w:rFonts w:eastAsia="Times New Roman"/>
                <w:color w:val="000000" w:themeColor="text1"/>
                <w:sz w:val="24"/>
                <w:szCs w:val="24"/>
                <w:lang w:eastAsia="fr-FR"/>
              </w:rPr>
            </w:pPr>
          </w:p>
        </w:tc>
        <w:tc>
          <w:tcPr>
            <w:tcW w:w="685" w:type="dxa"/>
            <w:tcBorders>
              <w:top w:val="single" w:sz="4" w:space="0" w:color="auto"/>
              <w:left w:val="single" w:sz="4" w:space="0" w:color="auto"/>
            </w:tcBorders>
            <w:shd w:val="clear" w:color="auto" w:fill="auto"/>
            <w:noWrap/>
            <w:vAlign w:val="center"/>
            <w:hideMark/>
          </w:tcPr>
          <w:p w14:paraId="4A1F4CC4"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0.07</w:t>
            </w:r>
          </w:p>
        </w:tc>
        <w:tc>
          <w:tcPr>
            <w:tcW w:w="685" w:type="dxa"/>
            <w:tcBorders>
              <w:top w:val="single" w:sz="4" w:space="0" w:color="auto"/>
            </w:tcBorders>
            <w:shd w:val="clear" w:color="auto" w:fill="auto"/>
            <w:noWrap/>
            <w:vAlign w:val="center"/>
            <w:hideMark/>
          </w:tcPr>
          <w:p w14:paraId="2DD0E0A8"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NS</w:t>
            </w:r>
          </w:p>
        </w:tc>
        <w:tc>
          <w:tcPr>
            <w:tcW w:w="685" w:type="dxa"/>
            <w:tcBorders>
              <w:top w:val="single" w:sz="4" w:space="0" w:color="auto"/>
              <w:right w:val="single" w:sz="4" w:space="0" w:color="auto"/>
            </w:tcBorders>
            <w:shd w:val="clear" w:color="auto" w:fill="auto"/>
            <w:noWrap/>
            <w:vAlign w:val="center"/>
            <w:hideMark/>
          </w:tcPr>
          <w:p w14:paraId="4147649F"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N/A</w:t>
            </w:r>
          </w:p>
        </w:tc>
        <w:tc>
          <w:tcPr>
            <w:tcW w:w="685" w:type="dxa"/>
            <w:tcBorders>
              <w:top w:val="single" w:sz="4" w:space="0" w:color="auto"/>
              <w:left w:val="single" w:sz="4" w:space="0" w:color="auto"/>
            </w:tcBorders>
            <w:shd w:val="clear" w:color="auto" w:fill="auto"/>
            <w:noWrap/>
            <w:vAlign w:val="center"/>
            <w:hideMark/>
          </w:tcPr>
          <w:p w14:paraId="6AEC0E90"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0.07</w:t>
            </w:r>
          </w:p>
        </w:tc>
        <w:tc>
          <w:tcPr>
            <w:tcW w:w="685" w:type="dxa"/>
            <w:tcBorders>
              <w:top w:val="single" w:sz="4" w:space="0" w:color="auto"/>
            </w:tcBorders>
            <w:shd w:val="clear" w:color="auto" w:fill="auto"/>
            <w:noWrap/>
            <w:vAlign w:val="center"/>
            <w:hideMark/>
          </w:tcPr>
          <w:p w14:paraId="7CF78C3E"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NS</w:t>
            </w:r>
          </w:p>
        </w:tc>
        <w:tc>
          <w:tcPr>
            <w:tcW w:w="686" w:type="dxa"/>
            <w:tcBorders>
              <w:top w:val="single" w:sz="4" w:space="0" w:color="auto"/>
              <w:right w:val="single" w:sz="4" w:space="0" w:color="auto"/>
            </w:tcBorders>
            <w:shd w:val="clear" w:color="auto" w:fill="auto"/>
            <w:noWrap/>
            <w:vAlign w:val="center"/>
            <w:hideMark/>
          </w:tcPr>
          <w:p w14:paraId="3FCC0FF3"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N/A</w:t>
            </w:r>
          </w:p>
        </w:tc>
        <w:tc>
          <w:tcPr>
            <w:tcW w:w="709" w:type="dxa"/>
            <w:tcBorders>
              <w:top w:val="single" w:sz="4" w:space="0" w:color="auto"/>
              <w:left w:val="single" w:sz="4" w:space="0" w:color="auto"/>
            </w:tcBorders>
            <w:shd w:val="clear" w:color="auto" w:fill="auto"/>
            <w:noWrap/>
            <w:vAlign w:val="center"/>
            <w:hideMark/>
          </w:tcPr>
          <w:p w14:paraId="128CA6A3"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0.16</w:t>
            </w:r>
          </w:p>
        </w:tc>
        <w:tc>
          <w:tcPr>
            <w:tcW w:w="803" w:type="dxa"/>
            <w:tcBorders>
              <w:top w:val="single" w:sz="4" w:space="0" w:color="auto"/>
            </w:tcBorders>
            <w:shd w:val="clear" w:color="auto" w:fill="auto"/>
            <w:noWrap/>
            <w:vAlign w:val="center"/>
            <w:hideMark/>
          </w:tcPr>
          <w:p w14:paraId="38E16806"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NS</w:t>
            </w:r>
          </w:p>
        </w:tc>
        <w:tc>
          <w:tcPr>
            <w:tcW w:w="756" w:type="dxa"/>
            <w:tcBorders>
              <w:top w:val="single" w:sz="4" w:space="0" w:color="auto"/>
              <w:right w:val="single" w:sz="4" w:space="0" w:color="auto"/>
            </w:tcBorders>
            <w:shd w:val="clear" w:color="auto" w:fill="auto"/>
            <w:noWrap/>
            <w:vAlign w:val="center"/>
            <w:hideMark/>
          </w:tcPr>
          <w:p w14:paraId="3A60797C"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N/A</w:t>
            </w:r>
          </w:p>
        </w:tc>
        <w:tc>
          <w:tcPr>
            <w:tcW w:w="709" w:type="dxa"/>
            <w:tcBorders>
              <w:top w:val="single" w:sz="4" w:space="0" w:color="auto"/>
              <w:left w:val="single" w:sz="4" w:space="0" w:color="auto"/>
            </w:tcBorders>
            <w:shd w:val="clear" w:color="auto" w:fill="auto"/>
            <w:noWrap/>
            <w:vAlign w:val="center"/>
            <w:hideMark/>
          </w:tcPr>
          <w:p w14:paraId="22215294"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0.14</w:t>
            </w:r>
          </w:p>
        </w:tc>
        <w:tc>
          <w:tcPr>
            <w:tcW w:w="803" w:type="dxa"/>
            <w:tcBorders>
              <w:top w:val="single" w:sz="4" w:space="0" w:color="auto"/>
            </w:tcBorders>
            <w:shd w:val="clear" w:color="auto" w:fill="auto"/>
            <w:noWrap/>
            <w:vAlign w:val="center"/>
            <w:hideMark/>
          </w:tcPr>
          <w:p w14:paraId="7369CB02"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NS</w:t>
            </w:r>
          </w:p>
        </w:tc>
        <w:tc>
          <w:tcPr>
            <w:tcW w:w="894" w:type="dxa"/>
            <w:tcBorders>
              <w:top w:val="single" w:sz="4" w:space="0" w:color="auto"/>
              <w:right w:val="single" w:sz="4" w:space="0" w:color="auto"/>
            </w:tcBorders>
            <w:shd w:val="clear" w:color="auto" w:fill="auto"/>
            <w:noWrap/>
            <w:vAlign w:val="center"/>
            <w:hideMark/>
          </w:tcPr>
          <w:p w14:paraId="3C9E045D"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N/A</w:t>
            </w:r>
          </w:p>
        </w:tc>
      </w:tr>
      <w:tr w:rsidR="00075B2B" w:rsidRPr="00EC4A07" w14:paraId="62F5FE34" w14:textId="77777777" w:rsidTr="00075B2B">
        <w:trPr>
          <w:trHeight w:val="238"/>
        </w:trPr>
        <w:tc>
          <w:tcPr>
            <w:tcW w:w="568" w:type="dxa"/>
            <w:tcBorders>
              <w:left w:val="single" w:sz="4" w:space="0" w:color="auto"/>
              <w:right w:val="single" w:sz="4" w:space="0" w:color="auto"/>
            </w:tcBorders>
            <w:shd w:val="clear" w:color="auto" w:fill="auto"/>
            <w:vAlign w:val="center"/>
          </w:tcPr>
          <w:p w14:paraId="278A9987" w14:textId="77777777" w:rsidR="00075B2B" w:rsidRPr="00EC4A07" w:rsidRDefault="00075B2B" w:rsidP="00062BF6">
            <w:pPr>
              <w:jc w:val="center"/>
              <w:rPr>
                <w:rFonts w:eastAsia="Times New Roman"/>
                <w:color w:val="000000"/>
                <w:sz w:val="24"/>
                <w:szCs w:val="24"/>
                <w:lang w:eastAsia="fr-FR"/>
              </w:rPr>
            </w:pPr>
          </w:p>
        </w:tc>
        <w:tc>
          <w:tcPr>
            <w:tcW w:w="1275" w:type="dxa"/>
            <w:tcBorders>
              <w:left w:val="single" w:sz="4" w:space="0" w:color="auto"/>
              <w:right w:val="single" w:sz="4" w:space="0" w:color="auto"/>
            </w:tcBorders>
            <w:shd w:val="clear" w:color="auto" w:fill="auto"/>
            <w:noWrap/>
            <w:vAlign w:val="center"/>
            <w:hideMark/>
          </w:tcPr>
          <w:p w14:paraId="0B30968E" w14:textId="77777777" w:rsidR="00075B2B" w:rsidRPr="00EC4A07" w:rsidRDefault="00075B2B" w:rsidP="00062BF6">
            <w:pPr>
              <w:jc w:val="center"/>
              <w:rPr>
                <w:rFonts w:eastAsia="Times New Roman"/>
                <w:color w:val="000000" w:themeColor="text1"/>
                <w:sz w:val="24"/>
                <w:szCs w:val="24"/>
                <w:lang w:eastAsia="fr-FR"/>
              </w:rPr>
            </w:pPr>
          </w:p>
          <w:p w14:paraId="620C7623"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Diameter</w:t>
            </w:r>
          </w:p>
          <w:p w14:paraId="131D1188" w14:textId="77777777" w:rsidR="00075B2B" w:rsidRPr="00EC4A07" w:rsidRDefault="00075B2B" w:rsidP="00062BF6">
            <w:pPr>
              <w:jc w:val="center"/>
              <w:rPr>
                <w:rFonts w:eastAsia="Times New Roman"/>
                <w:color w:val="000000" w:themeColor="text1"/>
                <w:sz w:val="24"/>
                <w:szCs w:val="24"/>
                <w:lang w:eastAsia="fr-FR"/>
              </w:rPr>
            </w:pPr>
          </w:p>
        </w:tc>
        <w:tc>
          <w:tcPr>
            <w:tcW w:w="685" w:type="dxa"/>
            <w:tcBorders>
              <w:left w:val="single" w:sz="4" w:space="0" w:color="auto"/>
            </w:tcBorders>
            <w:shd w:val="clear" w:color="auto" w:fill="auto"/>
            <w:noWrap/>
            <w:vAlign w:val="center"/>
            <w:hideMark/>
          </w:tcPr>
          <w:p w14:paraId="5D3648B3"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0.87</w:t>
            </w:r>
          </w:p>
        </w:tc>
        <w:tc>
          <w:tcPr>
            <w:tcW w:w="685" w:type="dxa"/>
            <w:shd w:val="clear" w:color="auto" w:fill="auto"/>
            <w:noWrap/>
            <w:vAlign w:val="center"/>
            <w:hideMark/>
          </w:tcPr>
          <w:p w14:paraId="068FE102"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0.42 (5%)</w:t>
            </w:r>
          </w:p>
        </w:tc>
        <w:tc>
          <w:tcPr>
            <w:tcW w:w="685" w:type="dxa"/>
            <w:tcBorders>
              <w:right w:val="single" w:sz="4" w:space="0" w:color="auto"/>
            </w:tcBorders>
            <w:shd w:val="clear" w:color="auto" w:fill="auto"/>
            <w:noWrap/>
            <w:vAlign w:val="center"/>
            <w:hideMark/>
          </w:tcPr>
          <w:p w14:paraId="58B7C55E"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0.48</w:t>
            </w:r>
          </w:p>
        </w:tc>
        <w:tc>
          <w:tcPr>
            <w:tcW w:w="685" w:type="dxa"/>
            <w:tcBorders>
              <w:left w:val="single" w:sz="4" w:space="0" w:color="auto"/>
            </w:tcBorders>
            <w:shd w:val="clear" w:color="auto" w:fill="auto"/>
            <w:noWrap/>
            <w:vAlign w:val="center"/>
            <w:hideMark/>
          </w:tcPr>
          <w:p w14:paraId="1D1B9778"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0.89</w:t>
            </w:r>
          </w:p>
        </w:tc>
        <w:tc>
          <w:tcPr>
            <w:tcW w:w="685" w:type="dxa"/>
            <w:shd w:val="clear" w:color="auto" w:fill="auto"/>
            <w:noWrap/>
            <w:vAlign w:val="center"/>
            <w:hideMark/>
          </w:tcPr>
          <w:p w14:paraId="468E94C9"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0.41 (5%)</w:t>
            </w:r>
          </w:p>
        </w:tc>
        <w:tc>
          <w:tcPr>
            <w:tcW w:w="686" w:type="dxa"/>
            <w:tcBorders>
              <w:right w:val="single" w:sz="4" w:space="0" w:color="auto"/>
            </w:tcBorders>
            <w:shd w:val="clear" w:color="auto" w:fill="auto"/>
            <w:noWrap/>
            <w:vAlign w:val="center"/>
            <w:hideMark/>
          </w:tcPr>
          <w:p w14:paraId="66EEB3B7"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0.46</w:t>
            </w:r>
          </w:p>
        </w:tc>
        <w:tc>
          <w:tcPr>
            <w:tcW w:w="709" w:type="dxa"/>
            <w:tcBorders>
              <w:left w:val="single" w:sz="4" w:space="0" w:color="auto"/>
            </w:tcBorders>
            <w:shd w:val="clear" w:color="auto" w:fill="auto"/>
            <w:noWrap/>
            <w:vAlign w:val="center"/>
            <w:hideMark/>
          </w:tcPr>
          <w:p w14:paraId="6E71655E"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1.90</w:t>
            </w:r>
          </w:p>
        </w:tc>
        <w:tc>
          <w:tcPr>
            <w:tcW w:w="803" w:type="dxa"/>
            <w:shd w:val="clear" w:color="auto" w:fill="auto"/>
            <w:noWrap/>
            <w:vAlign w:val="center"/>
            <w:hideMark/>
          </w:tcPr>
          <w:p w14:paraId="0F4ACAF3"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0.59 (7%)</w:t>
            </w:r>
          </w:p>
        </w:tc>
        <w:tc>
          <w:tcPr>
            <w:tcW w:w="756" w:type="dxa"/>
            <w:tcBorders>
              <w:right w:val="single" w:sz="4" w:space="0" w:color="auto"/>
            </w:tcBorders>
            <w:shd w:val="clear" w:color="auto" w:fill="auto"/>
            <w:noWrap/>
            <w:vAlign w:val="center"/>
            <w:hideMark/>
          </w:tcPr>
          <w:p w14:paraId="4358933C"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0.31</w:t>
            </w:r>
          </w:p>
        </w:tc>
        <w:tc>
          <w:tcPr>
            <w:tcW w:w="709" w:type="dxa"/>
            <w:tcBorders>
              <w:left w:val="single" w:sz="4" w:space="0" w:color="auto"/>
            </w:tcBorders>
            <w:shd w:val="clear" w:color="auto" w:fill="auto"/>
            <w:noWrap/>
            <w:vAlign w:val="center"/>
            <w:hideMark/>
          </w:tcPr>
          <w:p w14:paraId="38153F29"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1.74</w:t>
            </w:r>
          </w:p>
        </w:tc>
        <w:tc>
          <w:tcPr>
            <w:tcW w:w="803" w:type="dxa"/>
            <w:shd w:val="clear" w:color="auto" w:fill="auto"/>
            <w:noWrap/>
            <w:vAlign w:val="center"/>
            <w:hideMark/>
          </w:tcPr>
          <w:p w14:paraId="2224E3FC"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0.66 (8%)</w:t>
            </w:r>
          </w:p>
        </w:tc>
        <w:tc>
          <w:tcPr>
            <w:tcW w:w="894" w:type="dxa"/>
            <w:tcBorders>
              <w:right w:val="single" w:sz="4" w:space="0" w:color="auto"/>
            </w:tcBorders>
            <w:shd w:val="clear" w:color="auto" w:fill="auto"/>
            <w:noWrap/>
            <w:vAlign w:val="center"/>
            <w:hideMark/>
          </w:tcPr>
          <w:p w14:paraId="7C4AF716"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0.38</w:t>
            </w:r>
          </w:p>
        </w:tc>
      </w:tr>
      <w:tr w:rsidR="00075B2B" w:rsidRPr="00EC4A07" w14:paraId="4C7302CD" w14:textId="77777777" w:rsidTr="00075B2B">
        <w:trPr>
          <w:trHeight w:val="238"/>
        </w:trPr>
        <w:tc>
          <w:tcPr>
            <w:tcW w:w="568" w:type="dxa"/>
            <w:tcBorders>
              <w:left w:val="single" w:sz="4" w:space="0" w:color="auto"/>
              <w:right w:val="single" w:sz="4" w:space="0" w:color="auto"/>
            </w:tcBorders>
            <w:shd w:val="clear" w:color="auto" w:fill="auto"/>
            <w:vAlign w:val="center"/>
          </w:tcPr>
          <w:p w14:paraId="1225EA6F" w14:textId="77777777" w:rsidR="00075B2B" w:rsidRPr="00EC4A07" w:rsidRDefault="00075B2B" w:rsidP="00062BF6">
            <w:pPr>
              <w:jc w:val="center"/>
              <w:rPr>
                <w:rFonts w:eastAsia="Times New Roman"/>
                <w:color w:val="FF0000"/>
                <w:sz w:val="24"/>
                <w:szCs w:val="24"/>
                <w:lang w:eastAsia="fr-FR"/>
              </w:rPr>
            </w:pPr>
          </w:p>
        </w:tc>
        <w:tc>
          <w:tcPr>
            <w:tcW w:w="1275" w:type="dxa"/>
            <w:tcBorders>
              <w:left w:val="single" w:sz="4" w:space="0" w:color="auto"/>
              <w:right w:val="single" w:sz="4" w:space="0" w:color="auto"/>
            </w:tcBorders>
            <w:shd w:val="clear" w:color="auto" w:fill="auto"/>
            <w:noWrap/>
            <w:vAlign w:val="center"/>
            <w:hideMark/>
          </w:tcPr>
          <w:p w14:paraId="539F5A1F" w14:textId="77777777" w:rsidR="00075B2B" w:rsidRPr="00EC4A07" w:rsidRDefault="00075B2B" w:rsidP="00062BF6">
            <w:pPr>
              <w:jc w:val="center"/>
              <w:rPr>
                <w:rFonts w:eastAsia="Times New Roman"/>
                <w:color w:val="000000" w:themeColor="text1"/>
                <w:sz w:val="24"/>
                <w:szCs w:val="24"/>
                <w:lang w:eastAsia="fr-FR"/>
              </w:rPr>
            </w:pPr>
          </w:p>
          <w:p w14:paraId="23514123"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Flowering time</w:t>
            </w:r>
          </w:p>
          <w:p w14:paraId="7F3CA870" w14:textId="77777777" w:rsidR="00075B2B" w:rsidRPr="00EC4A07" w:rsidRDefault="00075B2B" w:rsidP="00062BF6">
            <w:pPr>
              <w:jc w:val="center"/>
              <w:rPr>
                <w:rFonts w:eastAsia="Times New Roman"/>
                <w:color w:val="000000" w:themeColor="text1"/>
                <w:sz w:val="24"/>
                <w:szCs w:val="24"/>
                <w:lang w:eastAsia="fr-FR"/>
              </w:rPr>
            </w:pPr>
          </w:p>
        </w:tc>
        <w:tc>
          <w:tcPr>
            <w:tcW w:w="685" w:type="dxa"/>
            <w:tcBorders>
              <w:left w:val="single" w:sz="4" w:space="0" w:color="auto"/>
            </w:tcBorders>
            <w:shd w:val="clear" w:color="auto" w:fill="auto"/>
            <w:noWrap/>
            <w:vAlign w:val="center"/>
            <w:hideMark/>
          </w:tcPr>
          <w:p w14:paraId="5516D0E4"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1.36</w:t>
            </w:r>
          </w:p>
        </w:tc>
        <w:tc>
          <w:tcPr>
            <w:tcW w:w="685" w:type="dxa"/>
            <w:shd w:val="clear" w:color="auto" w:fill="auto"/>
            <w:noWrap/>
            <w:vAlign w:val="center"/>
            <w:hideMark/>
          </w:tcPr>
          <w:p w14:paraId="67588C93"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0.85 (3%)</w:t>
            </w:r>
          </w:p>
        </w:tc>
        <w:tc>
          <w:tcPr>
            <w:tcW w:w="685" w:type="dxa"/>
            <w:tcBorders>
              <w:right w:val="single" w:sz="4" w:space="0" w:color="auto"/>
            </w:tcBorders>
            <w:shd w:val="clear" w:color="auto" w:fill="auto"/>
            <w:noWrap/>
            <w:vAlign w:val="center"/>
            <w:hideMark/>
          </w:tcPr>
          <w:p w14:paraId="4B15C3C3"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0.63</w:t>
            </w:r>
          </w:p>
        </w:tc>
        <w:tc>
          <w:tcPr>
            <w:tcW w:w="685" w:type="dxa"/>
            <w:tcBorders>
              <w:left w:val="single" w:sz="4" w:space="0" w:color="auto"/>
            </w:tcBorders>
            <w:shd w:val="clear" w:color="auto" w:fill="auto"/>
            <w:noWrap/>
            <w:vAlign w:val="center"/>
            <w:hideMark/>
          </w:tcPr>
          <w:p w14:paraId="1D03D9F2"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1.34</w:t>
            </w:r>
          </w:p>
        </w:tc>
        <w:tc>
          <w:tcPr>
            <w:tcW w:w="685" w:type="dxa"/>
            <w:shd w:val="clear" w:color="auto" w:fill="auto"/>
            <w:noWrap/>
            <w:vAlign w:val="center"/>
            <w:hideMark/>
          </w:tcPr>
          <w:p w14:paraId="37CCE50B"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0.80 (3%)</w:t>
            </w:r>
          </w:p>
        </w:tc>
        <w:tc>
          <w:tcPr>
            <w:tcW w:w="686" w:type="dxa"/>
            <w:tcBorders>
              <w:right w:val="single" w:sz="4" w:space="0" w:color="auto"/>
            </w:tcBorders>
            <w:shd w:val="clear" w:color="auto" w:fill="auto"/>
            <w:noWrap/>
            <w:vAlign w:val="center"/>
            <w:hideMark/>
          </w:tcPr>
          <w:p w14:paraId="4A7B9F74"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0.60</w:t>
            </w:r>
          </w:p>
        </w:tc>
        <w:tc>
          <w:tcPr>
            <w:tcW w:w="709" w:type="dxa"/>
            <w:tcBorders>
              <w:left w:val="single" w:sz="4" w:space="0" w:color="auto"/>
            </w:tcBorders>
            <w:shd w:val="clear" w:color="auto" w:fill="auto"/>
            <w:noWrap/>
            <w:vAlign w:val="center"/>
            <w:hideMark/>
          </w:tcPr>
          <w:p w14:paraId="03A0F16C"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2.65</w:t>
            </w:r>
          </w:p>
        </w:tc>
        <w:tc>
          <w:tcPr>
            <w:tcW w:w="803" w:type="dxa"/>
            <w:shd w:val="clear" w:color="auto" w:fill="auto"/>
            <w:noWrap/>
            <w:vAlign w:val="center"/>
            <w:hideMark/>
          </w:tcPr>
          <w:p w14:paraId="505A6C43"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1.28 (5%)</w:t>
            </w:r>
          </w:p>
        </w:tc>
        <w:tc>
          <w:tcPr>
            <w:tcW w:w="756" w:type="dxa"/>
            <w:tcBorders>
              <w:right w:val="single" w:sz="4" w:space="0" w:color="auto"/>
            </w:tcBorders>
            <w:shd w:val="clear" w:color="auto" w:fill="auto"/>
            <w:noWrap/>
            <w:vAlign w:val="center"/>
            <w:hideMark/>
          </w:tcPr>
          <w:p w14:paraId="37F830BD"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0.48</w:t>
            </w:r>
          </w:p>
        </w:tc>
        <w:tc>
          <w:tcPr>
            <w:tcW w:w="709" w:type="dxa"/>
            <w:tcBorders>
              <w:left w:val="single" w:sz="4" w:space="0" w:color="auto"/>
            </w:tcBorders>
            <w:shd w:val="clear" w:color="auto" w:fill="auto"/>
            <w:noWrap/>
            <w:vAlign w:val="center"/>
            <w:hideMark/>
          </w:tcPr>
          <w:p w14:paraId="477299CD"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3.41</w:t>
            </w:r>
          </w:p>
        </w:tc>
        <w:tc>
          <w:tcPr>
            <w:tcW w:w="803" w:type="dxa"/>
            <w:shd w:val="clear" w:color="auto" w:fill="auto"/>
            <w:noWrap/>
            <w:vAlign w:val="center"/>
            <w:hideMark/>
          </w:tcPr>
          <w:p w14:paraId="128330D5"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1.81 (6%)</w:t>
            </w:r>
          </w:p>
        </w:tc>
        <w:tc>
          <w:tcPr>
            <w:tcW w:w="894" w:type="dxa"/>
            <w:tcBorders>
              <w:right w:val="single" w:sz="4" w:space="0" w:color="auto"/>
            </w:tcBorders>
            <w:shd w:val="clear" w:color="auto" w:fill="auto"/>
            <w:noWrap/>
            <w:vAlign w:val="center"/>
            <w:hideMark/>
          </w:tcPr>
          <w:p w14:paraId="4DF5094F"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0.53</w:t>
            </w:r>
          </w:p>
        </w:tc>
      </w:tr>
      <w:tr w:rsidR="00075B2B" w:rsidRPr="00EC4A07" w14:paraId="42096C79" w14:textId="77777777" w:rsidTr="00075B2B">
        <w:trPr>
          <w:trHeight w:val="238"/>
        </w:trPr>
        <w:tc>
          <w:tcPr>
            <w:tcW w:w="568" w:type="dxa"/>
            <w:tcBorders>
              <w:left w:val="single" w:sz="4" w:space="0" w:color="auto"/>
              <w:bottom w:val="single" w:sz="4" w:space="0" w:color="auto"/>
              <w:right w:val="single" w:sz="4" w:space="0" w:color="auto"/>
            </w:tcBorders>
            <w:shd w:val="clear" w:color="auto" w:fill="auto"/>
            <w:vAlign w:val="center"/>
          </w:tcPr>
          <w:p w14:paraId="733F49E9" w14:textId="77777777" w:rsidR="00075B2B" w:rsidRPr="00EC4A07" w:rsidRDefault="00075B2B" w:rsidP="00062BF6">
            <w:pPr>
              <w:jc w:val="center"/>
              <w:rPr>
                <w:rFonts w:eastAsia="Times New Roman"/>
                <w:color w:val="000000"/>
                <w:sz w:val="24"/>
                <w:szCs w:val="24"/>
                <w:lang w:eastAsia="fr-FR"/>
              </w:rPr>
            </w:pPr>
          </w:p>
        </w:tc>
        <w:tc>
          <w:tcPr>
            <w:tcW w:w="1275" w:type="dxa"/>
            <w:tcBorders>
              <w:left w:val="single" w:sz="4" w:space="0" w:color="auto"/>
              <w:bottom w:val="single" w:sz="4" w:space="0" w:color="auto"/>
              <w:right w:val="single" w:sz="4" w:space="0" w:color="auto"/>
            </w:tcBorders>
            <w:shd w:val="clear" w:color="auto" w:fill="auto"/>
            <w:noWrap/>
            <w:vAlign w:val="center"/>
          </w:tcPr>
          <w:p w14:paraId="5E036EDF" w14:textId="77777777" w:rsidR="00075B2B" w:rsidRPr="00EC4A07" w:rsidRDefault="00075B2B" w:rsidP="00062BF6">
            <w:pPr>
              <w:jc w:val="center"/>
              <w:rPr>
                <w:rFonts w:eastAsia="Times New Roman"/>
                <w:color w:val="000000" w:themeColor="text1"/>
                <w:sz w:val="24"/>
                <w:szCs w:val="24"/>
                <w:lang w:eastAsia="fr-FR"/>
              </w:rPr>
            </w:pPr>
          </w:p>
          <w:p w14:paraId="44C14B56"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Height</w:t>
            </w:r>
          </w:p>
          <w:p w14:paraId="4673F26A" w14:textId="77777777" w:rsidR="00075B2B" w:rsidRPr="00EC4A07" w:rsidRDefault="00075B2B" w:rsidP="00062BF6">
            <w:pPr>
              <w:jc w:val="center"/>
              <w:rPr>
                <w:rFonts w:eastAsia="Times New Roman"/>
                <w:color w:val="000000" w:themeColor="text1"/>
                <w:sz w:val="24"/>
                <w:szCs w:val="24"/>
                <w:lang w:eastAsia="fr-FR"/>
              </w:rPr>
            </w:pPr>
          </w:p>
        </w:tc>
        <w:tc>
          <w:tcPr>
            <w:tcW w:w="685" w:type="dxa"/>
            <w:tcBorders>
              <w:left w:val="single" w:sz="4" w:space="0" w:color="auto"/>
              <w:bottom w:val="single" w:sz="4" w:space="0" w:color="auto"/>
            </w:tcBorders>
            <w:shd w:val="clear" w:color="auto" w:fill="auto"/>
            <w:noWrap/>
            <w:vAlign w:val="center"/>
          </w:tcPr>
          <w:p w14:paraId="6927B3FB"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1.85</w:t>
            </w:r>
          </w:p>
        </w:tc>
        <w:tc>
          <w:tcPr>
            <w:tcW w:w="685" w:type="dxa"/>
            <w:tcBorders>
              <w:bottom w:val="single" w:sz="4" w:space="0" w:color="auto"/>
            </w:tcBorders>
            <w:shd w:val="clear" w:color="auto" w:fill="auto"/>
            <w:noWrap/>
            <w:vAlign w:val="center"/>
          </w:tcPr>
          <w:p w14:paraId="33309E78"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0.41 (4%)</w:t>
            </w:r>
          </w:p>
        </w:tc>
        <w:tc>
          <w:tcPr>
            <w:tcW w:w="685" w:type="dxa"/>
            <w:tcBorders>
              <w:bottom w:val="single" w:sz="4" w:space="0" w:color="auto"/>
              <w:right w:val="single" w:sz="4" w:space="0" w:color="auto"/>
            </w:tcBorders>
            <w:shd w:val="clear" w:color="auto" w:fill="auto"/>
            <w:noWrap/>
            <w:vAlign w:val="center"/>
          </w:tcPr>
          <w:p w14:paraId="6B3C25DA"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0.22</w:t>
            </w:r>
          </w:p>
        </w:tc>
        <w:tc>
          <w:tcPr>
            <w:tcW w:w="685" w:type="dxa"/>
            <w:tcBorders>
              <w:left w:val="single" w:sz="4" w:space="0" w:color="auto"/>
              <w:bottom w:val="single" w:sz="4" w:space="0" w:color="auto"/>
            </w:tcBorders>
            <w:shd w:val="clear" w:color="auto" w:fill="auto"/>
            <w:noWrap/>
            <w:vAlign w:val="center"/>
          </w:tcPr>
          <w:p w14:paraId="7D85083D"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1.85</w:t>
            </w:r>
          </w:p>
        </w:tc>
        <w:tc>
          <w:tcPr>
            <w:tcW w:w="685" w:type="dxa"/>
            <w:tcBorders>
              <w:bottom w:val="single" w:sz="4" w:space="0" w:color="auto"/>
            </w:tcBorders>
            <w:shd w:val="clear" w:color="auto" w:fill="auto"/>
            <w:noWrap/>
            <w:vAlign w:val="center"/>
          </w:tcPr>
          <w:p w14:paraId="739A09AA"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0.41 (4%)</w:t>
            </w:r>
          </w:p>
        </w:tc>
        <w:tc>
          <w:tcPr>
            <w:tcW w:w="686" w:type="dxa"/>
            <w:tcBorders>
              <w:bottom w:val="single" w:sz="4" w:space="0" w:color="auto"/>
              <w:right w:val="single" w:sz="4" w:space="0" w:color="auto"/>
            </w:tcBorders>
            <w:shd w:val="clear" w:color="auto" w:fill="auto"/>
            <w:noWrap/>
            <w:vAlign w:val="center"/>
          </w:tcPr>
          <w:p w14:paraId="7771A22F"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0.22</w:t>
            </w:r>
          </w:p>
        </w:tc>
        <w:tc>
          <w:tcPr>
            <w:tcW w:w="709" w:type="dxa"/>
            <w:tcBorders>
              <w:left w:val="single" w:sz="4" w:space="0" w:color="auto"/>
              <w:bottom w:val="single" w:sz="4" w:space="0" w:color="auto"/>
            </w:tcBorders>
            <w:shd w:val="clear" w:color="auto" w:fill="auto"/>
            <w:noWrap/>
            <w:vAlign w:val="center"/>
          </w:tcPr>
          <w:p w14:paraId="5D67E6C6"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3.80</w:t>
            </w:r>
          </w:p>
        </w:tc>
        <w:tc>
          <w:tcPr>
            <w:tcW w:w="803" w:type="dxa"/>
            <w:tcBorders>
              <w:bottom w:val="single" w:sz="4" w:space="0" w:color="auto"/>
            </w:tcBorders>
            <w:shd w:val="clear" w:color="auto" w:fill="auto"/>
            <w:noWrap/>
            <w:vAlign w:val="center"/>
          </w:tcPr>
          <w:p w14:paraId="760D23F3"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1.28 (11%)</w:t>
            </w:r>
          </w:p>
        </w:tc>
        <w:tc>
          <w:tcPr>
            <w:tcW w:w="756" w:type="dxa"/>
            <w:tcBorders>
              <w:bottom w:val="single" w:sz="4" w:space="0" w:color="auto"/>
              <w:right w:val="single" w:sz="4" w:space="0" w:color="auto"/>
            </w:tcBorders>
            <w:shd w:val="clear" w:color="auto" w:fill="auto"/>
            <w:noWrap/>
            <w:vAlign w:val="center"/>
          </w:tcPr>
          <w:p w14:paraId="7129224D"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0.34</w:t>
            </w:r>
          </w:p>
        </w:tc>
        <w:tc>
          <w:tcPr>
            <w:tcW w:w="709" w:type="dxa"/>
            <w:tcBorders>
              <w:left w:val="single" w:sz="4" w:space="0" w:color="auto"/>
              <w:bottom w:val="single" w:sz="4" w:space="0" w:color="auto"/>
            </w:tcBorders>
            <w:shd w:val="clear" w:color="auto" w:fill="auto"/>
            <w:noWrap/>
            <w:vAlign w:val="center"/>
          </w:tcPr>
          <w:p w14:paraId="5215DC15"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3.94</w:t>
            </w:r>
          </w:p>
        </w:tc>
        <w:tc>
          <w:tcPr>
            <w:tcW w:w="803" w:type="dxa"/>
            <w:tcBorders>
              <w:bottom w:val="single" w:sz="4" w:space="0" w:color="auto"/>
            </w:tcBorders>
            <w:shd w:val="clear" w:color="auto" w:fill="auto"/>
            <w:noWrap/>
            <w:vAlign w:val="center"/>
          </w:tcPr>
          <w:p w14:paraId="2BA8F210"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1.50 (13%)</w:t>
            </w:r>
          </w:p>
        </w:tc>
        <w:tc>
          <w:tcPr>
            <w:tcW w:w="894" w:type="dxa"/>
            <w:tcBorders>
              <w:bottom w:val="single" w:sz="4" w:space="0" w:color="auto"/>
              <w:right w:val="single" w:sz="4" w:space="0" w:color="auto"/>
            </w:tcBorders>
            <w:shd w:val="clear" w:color="auto" w:fill="auto"/>
            <w:noWrap/>
            <w:vAlign w:val="center"/>
          </w:tcPr>
          <w:p w14:paraId="0B5B20E3"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0.38</w:t>
            </w:r>
          </w:p>
        </w:tc>
      </w:tr>
      <w:tr w:rsidR="00075B2B" w:rsidRPr="00EC4A07" w14:paraId="7ACF7F22" w14:textId="77777777" w:rsidTr="00075B2B">
        <w:trPr>
          <w:trHeight w:val="238"/>
        </w:trPr>
        <w:tc>
          <w:tcPr>
            <w:tcW w:w="568" w:type="dxa"/>
            <w:tcBorders>
              <w:top w:val="single" w:sz="4" w:space="0" w:color="auto"/>
              <w:left w:val="single" w:sz="4" w:space="0" w:color="auto"/>
              <w:right w:val="single" w:sz="4" w:space="0" w:color="auto"/>
            </w:tcBorders>
            <w:shd w:val="clear" w:color="auto" w:fill="auto"/>
            <w:vAlign w:val="center"/>
          </w:tcPr>
          <w:p w14:paraId="7E9326C9" w14:textId="77777777" w:rsidR="00075B2B" w:rsidRPr="00EC4A07" w:rsidRDefault="00075B2B" w:rsidP="00062BF6">
            <w:pPr>
              <w:jc w:val="center"/>
              <w:rPr>
                <w:rFonts w:eastAsia="Times New Roman"/>
                <w:color w:val="000000"/>
                <w:sz w:val="24"/>
                <w:szCs w:val="24"/>
                <w:lang w:eastAsia="fr-FR"/>
              </w:rPr>
            </w:pPr>
            <w:r w:rsidRPr="00EC4A07">
              <w:rPr>
                <w:rFonts w:eastAsia="Times New Roman"/>
                <w:color w:val="000000"/>
                <w:sz w:val="24"/>
                <w:szCs w:val="24"/>
                <w:lang w:eastAsia="fr-FR"/>
              </w:rPr>
              <w:t>2</w:t>
            </w:r>
          </w:p>
          <w:p w14:paraId="6E43DC23" w14:textId="77777777" w:rsidR="00075B2B" w:rsidRPr="00EC4A07" w:rsidRDefault="00075B2B" w:rsidP="00062BF6">
            <w:pPr>
              <w:jc w:val="center"/>
              <w:rPr>
                <w:rFonts w:eastAsia="Times New Roman"/>
                <w:color w:val="000000"/>
                <w:sz w:val="24"/>
                <w:szCs w:val="24"/>
                <w:lang w:eastAsia="fr-FR"/>
              </w:rPr>
            </w:pPr>
          </w:p>
        </w:tc>
        <w:tc>
          <w:tcPr>
            <w:tcW w:w="1275" w:type="dxa"/>
            <w:tcBorders>
              <w:top w:val="single" w:sz="4" w:space="0" w:color="auto"/>
              <w:left w:val="single" w:sz="4" w:space="0" w:color="auto"/>
              <w:right w:val="single" w:sz="4" w:space="0" w:color="auto"/>
            </w:tcBorders>
            <w:shd w:val="clear" w:color="auto" w:fill="auto"/>
            <w:noWrap/>
            <w:vAlign w:val="center"/>
          </w:tcPr>
          <w:p w14:paraId="3C6112F1" w14:textId="77777777" w:rsidR="00075B2B" w:rsidRPr="00EC4A07" w:rsidRDefault="00075B2B" w:rsidP="00062BF6">
            <w:pPr>
              <w:jc w:val="center"/>
              <w:rPr>
                <w:rFonts w:eastAsia="Times New Roman"/>
                <w:color w:val="000000" w:themeColor="text1"/>
                <w:sz w:val="24"/>
                <w:szCs w:val="24"/>
                <w:lang w:eastAsia="fr-FR"/>
              </w:rPr>
            </w:pPr>
          </w:p>
          <w:p w14:paraId="73207480"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Biomass</w:t>
            </w:r>
          </w:p>
          <w:p w14:paraId="3F22413F" w14:textId="77777777" w:rsidR="00075B2B" w:rsidRPr="00EC4A07" w:rsidRDefault="00075B2B" w:rsidP="00062BF6">
            <w:pPr>
              <w:jc w:val="center"/>
              <w:rPr>
                <w:rFonts w:eastAsia="Times New Roman"/>
                <w:color w:val="000000" w:themeColor="text1"/>
                <w:sz w:val="24"/>
                <w:szCs w:val="24"/>
                <w:lang w:eastAsia="fr-FR"/>
              </w:rPr>
            </w:pPr>
          </w:p>
        </w:tc>
        <w:tc>
          <w:tcPr>
            <w:tcW w:w="685" w:type="dxa"/>
            <w:tcBorders>
              <w:top w:val="single" w:sz="4" w:space="0" w:color="auto"/>
              <w:left w:val="single" w:sz="4" w:space="0" w:color="auto"/>
            </w:tcBorders>
            <w:shd w:val="clear" w:color="auto" w:fill="auto"/>
            <w:noWrap/>
            <w:vAlign w:val="center"/>
          </w:tcPr>
          <w:p w14:paraId="202DD359"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0.11</w:t>
            </w:r>
          </w:p>
        </w:tc>
        <w:tc>
          <w:tcPr>
            <w:tcW w:w="685" w:type="dxa"/>
            <w:tcBorders>
              <w:top w:val="single" w:sz="4" w:space="0" w:color="auto"/>
            </w:tcBorders>
            <w:shd w:val="clear" w:color="auto" w:fill="auto"/>
            <w:noWrap/>
            <w:vAlign w:val="center"/>
          </w:tcPr>
          <w:p w14:paraId="1911BF6C"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NS</w:t>
            </w:r>
          </w:p>
        </w:tc>
        <w:tc>
          <w:tcPr>
            <w:tcW w:w="685" w:type="dxa"/>
            <w:tcBorders>
              <w:top w:val="single" w:sz="4" w:space="0" w:color="auto"/>
              <w:right w:val="single" w:sz="4" w:space="0" w:color="auto"/>
            </w:tcBorders>
            <w:shd w:val="clear" w:color="auto" w:fill="auto"/>
            <w:noWrap/>
            <w:vAlign w:val="center"/>
          </w:tcPr>
          <w:p w14:paraId="58E94DA7"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N/A</w:t>
            </w:r>
          </w:p>
        </w:tc>
        <w:tc>
          <w:tcPr>
            <w:tcW w:w="685" w:type="dxa"/>
            <w:tcBorders>
              <w:top w:val="single" w:sz="4" w:space="0" w:color="auto"/>
              <w:left w:val="single" w:sz="4" w:space="0" w:color="auto"/>
            </w:tcBorders>
            <w:shd w:val="clear" w:color="auto" w:fill="auto"/>
            <w:noWrap/>
            <w:vAlign w:val="center"/>
          </w:tcPr>
          <w:p w14:paraId="0954DB16"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0.11</w:t>
            </w:r>
          </w:p>
        </w:tc>
        <w:tc>
          <w:tcPr>
            <w:tcW w:w="685" w:type="dxa"/>
            <w:tcBorders>
              <w:top w:val="single" w:sz="4" w:space="0" w:color="auto"/>
            </w:tcBorders>
            <w:shd w:val="clear" w:color="auto" w:fill="auto"/>
            <w:noWrap/>
            <w:vAlign w:val="center"/>
          </w:tcPr>
          <w:p w14:paraId="17657F2F"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NS</w:t>
            </w:r>
          </w:p>
        </w:tc>
        <w:tc>
          <w:tcPr>
            <w:tcW w:w="686" w:type="dxa"/>
            <w:tcBorders>
              <w:top w:val="single" w:sz="4" w:space="0" w:color="auto"/>
              <w:right w:val="single" w:sz="4" w:space="0" w:color="auto"/>
            </w:tcBorders>
            <w:shd w:val="clear" w:color="auto" w:fill="auto"/>
            <w:noWrap/>
            <w:vAlign w:val="center"/>
          </w:tcPr>
          <w:p w14:paraId="2BCCFDA6"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N/A</w:t>
            </w:r>
          </w:p>
        </w:tc>
        <w:tc>
          <w:tcPr>
            <w:tcW w:w="709" w:type="dxa"/>
            <w:tcBorders>
              <w:top w:val="single" w:sz="4" w:space="0" w:color="auto"/>
              <w:left w:val="single" w:sz="4" w:space="0" w:color="auto"/>
            </w:tcBorders>
            <w:shd w:val="clear" w:color="auto" w:fill="auto"/>
            <w:noWrap/>
            <w:vAlign w:val="center"/>
          </w:tcPr>
          <w:p w14:paraId="722B9F65"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0.24</w:t>
            </w:r>
          </w:p>
        </w:tc>
        <w:tc>
          <w:tcPr>
            <w:tcW w:w="803" w:type="dxa"/>
            <w:tcBorders>
              <w:top w:val="single" w:sz="4" w:space="0" w:color="auto"/>
            </w:tcBorders>
            <w:shd w:val="clear" w:color="auto" w:fill="auto"/>
            <w:noWrap/>
            <w:vAlign w:val="center"/>
          </w:tcPr>
          <w:p w14:paraId="0E8EDA95"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NS</w:t>
            </w:r>
          </w:p>
        </w:tc>
        <w:tc>
          <w:tcPr>
            <w:tcW w:w="756" w:type="dxa"/>
            <w:tcBorders>
              <w:top w:val="single" w:sz="4" w:space="0" w:color="auto"/>
              <w:right w:val="single" w:sz="4" w:space="0" w:color="auto"/>
            </w:tcBorders>
            <w:shd w:val="clear" w:color="auto" w:fill="auto"/>
            <w:noWrap/>
            <w:vAlign w:val="center"/>
          </w:tcPr>
          <w:p w14:paraId="19644765"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N/A</w:t>
            </w:r>
          </w:p>
        </w:tc>
        <w:tc>
          <w:tcPr>
            <w:tcW w:w="709" w:type="dxa"/>
            <w:tcBorders>
              <w:top w:val="single" w:sz="4" w:space="0" w:color="auto"/>
              <w:left w:val="single" w:sz="4" w:space="0" w:color="auto"/>
            </w:tcBorders>
            <w:shd w:val="clear" w:color="auto" w:fill="auto"/>
            <w:noWrap/>
            <w:vAlign w:val="center"/>
          </w:tcPr>
          <w:p w14:paraId="3713A92F"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0.23</w:t>
            </w:r>
          </w:p>
        </w:tc>
        <w:tc>
          <w:tcPr>
            <w:tcW w:w="803" w:type="dxa"/>
            <w:tcBorders>
              <w:top w:val="single" w:sz="4" w:space="0" w:color="auto"/>
            </w:tcBorders>
            <w:shd w:val="clear" w:color="auto" w:fill="auto"/>
            <w:noWrap/>
            <w:vAlign w:val="center"/>
          </w:tcPr>
          <w:p w14:paraId="084E5275"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NS</w:t>
            </w:r>
          </w:p>
        </w:tc>
        <w:tc>
          <w:tcPr>
            <w:tcW w:w="894" w:type="dxa"/>
            <w:tcBorders>
              <w:top w:val="single" w:sz="4" w:space="0" w:color="auto"/>
              <w:right w:val="single" w:sz="4" w:space="0" w:color="auto"/>
            </w:tcBorders>
            <w:shd w:val="clear" w:color="auto" w:fill="auto"/>
            <w:noWrap/>
            <w:vAlign w:val="center"/>
          </w:tcPr>
          <w:p w14:paraId="3FBE18F0"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N/A</w:t>
            </w:r>
          </w:p>
        </w:tc>
      </w:tr>
      <w:tr w:rsidR="00075B2B" w:rsidRPr="00EC4A07" w14:paraId="01EB882F" w14:textId="77777777" w:rsidTr="00075B2B">
        <w:trPr>
          <w:trHeight w:val="238"/>
        </w:trPr>
        <w:tc>
          <w:tcPr>
            <w:tcW w:w="568" w:type="dxa"/>
            <w:tcBorders>
              <w:left w:val="single" w:sz="4" w:space="0" w:color="auto"/>
              <w:right w:val="single" w:sz="4" w:space="0" w:color="auto"/>
            </w:tcBorders>
            <w:shd w:val="clear" w:color="auto" w:fill="auto"/>
            <w:vAlign w:val="center"/>
          </w:tcPr>
          <w:p w14:paraId="054D344A" w14:textId="77777777" w:rsidR="00075B2B" w:rsidRPr="00EC4A07" w:rsidRDefault="00075B2B" w:rsidP="00062BF6">
            <w:pPr>
              <w:jc w:val="center"/>
              <w:rPr>
                <w:rFonts w:eastAsia="Times New Roman"/>
                <w:color w:val="000000"/>
                <w:sz w:val="24"/>
                <w:szCs w:val="24"/>
                <w:lang w:eastAsia="fr-FR"/>
              </w:rPr>
            </w:pPr>
          </w:p>
        </w:tc>
        <w:tc>
          <w:tcPr>
            <w:tcW w:w="1275" w:type="dxa"/>
            <w:tcBorders>
              <w:left w:val="single" w:sz="4" w:space="0" w:color="auto"/>
              <w:right w:val="single" w:sz="4" w:space="0" w:color="auto"/>
            </w:tcBorders>
            <w:shd w:val="clear" w:color="auto" w:fill="auto"/>
            <w:noWrap/>
            <w:vAlign w:val="center"/>
          </w:tcPr>
          <w:p w14:paraId="7DDBB4F3" w14:textId="77777777" w:rsidR="00075B2B" w:rsidRPr="00EC4A07" w:rsidRDefault="00075B2B" w:rsidP="00062BF6">
            <w:pPr>
              <w:jc w:val="center"/>
              <w:rPr>
                <w:rFonts w:eastAsia="Times New Roman"/>
                <w:color w:val="000000" w:themeColor="text1"/>
                <w:sz w:val="24"/>
                <w:szCs w:val="24"/>
                <w:lang w:eastAsia="fr-FR"/>
              </w:rPr>
            </w:pPr>
          </w:p>
          <w:p w14:paraId="70B9C5B6"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Diameter</w:t>
            </w:r>
          </w:p>
          <w:p w14:paraId="21E2C5A3" w14:textId="77777777" w:rsidR="00075B2B" w:rsidRPr="00EC4A07" w:rsidRDefault="00075B2B" w:rsidP="00062BF6">
            <w:pPr>
              <w:jc w:val="center"/>
              <w:rPr>
                <w:rFonts w:eastAsia="Times New Roman"/>
                <w:color w:val="000000" w:themeColor="text1"/>
                <w:sz w:val="24"/>
                <w:szCs w:val="24"/>
                <w:lang w:eastAsia="fr-FR"/>
              </w:rPr>
            </w:pPr>
          </w:p>
        </w:tc>
        <w:tc>
          <w:tcPr>
            <w:tcW w:w="685" w:type="dxa"/>
            <w:tcBorders>
              <w:left w:val="single" w:sz="4" w:space="0" w:color="auto"/>
            </w:tcBorders>
            <w:shd w:val="clear" w:color="auto" w:fill="auto"/>
            <w:noWrap/>
            <w:vAlign w:val="center"/>
          </w:tcPr>
          <w:p w14:paraId="13C4D50F"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0.97</w:t>
            </w:r>
          </w:p>
        </w:tc>
        <w:tc>
          <w:tcPr>
            <w:tcW w:w="685" w:type="dxa"/>
            <w:shd w:val="clear" w:color="auto" w:fill="auto"/>
            <w:noWrap/>
            <w:vAlign w:val="center"/>
          </w:tcPr>
          <w:p w14:paraId="012E67EF"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0.55 (6%)</w:t>
            </w:r>
          </w:p>
        </w:tc>
        <w:tc>
          <w:tcPr>
            <w:tcW w:w="685" w:type="dxa"/>
            <w:tcBorders>
              <w:right w:val="single" w:sz="4" w:space="0" w:color="auto"/>
            </w:tcBorders>
            <w:shd w:val="clear" w:color="auto" w:fill="auto"/>
            <w:noWrap/>
            <w:vAlign w:val="center"/>
          </w:tcPr>
          <w:p w14:paraId="6C55FA3D"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0.57</w:t>
            </w:r>
          </w:p>
        </w:tc>
        <w:tc>
          <w:tcPr>
            <w:tcW w:w="685" w:type="dxa"/>
            <w:tcBorders>
              <w:left w:val="single" w:sz="4" w:space="0" w:color="auto"/>
            </w:tcBorders>
            <w:shd w:val="clear" w:color="auto" w:fill="auto"/>
            <w:noWrap/>
            <w:vAlign w:val="center"/>
          </w:tcPr>
          <w:p w14:paraId="396DDBC4"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1.69</w:t>
            </w:r>
          </w:p>
        </w:tc>
        <w:tc>
          <w:tcPr>
            <w:tcW w:w="685" w:type="dxa"/>
            <w:shd w:val="clear" w:color="auto" w:fill="auto"/>
            <w:noWrap/>
            <w:vAlign w:val="center"/>
          </w:tcPr>
          <w:p w14:paraId="4694B8E8"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0.72 (8%)</w:t>
            </w:r>
          </w:p>
        </w:tc>
        <w:tc>
          <w:tcPr>
            <w:tcW w:w="686" w:type="dxa"/>
            <w:tcBorders>
              <w:right w:val="single" w:sz="4" w:space="0" w:color="auto"/>
            </w:tcBorders>
            <w:shd w:val="clear" w:color="auto" w:fill="auto"/>
            <w:noWrap/>
            <w:vAlign w:val="center"/>
          </w:tcPr>
          <w:p w14:paraId="528679CA"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0.42</w:t>
            </w:r>
          </w:p>
        </w:tc>
        <w:tc>
          <w:tcPr>
            <w:tcW w:w="709" w:type="dxa"/>
            <w:tcBorders>
              <w:left w:val="single" w:sz="4" w:space="0" w:color="auto"/>
            </w:tcBorders>
            <w:shd w:val="clear" w:color="auto" w:fill="auto"/>
            <w:noWrap/>
            <w:vAlign w:val="center"/>
          </w:tcPr>
          <w:p w14:paraId="0BFB2E9A"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1.76</w:t>
            </w:r>
          </w:p>
        </w:tc>
        <w:tc>
          <w:tcPr>
            <w:tcW w:w="803" w:type="dxa"/>
            <w:shd w:val="clear" w:color="auto" w:fill="auto"/>
            <w:noWrap/>
            <w:vAlign w:val="center"/>
          </w:tcPr>
          <w:p w14:paraId="3E3772DB"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0.67 (8%)</w:t>
            </w:r>
          </w:p>
        </w:tc>
        <w:tc>
          <w:tcPr>
            <w:tcW w:w="756" w:type="dxa"/>
            <w:tcBorders>
              <w:right w:val="single" w:sz="4" w:space="0" w:color="auto"/>
            </w:tcBorders>
            <w:shd w:val="clear" w:color="auto" w:fill="auto"/>
            <w:noWrap/>
            <w:vAlign w:val="center"/>
          </w:tcPr>
          <w:p w14:paraId="703E1C23"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0.38</w:t>
            </w:r>
          </w:p>
        </w:tc>
        <w:tc>
          <w:tcPr>
            <w:tcW w:w="709" w:type="dxa"/>
            <w:tcBorders>
              <w:left w:val="single" w:sz="4" w:space="0" w:color="auto"/>
            </w:tcBorders>
            <w:shd w:val="clear" w:color="auto" w:fill="auto"/>
            <w:noWrap/>
            <w:vAlign w:val="center"/>
          </w:tcPr>
          <w:p w14:paraId="19CA7017"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3.90</w:t>
            </w:r>
          </w:p>
        </w:tc>
        <w:tc>
          <w:tcPr>
            <w:tcW w:w="803" w:type="dxa"/>
            <w:shd w:val="clear" w:color="auto" w:fill="auto"/>
            <w:noWrap/>
            <w:vAlign w:val="center"/>
          </w:tcPr>
          <w:p w14:paraId="063AE220"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1.13 (13%)</w:t>
            </w:r>
          </w:p>
        </w:tc>
        <w:tc>
          <w:tcPr>
            <w:tcW w:w="894" w:type="dxa"/>
            <w:tcBorders>
              <w:right w:val="single" w:sz="4" w:space="0" w:color="auto"/>
            </w:tcBorders>
            <w:shd w:val="clear" w:color="auto" w:fill="auto"/>
            <w:noWrap/>
            <w:vAlign w:val="center"/>
          </w:tcPr>
          <w:p w14:paraId="1C0188D8"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0.29</w:t>
            </w:r>
          </w:p>
        </w:tc>
      </w:tr>
      <w:tr w:rsidR="00075B2B" w:rsidRPr="00EC4A07" w14:paraId="0D4D51EC" w14:textId="77777777" w:rsidTr="00075B2B">
        <w:trPr>
          <w:trHeight w:val="238"/>
        </w:trPr>
        <w:tc>
          <w:tcPr>
            <w:tcW w:w="568" w:type="dxa"/>
            <w:tcBorders>
              <w:left w:val="single" w:sz="4" w:space="0" w:color="auto"/>
              <w:right w:val="single" w:sz="4" w:space="0" w:color="auto"/>
            </w:tcBorders>
            <w:shd w:val="clear" w:color="auto" w:fill="auto"/>
            <w:vAlign w:val="center"/>
          </w:tcPr>
          <w:p w14:paraId="43D43204" w14:textId="77777777" w:rsidR="00075B2B" w:rsidRPr="00EC4A07" w:rsidRDefault="00075B2B" w:rsidP="00062BF6">
            <w:pPr>
              <w:jc w:val="center"/>
              <w:rPr>
                <w:rFonts w:eastAsia="Times New Roman"/>
                <w:color w:val="000000"/>
                <w:sz w:val="24"/>
                <w:szCs w:val="24"/>
                <w:lang w:eastAsia="fr-FR"/>
              </w:rPr>
            </w:pPr>
          </w:p>
        </w:tc>
        <w:tc>
          <w:tcPr>
            <w:tcW w:w="1275" w:type="dxa"/>
            <w:tcBorders>
              <w:left w:val="single" w:sz="4" w:space="0" w:color="auto"/>
              <w:right w:val="single" w:sz="4" w:space="0" w:color="auto"/>
            </w:tcBorders>
            <w:shd w:val="clear" w:color="auto" w:fill="auto"/>
            <w:noWrap/>
            <w:vAlign w:val="center"/>
          </w:tcPr>
          <w:p w14:paraId="3E8F8D1C" w14:textId="77777777" w:rsidR="00075B2B" w:rsidRPr="00EC4A07" w:rsidRDefault="00075B2B" w:rsidP="00062BF6">
            <w:pPr>
              <w:jc w:val="center"/>
              <w:rPr>
                <w:rFonts w:eastAsia="Times New Roman"/>
                <w:color w:val="000000" w:themeColor="text1"/>
                <w:sz w:val="24"/>
                <w:szCs w:val="24"/>
                <w:lang w:eastAsia="fr-FR"/>
              </w:rPr>
            </w:pPr>
          </w:p>
          <w:p w14:paraId="24254ADB"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Flowering time</w:t>
            </w:r>
          </w:p>
          <w:p w14:paraId="45B58BAD" w14:textId="77777777" w:rsidR="00075B2B" w:rsidRPr="00EC4A07" w:rsidRDefault="00075B2B" w:rsidP="00062BF6">
            <w:pPr>
              <w:jc w:val="center"/>
              <w:rPr>
                <w:rFonts w:eastAsia="Times New Roman"/>
                <w:color w:val="000000" w:themeColor="text1"/>
                <w:sz w:val="24"/>
                <w:szCs w:val="24"/>
                <w:lang w:eastAsia="fr-FR"/>
              </w:rPr>
            </w:pPr>
          </w:p>
        </w:tc>
        <w:tc>
          <w:tcPr>
            <w:tcW w:w="685" w:type="dxa"/>
            <w:tcBorders>
              <w:left w:val="single" w:sz="4" w:space="0" w:color="auto"/>
            </w:tcBorders>
            <w:shd w:val="clear" w:color="auto" w:fill="auto"/>
            <w:noWrap/>
            <w:vAlign w:val="center"/>
          </w:tcPr>
          <w:p w14:paraId="60BC36B3"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1.63</w:t>
            </w:r>
          </w:p>
        </w:tc>
        <w:tc>
          <w:tcPr>
            <w:tcW w:w="685" w:type="dxa"/>
            <w:shd w:val="clear" w:color="auto" w:fill="auto"/>
            <w:noWrap/>
            <w:vAlign w:val="center"/>
          </w:tcPr>
          <w:p w14:paraId="2F8B5C7A"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NS</w:t>
            </w:r>
          </w:p>
        </w:tc>
        <w:tc>
          <w:tcPr>
            <w:tcW w:w="685" w:type="dxa"/>
            <w:tcBorders>
              <w:right w:val="single" w:sz="4" w:space="0" w:color="auto"/>
            </w:tcBorders>
            <w:shd w:val="clear" w:color="auto" w:fill="auto"/>
            <w:noWrap/>
            <w:vAlign w:val="center"/>
          </w:tcPr>
          <w:p w14:paraId="106779EF"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N/A</w:t>
            </w:r>
          </w:p>
        </w:tc>
        <w:tc>
          <w:tcPr>
            <w:tcW w:w="685" w:type="dxa"/>
            <w:tcBorders>
              <w:left w:val="single" w:sz="4" w:space="0" w:color="auto"/>
            </w:tcBorders>
            <w:shd w:val="clear" w:color="auto" w:fill="auto"/>
            <w:noWrap/>
            <w:vAlign w:val="center"/>
          </w:tcPr>
          <w:p w14:paraId="6CBD6F7B"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1.72</w:t>
            </w:r>
          </w:p>
        </w:tc>
        <w:tc>
          <w:tcPr>
            <w:tcW w:w="685" w:type="dxa"/>
            <w:shd w:val="clear" w:color="auto" w:fill="auto"/>
            <w:noWrap/>
            <w:vAlign w:val="center"/>
          </w:tcPr>
          <w:p w14:paraId="3A6AC196"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NS</w:t>
            </w:r>
          </w:p>
        </w:tc>
        <w:tc>
          <w:tcPr>
            <w:tcW w:w="686" w:type="dxa"/>
            <w:tcBorders>
              <w:right w:val="single" w:sz="4" w:space="0" w:color="auto"/>
            </w:tcBorders>
            <w:shd w:val="clear" w:color="auto" w:fill="auto"/>
            <w:noWrap/>
            <w:vAlign w:val="center"/>
          </w:tcPr>
          <w:p w14:paraId="2C9173BB"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N/A</w:t>
            </w:r>
          </w:p>
        </w:tc>
        <w:tc>
          <w:tcPr>
            <w:tcW w:w="709" w:type="dxa"/>
            <w:tcBorders>
              <w:left w:val="single" w:sz="4" w:space="0" w:color="auto"/>
            </w:tcBorders>
            <w:shd w:val="clear" w:color="auto" w:fill="auto"/>
            <w:noWrap/>
            <w:vAlign w:val="center"/>
          </w:tcPr>
          <w:p w14:paraId="63119769"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2.77</w:t>
            </w:r>
          </w:p>
        </w:tc>
        <w:tc>
          <w:tcPr>
            <w:tcW w:w="803" w:type="dxa"/>
            <w:shd w:val="clear" w:color="auto" w:fill="auto"/>
            <w:noWrap/>
            <w:vAlign w:val="center"/>
          </w:tcPr>
          <w:p w14:paraId="34EA861D"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0.87 (3%)</w:t>
            </w:r>
          </w:p>
        </w:tc>
        <w:tc>
          <w:tcPr>
            <w:tcW w:w="756" w:type="dxa"/>
            <w:tcBorders>
              <w:right w:val="single" w:sz="4" w:space="0" w:color="auto"/>
            </w:tcBorders>
            <w:shd w:val="clear" w:color="auto" w:fill="auto"/>
            <w:noWrap/>
            <w:vAlign w:val="center"/>
          </w:tcPr>
          <w:p w14:paraId="2427E0C0"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0.31</w:t>
            </w:r>
          </w:p>
        </w:tc>
        <w:tc>
          <w:tcPr>
            <w:tcW w:w="709" w:type="dxa"/>
            <w:tcBorders>
              <w:left w:val="single" w:sz="4" w:space="0" w:color="auto"/>
            </w:tcBorders>
            <w:shd w:val="clear" w:color="auto" w:fill="auto"/>
            <w:noWrap/>
            <w:vAlign w:val="center"/>
          </w:tcPr>
          <w:p w14:paraId="28E5F3E7"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4.88</w:t>
            </w:r>
          </w:p>
        </w:tc>
        <w:tc>
          <w:tcPr>
            <w:tcW w:w="803" w:type="dxa"/>
            <w:shd w:val="clear" w:color="auto" w:fill="auto"/>
            <w:noWrap/>
            <w:vAlign w:val="center"/>
          </w:tcPr>
          <w:p w14:paraId="18CAA9B4"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0.62 (2%)</w:t>
            </w:r>
          </w:p>
        </w:tc>
        <w:tc>
          <w:tcPr>
            <w:tcW w:w="894" w:type="dxa"/>
            <w:tcBorders>
              <w:right w:val="single" w:sz="4" w:space="0" w:color="auto"/>
            </w:tcBorders>
            <w:shd w:val="clear" w:color="auto" w:fill="auto"/>
            <w:noWrap/>
            <w:vAlign w:val="center"/>
          </w:tcPr>
          <w:p w14:paraId="31DD2E7D"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0.13</w:t>
            </w:r>
          </w:p>
        </w:tc>
      </w:tr>
      <w:tr w:rsidR="00075B2B" w:rsidRPr="00EC4A07" w14:paraId="31FBA499" w14:textId="77777777" w:rsidTr="00075B2B">
        <w:trPr>
          <w:trHeight w:val="238"/>
        </w:trPr>
        <w:tc>
          <w:tcPr>
            <w:tcW w:w="568" w:type="dxa"/>
            <w:tcBorders>
              <w:left w:val="single" w:sz="4" w:space="0" w:color="auto"/>
              <w:bottom w:val="single" w:sz="4" w:space="0" w:color="auto"/>
              <w:right w:val="single" w:sz="4" w:space="0" w:color="auto"/>
            </w:tcBorders>
            <w:shd w:val="clear" w:color="auto" w:fill="auto"/>
            <w:vAlign w:val="center"/>
          </w:tcPr>
          <w:p w14:paraId="6A4C7C69" w14:textId="77777777" w:rsidR="00075B2B" w:rsidRPr="00EC4A07" w:rsidRDefault="00075B2B" w:rsidP="00062BF6">
            <w:pPr>
              <w:jc w:val="center"/>
              <w:rPr>
                <w:rFonts w:eastAsia="Times New Roman"/>
                <w:color w:val="000000"/>
                <w:sz w:val="24"/>
                <w:szCs w:val="24"/>
                <w:lang w:eastAsia="fr-FR"/>
              </w:rPr>
            </w:pPr>
          </w:p>
        </w:tc>
        <w:tc>
          <w:tcPr>
            <w:tcW w:w="1275" w:type="dxa"/>
            <w:tcBorders>
              <w:left w:val="single" w:sz="4" w:space="0" w:color="auto"/>
              <w:bottom w:val="single" w:sz="4" w:space="0" w:color="auto"/>
              <w:right w:val="single" w:sz="4" w:space="0" w:color="auto"/>
            </w:tcBorders>
            <w:shd w:val="clear" w:color="auto" w:fill="auto"/>
            <w:noWrap/>
            <w:vAlign w:val="center"/>
          </w:tcPr>
          <w:p w14:paraId="134DB265" w14:textId="77777777" w:rsidR="00075B2B" w:rsidRPr="00EC4A07" w:rsidRDefault="00075B2B" w:rsidP="00062BF6">
            <w:pPr>
              <w:jc w:val="center"/>
              <w:rPr>
                <w:rFonts w:eastAsia="Times New Roman"/>
                <w:color w:val="000000" w:themeColor="text1"/>
                <w:sz w:val="24"/>
                <w:szCs w:val="24"/>
                <w:lang w:eastAsia="fr-FR"/>
              </w:rPr>
            </w:pPr>
          </w:p>
          <w:p w14:paraId="26C195E6"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Height</w:t>
            </w:r>
          </w:p>
          <w:p w14:paraId="6BA05DC9" w14:textId="77777777" w:rsidR="00075B2B" w:rsidRPr="00EC4A07" w:rsidRDefault="00075B2B" w:rsidP="00062BF6">
            <w:pPr>
              <w:jc w:val="center"/>
              <w:rPr>
                <w:rFonts w:eastAsia="Times New Roman"/>
                <w:color w:val="000000" w:themeColor="text1"/>
                <w:sz w:val="24"/>
                <w:szCs w:val="24"/>
                <w:lang w:eastAsia="fr-FR"/>
              </w:rPr>
            </w:pPr>
          </w:p>
        </w:tc>
        <w:tc>
          <w:tcPr>
            <w:tcW w:w="685" w:type="dxa"/>
            <w:tcBorders>
              <w:left w:val="single" w:sz="4" w:space="0" w:color="auto"/>
              <w:bottom w:val="single" w:sz="4" w:space="0" w:color="auto"/>
            </w:tcBorders>
            <w:shd w:val="clear" w:color="auto" w:fill="auto"/>
            <w:noWrap/>
            <w:vAlign w:val="center"/>
          </w:tcPr>
          <w:p w14:paraId="023AE1EF"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2.11</w:t>
            </w:r>
          </w:p>
        </w:tc>
        <w:tc>
          <w:tcPr>
            <w:tcW w:w="685" w:type="dxa"/>
            <w:tcBorders>
              <w:bottom w:val="single" w:sz="4" w:space="0" w:color="auto"/>
            </w:tcBorders>
            <w:shd w:val="clear" w:color="auto" w:fill="auto"/>
            <w:noWrap/>
            <w:vAlign w:val="center"/>
          </w:tcPr>
          <w:p w14:paraId="27FA2F52"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0.99 (8%)</w:t>
            </w:r>
          </w:p>
        </w:tc>
        <w:tc>
          <w:tcPr>
            <w:tcW w:w="685" w:type="dxa"/>
            <w:tcBorders>
              <w:bottom w:val="single" w:sz="4" w:space="0" w:color="auto"/>
              <w:right w:val="single" w:sz="4" w:space="0" w:color="auto"/>
            </w:tcBorders>
            <w:shd w:val="clear" w:color="auto" w:fill="auto"/>
            <w:noWrap/>
            <w:vAlign w:val="center"/>
          </w:tcPr>
          <w:p w14:paraId="43F617AF"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0.47</w:t>
            </w:r>
          </w:p>
        </w:tc>
        <w:tc>
          <w:tcPr>
            <w:tcW w:w="685" w:type="dxa"/>
            <w:tcBorders>
              <w:left w:val="single" w:sz="4" w:space="0" w:color="auto"/>
              <w:bottom w:val="single" w:sz="4" w:space="0" w:color="auto"/>
            </w:tcBorders>
            <w:shd w:val="clear" w:color="auto" w:fill="auto"/>
            <w:noWrap/>
            <w:vAlign w:val="center"/>
          </w:tcPr>
          <w:p w14:paraId="52F77C93"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1.91</w:t>
            </w:r>
          </w:p>
        </w:tc>
        <w:tc>
          <w:tcPr>
            <w:tcW w:w="685" w:type="dxa"/>
            <w:tcBorders>
              <w:bottom w:val="single" w:sz="4" w:space="0" w:color="auto"/>
            </w:tcBorders>
            <w:shd w:val="clear" w:color="auto" w:fill="auto"/>
            <w:noWrap/>
            <w:vAlign w:val="center"/>
          </w:tcPr>
          <w:p w14:paraId="7B72F1BC"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0.90 (7%)</w:t>
            </w:r>
          </w:p>
        </w:tc>
        <w:tc>
          <w:tcPr>
            <w:tcW w:w="686" w:type="dxa"/>
            <w:tcBorders>
              <w:bottom w:val="single" w:sz="4" w:space="0" w:color="auto"/>
              <w:right w:val="single" w:sz="4" w:space="0" w:color="auto"/>
            </w:tcBorders>
            <w:shd w:val="clear" w:color="auto" w:fill="auto"/>
            <w:noWrap/>
            <w:vAlign w:val="center"/>
          </w:tcPr>
          <w:p w14:paraId="03B0AD71"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0.47</w:t>
            </w:r>
          </w:p>
        </w:tc>
        <w:tc>
          <w:tcPr>
            <w:tcW w:w="709" w:type="dxa"/>
            <w:tcBorders>
              <w:left w:val="single" w:sz="4" w:space="0" w:color="auto"/>
              <w:bottom w:val="single" w:sz="4" w:space="0" w:color="auto"/>
            </w:tcBorders>
            <w:shd w:val="clear" w:color="auto" w:fill="auto"/>
            <w:noWrap/>
            <w:vAlign w:val="center"/>
          </w:tcPr>
          <w:p w14:paraId="2BFA6A25"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4.05</w:t>
            </w:r>
          </w:p>
        </w:tc>
        <w:tc>
          <w:tcPr>
            <w:tcW w:w="803" w:type="dxa"/>
            <w:tcBorders>
              <w:bottom w:val="single" w:sz="4" w:space="0" w:color="auto"/>
            </w:tcBorders>
            <w:shd w:val="clear" w:color="auto" w:fill="auto"/>
            <w:noWrap/>
            <w:vAlign w:val="center"/>
          </w:tcPr>
          <w:p w14:paraId="40C6D9B8"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2.04 (16%)</w:t>
            </w:r>
          </w:p>
        </w:tc>
        <w:tc>
          <w:tcPr>
            <w:tcW w:w="756" w:type="dxa"/>
            <w:tcBorders>
              <w:bottom w:val="single" w:sz="4" w:space="0" w:color="auto"/>
              <w:right w:val="single" w:sz="4" w:space="0" w:color="auto"/>
            </w:tcBorders>
            <w:shd w:val="clear" w:color="auto" w:fill="auto"/>
            <w:noWrap/>
            <w:vAlign w:val="center"/>
          </w:tcPr>
          <w:p w14:paraId="279B3E3D"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0.50</w:t>
            </w:r>
          </w:p>
        </w:tc>
        <w:tc>
          <w:tcPr>
            <w:tcW w:w="709" w:type="dxa"/>
            <w:tcBorders>
              <w:left w:val="single" w:sz="4" w:space="0" w:color="auto"/>
              <w:bottom w:val="single" w:sz="4" w:space="0" w:color="auto"/>
            </w:tcBorders>
            <w:shd w:val="clear" w:color="auto" w:fill="auto"/>
            <w:noWrap/>
            <w:vAlign w:val="center"/>
          </w:tcPr>
          <w:p w14:paraId="09AF6E33"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4.60</w:t>
            </w:r>
          </w:p>
        </w:tc>
        <w:tc>
          <w:tcPr>
            <w:tcW w:w="803" w:type="dxa"/>
            <w:tcBorders>
              <w:bottom w:val="single" w:sz="4" w:space="0" w:color="auto"/>
            </w:tcBorders>
            <w:shd w:val="clear" w:color="auto" w:fill="auto"/>
            <w:noWrap/>
            <w:vAlign w:val="center"/>
          </w:tcPr>
          <w:p w14:paraId="2A234B4F"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1.47 (11%)</w:t>
            </w:r>
          </w:p>
        </w:tc>
        <w:tc>
          <w:tcPr>
            <w:tcW w:w="894" w:type="dxa"/>
            <w:tcBorders>
              <w:bottom w:val="single" w:sz="4" w:space="0" w:color="auto"/>
              <w:right w:val="single" w:sz="4" w:space="0" w:color="auto"/>
            </w:tcBorders>
            <w:shd w:val="clear" w:color="auto" w:fill="auto"/>
            <w:noWrap/>
            <w:vAlign w:val="center"/>
          </w:tcPr>
          <w:p w14:paraId="270CD2B1" w14:textId="77777777" w:rsidR="00075B2B" w:rsidRPr="00EC4A07" w:rsidRDefault="00075B2B" w:rsidP="00062BF6">
            <w:pPr>
              <w:jc w:val="center"/>
              <w:rPr>
                <w:rFonts w:eastAsia="Times New Roman"/>
                <w:color w:val="000000" w:themeColor="text1"/>
                <w:sz w:val="24"/>
                <w:szCs w:val="24"/>
                <w:lang w:eastAsia="fr-FR"/>
              </w:rPr>
            </w:pPr>
            <w:r w:rsidRPr="00EC4A07">
              <w:rPr>
                <w:rFonts w:eastAsia="Times New Roman"/>
                <w:color w:val="000000" w:themeColor="text1"/>
                <w:sz w:val="24"/>
                <w:szCs w:val="24"/>
                <w:lang w:eastAsia="fr-FR"/>
              </w:rPr>
              <w:t>0.32</w:t>
            </w:r>
          </w:p>
        </w:tc>
      </w:tr>
    </w:tbl>
    <w:p w14:paraId="6DED9CF2" w14:textId="5B06BD63" w:rsidR="00A16C38" w:rsidRPr="00075B2B" w:rsidRDefault="00A16C38" w:rsidP="00AC2069">
      <w:pPr>
        <w:pStyle w:val="SOMHead"/>
        <w:spacing w:before="0"/>
        <w:rPr>
          <w:b w:val="0"/>
        </w:rPr>
      </w:pPr>
    </w:p>
    <w:p w14:paraId="59F9BBB7" w14:textId="034CC1AA" w:rsidR="00A320EB" w:rsidRDefault="00A320EB" w:rsidP="00AC2069">
      <w:pPr>
        <w:pStyle w:val="SOMContent"/>
        <w:spacing w:before="0"/>
        <w:ind w:left="720"/>
      </w:pPr>
    </w:p>
    <w:sectPr w:rsidR="00A320EB" w:rsidSect="00AC2069">
      <w:footerReference w:type="default" r:id="rId16"/>
      <w:headerReference w:type="first" r:id="rId17"/>
      <w:footerReference w:type="first" r:id="rId18"/>
      <w:pgSz w:w="12240" w:h="15840"/>
      <w:pgMar w:top="994" w:right="1987" w:bottom="806" w:left="806" w:header="432" w:footer="259" w:gutter="0"/>
      <w:lnNumType w:countBy="1" w:restart="continuous"/>
      <w:cols w:space="720"/>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760018C" w14:textId="77777777" w:rsidR="007B11A4" w:rsidRDefault="007B11A4" w:rsidP="004A10BE">
      <w:r>
        <w:separator/>
      </w:r>
    </w:p>
  </w:endnote>
  <w:endnote w:type="continuationSeparator" w:id="0">
    <w:p w14:paraId="6FFFD725" w14:textId="77777777" w:rsidR="007B11A4" w:rsidRDefault="007B11A4" w:rsidP="004A10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Lucida Grande">
    <w:altName w:val="Courier New"/>
    <w:charset w:val="00"/>
    <w:family w:val="auto"/>
    <w:pitch w:val="variable"/>
    <w:sig w:usb0="E1000AEF" w:usb1="5000A1FF" w:usb2="00000000" w:usb3="00000000" w:csb0="000001BF" w:csb1="00000000"/>
  </w:font>
  <w:font w:name="Cambria">
    <w:panose1 w:val="02040503050406030204"/>
    <w:charset w:val="00"/>
    <w:family w:val="roman"/>
    <w:pitch w:val="variable"/>
    <w:sig w:usb0="E00006FF" w:usb1="420024FF" w:usb2="02000000" w:usb3="00000000" w:csb0="0000019F" w:csb1="00000000"/>
  </w:font>
  <w:font w:name="Consolas">
    <w:panose1 w:val="020B0609020204030204"/>
    <w:charset w:val="00"/>
    <w:family w:val="modern"/>
    <w:pitch w:val="fixed"/>
    <w:sig w:usb0="E00006FF" w:usb1="0000FCFF" w:usb2="00000001" w:usb3="00000000" w:csb0="0000019F" w:csb1="00000000"/>
  </w:font>
  <w:font w:name="BlissRegular">
    <w:altName w:val="Cambria"/>
    <w:panose1 w:val="00000000000000000000"/>
    <w:charset w:val="00"/>
    <w:family w:val="roman"/>
    <w:notTrueType/>
    <w:pitch w:val="variable"/>
    <w:sig w:usb0="00000003" w:usb1="00000000" w:usb2="00000000" w:usb3="00000000" w:csb0="00000001" w:csb1="00000000"/>
  </w:font>
  <w:font w:name="BlissMedium">
    <w:altName w:val="Cambria"/>
    <w:panose1 w:val="00000000000000000000"/>
    <w:charset w:val="00"/>
    <w:family w:val="roman"/>
    <w:notTrueType/>
    <w:pitch w:val="variable"/>
    <w:sig w:usb0="00000003" w:usb1="00000000" w:usb2="00000000" w:usb3="00000000" w:csb0="00000001" w:csb1="00000000"/>
  </w:font>
  <w:font w:name="BlissBold">
    <w:panose1 w:val="00000000000000000000"/>
    <w:charset w:val="00"/>
    <w:family w:val="roman"/>
    <w:notTrueType/>
    <w:pitch w:val="variable"/>
    <w:sig w:usb0="00000003" w:usb1="00000000" w:usb2="00000000" w:usb3="00000000" w:csb0="00000001" w:csb1="00000000"/>
  </w:font>
  <w:font w:name="Times">
    <w:altName w:val="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B1085BB" w14:textId="224AFA63" w:rsidR="004617F6" w:rsidRPr="007807CF" w:rsidRDefault="007807CF" w:rsidP="00B547A9">
    <w:pPr>
      <w:pStyle w:val="Pieddepage"/>
      <w:pBdr>
        <w:top w:val="single" w:sz="4" w:space="1" w:color="auto"/>
      </w:pBdr>
      <w:rPr>
        <w:sz w:val="18"/>
        <w:szCs w:val="18"/>
        <w:lang w:val="fr-FR"/>
      </w:rPr>
    </w:pPr>
    <w:r w:rsidRPr="007807CF">
      <w:rPr>
        <w:sz w:val="18"/>
        <w:szCs w:val="18"/>
        <w:lang w:val="fr-FR"/>
      </w:rPr>
      <w:t>Pujol et al.</w:t>
    </w:r>
    <w:r w:rsidR="004617F6" w:rsidRPr="007807CF">
      <w:rPr>
        <w:sz w:val="18"/>
        <w:szCs w:val="18"/>
        <w:lang w:val="fr-FR"/>
      </w:rPr>
      <w:t xml:space="preserve">                                               </w:t>
    </w:r>
    <w:r>
      <w:rPr>
        <w:sz w:val="18"/>
        <w:szCs w:val="18"/>
        <w:lang w:val="fr-FR"/>
      </w:rPr>
      <w:t xml:space="preserve">                                                </w:t>
    </w:r>
    <w:r w:rsidR="004617F6" w:rsidRPr="007807CF">
      <w:rPr>
        <w:sz w:val="18"/>
        <w:szCs w:val="18"/>
        <w:lang w:val="fr-FR"/>
      </w:rPr>
      <w:t xml:space="preserve">                                                                           Page </w:t>
    </w:r>
    <w:r w:rsidR="004617F6" w:rsidRPr="004021D9">
      <w:rPr>
        <w:b/>
        <w:bCs/>
        <w:sz w:val="18"/>
        <w:szCs w:val="18"/>
      </w:rPr>
      <w:fldChar w:fldCharType="begin"/>
    </w:r>
    <w:r w:rsidR="004617F6" w:rsidRPr="007807CF">
      <w:rPr>
        <w:b/>
        <w:bCs/>
        <w:sz w:val="18"/>
        <w:szCs w:val="18"/>
        <w:lang w:val="fr-FR"/>
      </w:rPr>
      <w:instrText xml:space="preserve"> PAGE </w:instrText>
    </w:r>
    <w:r w:rsidR="004617F6" w:rsidRPr="004021D9">
      <w:rPr>
        <w:b/>
        <w:bCs/>
        <w:sz w:val="18"/>
        <w:szCs w:val="18"/>
      </w:rPr>
      <w:fldChar w:fldCharType="separate"/>
    </w:r>
    <w:r w:rsidR="00C669F9">
      <w:rPr>
        <w:b/>
        <w:bCs/>
        <w:noProof/>
        <w:sz w:val="18"/>
        <w:szCs w:val="18"/>
        <w:lang w:val="fr-FR"/>
      </w:rPr>
      <w:t>2</w:t>
    </w:r>
    <w:r w:rsidR="004617F6" w:rsidRPr="004021D9">
      <w:rPr>
        <w:b/>
        <w:bCs/>
        <w:sz w:val="18"/>
        <w:szCs w:val="18"/>
      </w:rPr>
      <w:fldChar w:fldCharType="end"/>
    </w:r>
    <w:r w:rsidR="004617F6" w:rsidRPr="007807CF">
      <w:rPr>
        <w:sz w:val="18"/>
        <w:szCs w:val="18"/>
        <w:lang w:val="fr-FR"/>
      </w:rPr>
      <w:t xml:space="preserve"> of </w:t>
    </w:r>
    <w:r w:rsidR="004617F6" w:rsidRPr="004021D9">
      <w:rPr>
        <w:b/>
        <w:bCs/>
        <w:sz w:val="18"/>
        <w:szCs w:val="18"/>
      </w:rPr>
      <w:fldChar w:fldCharType="begin"/>
    </w:r>
    <w:r w:rsidR="004617F6" w:rsidRPr="007807CF">
      <w:rPr>
        <w:b/>
        <w:bCs/>
        <w:sz w:val="18"/>
        <w:szCs w:val="18"/>
        <w:lang w:val="fr-FR"/>
      </w:rPr>
      <w:instrText xml:space="preserve"> NUMPAGES  </w:instrText>
    </w:r>
    <w:r w:rsidR="004617F6" w:rsidRPr="004021D9">
      <w:rPr>
        <w:b/>
        <w:bCs/>
        <w:sz w:val="18"/>
        <w:szCs w:val="18"/>
      </w:rPr>
      <w:fldChar w:fldCharType="separate"/>
    </w:r>
    <w:r w:rsidR="00C669F9">
      <w:rPr>
        <w:b/>
        <w:bCs/>
        <w:noProof/>
        <w:sz w:val="18"/>
        <w:szCs w:val="18"/>
        <w:lang w:val="fr-FR"/>
      </w:rPr>
      <w:t>25</w:t>
    </w:r>
    <w:r w:rsidR="004617F6" w:rsidRPr="004021D9">
      <w:rPr>
        <w:b/>
        <w:bCs/>
        <w:sz w:val="18"/>
        <w:szCs w:val="18"/>
      </w:rPr>
      <w:fldChar w:fldCharType="end"/>
    </w:r>
  </w:p>
  <w:p w14:paraId="43E75FAE" w14:textId="77777777" w:rsidR="004617F6" w:rsidRPr="007807CF" w:rsidRDefault="004617F6" w:rsidP="00B547A9">
    <w:pPr>
      <w:pStyle w:val="Pieddepage"/>
      <w:rPr>
        <w:lang w:val="fr-FR"/>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AADCF2" w14:textId="21677A2B" w:rsidR="007807CF" w:rsidRPr="007807CF" w:rsidRDefault="007807CF" w:rsidP="007807CF">
    <w:pPr>
      <w:pStyle w:val="Pieddepage"/>
      <w:pBdr>
        <w:top w:val="single" w:sz="4" w:space="1" w:color="auto"/>
      </w:pBdr>
      <w:rPr>
        <w:sz w:val="18"/>
        <w:szCs w:val="18"/>
        <w:lang w:val="fr-FR"/>
      </w:rPr>
    </w:pPr>
    <w:r w:rsidRPr="007807CF">
      <w:rPr>
        <w:sz w:val="18"/>
        <w:szCs w:val="18"/>
        <w:lang w:val="fr-FR"/>
      </w:rPr>
      <w:t xml:space="preserve">Pujol et al.                                               </w:t>
    </w:r>
    <w:r>
      <w:rPr>
        <w:sz w:val="18"/>
        <w:szCs w:val="18"/>
        <w:lang w:val="fr-FR"/>
      </w:rPr>
      <w:t xml:space="preserve">                                                   </w:t>
    </w:r>
    <w:r w:rsidRPr="007807CF">
      <w:rPr>
        <w:sz w:val="18"/>
        <w:szCs w:val="18"/>
        <w:lang w:val="fr-FR"/>
      </w:rPr>
      <w:t xml:space="preserve">                                   </w:t>
    </w:r>
    <w:r>
      <w:rPr>
        <w:sz w:val="18"/>
        <w:szCs w:val="18"/>
        <w:lang w:val="fr-FR"/>
      </w:rPr>
      <w:t xml:space="preserve">          </w:t>
    </w:r>
    <w:r w:rsidRPr="007807CF">
      <w:rPr>
        <w:sz w:val="18"/>
        <w:szCs w:val="18"/>
        <w:lang w:val="fr-FR"/>
      </w:rPr>
      <w:t xml:space="preserve">                             Page </w:t>
    </w:r>
    <w:r w:rsidRPr="004021D9">
      <w:rPr>
        <w:b/>
        <w:bCs/>
        <w:sz w:val="18"/>
        <w:szCs w:val="18"/>
      </w:rPr>
      <w:fldChar w:fldCharType="begin"/>
    </w:r>
    <w:r w:rsidRPr="007807CF">
      <w:rPr>
        <w:b/>
        <w:bCs/>
        <w:sz w:val="18"/>
        <w:szCs w:val="18"/>
        <w:lang w:val="fr-FR"/>
      </w:rPr>
      <w:instrText xml:space="preserve"> PAGE </w:instrText>
    </w:r>
    <w:r w:rsidRPr="004021D9">
      <w:rPr>
        <w:b/>
        <w:bCs/>
        <w:sz w:val="18"/>
        <w:szCs w:val="18"/>
      </w:rPr>
      <w:fldChar w:fldCharType="separate"/>
    </w:r>
    <w:r w:rsidR="00C669F9">
      <w:rPr>
        <w:b/>
        <w:bCs/>
        <w:noProof/>
        <w:sz w:val="18"/>
        <w:szCs w:val="18"/>
        <w:lang w:val="fr-FR"/>
      </w:rPr>
      <w:t>1</w:t>
    </w:r>
    <w:r w:rsidRPr="004021D9">
      <w:rPr>
        <w:b/>
        <w:bCs/>
        <w:sz w:val="18"/>
        <w:szCs w:val="18"/>
      </w:rPr>
      <w:fldChar w:fldCharType="end"/>
    </w:r>
    <w:r w:rsidRPr="007807CF">
      <w:rPr>
        <w:sz w:val="18"/>
        <w:szCs w:val="18"/>
        <w:lang w:val="fr-FR"/>
      </w:rPr>
      <w:t xml:space="preserve"> of </w:t>
    </w:r>
    <w:r w:rsidRPr="004021D9">
      <w:rPr>
        <w:b/>
        <w:bCs/>
        <w:sz w:val="18"/>
        <w:szCs w:val="18"/>
      </w:rPr>
      <w:fldChar w:fldCharType="begin"/>
    </w:r>
    <w:r w:rsidRPr="007807CF">
      <w:rPr>
        <w:b/>
        <w:bCs/>
        <w:sz w:val="18"/>
        <w:szCs w:val="18"/>
        <w:lang w:val="fr-FR"/>
      </w:rPr>
      <w:instrText xml:space="preserve"> NUMPAGES  </w:instrText>
    </w:r>
    <w:r w:rsidRPr="004021D9">
      <w:rPr>
        <w:b/>
        <w:bCs/>
        <w:sz w:val="18"/>
        <w:szCs w:val="18"/>
      </w:rPr>
      <w:fldChar w:fldCharType="separate"/>
    </w:r>
    <w:r w:rsidR="00C669F9">
      <w:rPr>
        <w:b/>
        <w:bCs/>
        <w:noProof/>
        <w:sz w:val="18"/>
        <w:szCs w:val="18"/>
        <w:lang w:val="fr-FR"/>
      </w:rPr>
      <w:t>25</w:t>
    </w:r>
    <w:r w:rsidRPr="004021D9">
      <w:rPr>
        <w:b/>
        <w:bCs/>
        <w:sz w:val="18"/>
        <w:szCs w:val="18"/>
      </w:rPr>
      <w:fldChar w:fldCharType="end"/>
    </w:r>
  </w:p>
  <w:p w14:paraId="2FEB137F" w14:textId="77777777" w:rsidR="007807CF" w:rsidRPr="007807CF" w:rsidRDefault="007807CF" w:rsidP="007807CF">
    <w:pPr>
      <w:pStyle w:val="Pieddepage"/>
      <w:rPr>
        <w:lang w:val="fr-FR"/>
      </w:rPr>
    </w:pPr>
  </w:p>
  <w:p w14:paraId="28BDB05F" w14:textId="77777777" w:rsidR="004617F6" w:rsidRPr="007807CF" w:rsidRDefault="004617F6">
    <w:pPr>
      <w:pStyle w:val="Pieddepage"/>
      <w:rPr>
        <w:lang w:val="fr-FR"/>
      </w:rP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26DB629" w14:textId="77777777" w:rsidR="007B11A4" w:rsidRDefault="007B11A4" w:rsidP="004A10BE">
      <w:r>
        <w:separator/>
      </w:r>
    </w:p>
  </w:footnote>
  <w:footnote w:type="continuationSeparator" w:id="0">
    <w:p w14:paraId="6D0FBCFF" w14:textId="77777777" w:rsidR="007B11A4" w:rsidRDefault="007B11A4" w:rsidP="004A10BE">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47D5C3" w14:textId="77777777" w:rsidR="004617F6" w:rsidRDefault="004617F6" w:rsidP="004A10BE">
    <w:pPr>
      <w:pStyle w:val="En-tte"/>
    </w:pPr>
    <w:r>
      <w:tab/>
    </w:r>
  </w:p>
  <w:p w14:paraId="645DE1AA" w14:textId="77777777" w:rsidR="004617F6" w:rsidRDefault="004617F6" w:rsidP="004A10BE">
    <w:pPr>
      <w:pStyle w:val="En-tte"/>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1D"/>
    <w:multiLevelType w:val="multilevel"/>
    <w:tmpl w:val="BA8898F6"/>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hybridMultilevel"/>
    <w:tmpl w:val="C8306B60"/>
    <w:lvl w:ilvl="0" w:tplc="7304FF5E">
      <w:start w:val="1"/>
      <w:numFmt w:val="decimal"/>
      <w:lvlText w:val="%1."/>
      <w:lvlJc w:val="left"/>
      <w:pPr>
        <w:tabs>
          <w:tab w:val="num" w:pos="1800"/>
        </w:tabs>
        <w:ind w:left="1800" w:hanging="360"/>
      </w:pPr>
    </w:lvl>
    <w:lvl w:ilvl="1" w:tplc="6436CA44">
      <w:numFmt w:val="decimal"/>
      <w:lvlText w:val=""/>
      <w:lvlJc w:val="left"/>
    </w:lvl>
    <w:lvl w:ilvl="2" w:tplc="11B6FA4E">
      <w:numFmt w:val="decimal"/>
      <w:lvlText w:val=""/>
      <w:lvlJc w:val="left"/>
    </w:lvl>
    <w:lvl w:ilvl="3" w:tplc="25CA29AA">
      <w:numFmt w:val="decimal"/>
      <w:lvlText w:val=""/>
      <w:lvlJc w:val="left"/>
    </w:lvl>
    <w:lvl w:ilvl="4" w:tplc="D674BF2E">
      <w:numFmt w:val="decimal"/>
      <w:lvlText w:val=""/>
      <w:lvlJc w:val="left"/>
    </w:lvl>
    <w:lvl w:ilvl="5" w:tplc="C46C1C2E">
      <w:numFmt w:val="decimal"/>
      <w:lvlText w:val=""/>
      <w:lvlJc w:val="left"/>
    </w:lvl>
    <w:lvl w:ilvl="6" w:tplc="89D680B8">
      <w:numFmt w:val="decimal"/>
      <w:lvlText w:val=""/>
      <w:lvlJc w:val="left"/>
    </w:lvl>
    <w:lvl w:ilvl="7" w:tplc="A46AE3A8">
      <w:numFmt w:val="decimal"/>
      <w:lvlText w:val=""/>
      <w:lvlJc w:val="left"/>
    </w:lvl>
    <w:lvl w:ilvl="8" w:tplc="5A58773E">
      <w:numFmt w:val="decimal"/>
      <w:lvlText w:val=""/>
      <w:lvlJc w:val="left"/>
    </w:lvl>
  </w:abstractNum>
  <w:abstractNum w:abstractNumId="2" w15:restartNumberingAfterBreak="0">
    <w:nsid w:val="FFFFFF7D"/>
    <w:multiLevelType w:val="singleLevel"/>
    <w:tmpl w:val="12C0A9CE"/>
    <w:lvl w:ilvl="0">
      <w:start w:val="1"/>
      <w:numFmt w:val="decimal"/>
      <w:lvlText w:val="%1."/>
      <w:lvlJc w:val="left"/>
      <w:pPr>
        <w:tabs>
          <w:tab w:val="num" w:pos="1440"/>
        </w:tabs>
        <w:ind w:left="1440" w:hanging="360"/>
      </w:pPr>
    </w:lvl>
  </w:abstractNum>
  <w:abstractNum w:abstractNumId="3" w15:restartNumberingAfterBreak="0">
    <w:nsid w:val="FFFFFF7E"/>
    <w:multiLevelType w:val="singleLevel"/>
    <w:tmpl w:val="FFF87976"/>
    <w:lvl w:ilvl="0">
      <w:start w:val="1"/>
      <w:numFmt w:val="decimal"/>
      <w:lvlText w:val="%1."/>
      <w:lvlJc w:val="left"/>
      <w:pPr>
        <w:tabs>
          <w:tab w:val="num" w:pos="1080"/>
        </w:tabs>
        <w:ind w:left="1080" w:hanging="360"/>
      </w:pPr>
    </w:lvl>
  </w:abstractNum>
  <w:abstractNum w:abstractNumId="4" w15:restartNumberingAfterBreak="0">
    <w:nsid w:val="FFFFFF7F"/>
    <w:multiLevelType w:val="singleLevel"/>
    <w:tmpl w:val="57B8ABE4"/>
    <w:lvl w:ilvl="0">
      <w:start w:val="1"/>
      <w:numFmt w:val="decimal"/>
      <w:lvlText w:val="%1."/>
      <w:lvlJc w:val="left"/>
      <w:pPr>
        <w:tabs>
          <w:tab w:val="num" w:pos="720"/>
        </w:tabs>
        <w:ind w:left="720" w:hanging="360"/>
      </w:pPr>
    </w:lvl>
  </w:abstractNum>
  <w:abstractNum w:abstractNumId="5" w15:restartNumberingAfterBreak="0">
    <w:nsid w:val="FFFFFF80"/>
    <w:multiLevelType w:val="singleLevel"/>
    <w:tmpl w:val="98FC9550"/>
    <w:lvl w:ilvl="0">
      <w:start w:val="1"/>
      <w:numFmt w:val="bullet"/>
      <w:lvlText w:val=""/>
      <w:lvlJc w:val="left"/>
      <w:pPr>
        <w:tabs>
          <w:tab w:val="num" w:pos="1800"/>
        </w:tabs>
        <w:ind w:left="1800" w:hanging="360"/>
      </w:pPr>
      <w:rPr>
        <w:rFonts w:ascii="Symbol" w:hAnsi="Symbol" w:hint="default"/>
      </w:rPr>
    </w:lvl>
  </w:abstractNum>
  <w:abstractNum w:abstractNumId="6" w15:restartNumberingAfterBreak="0">
    <w:nsid w:val="FFFFFF81"/>
    <w:multiLevelType w:val="singleLevel"/>
    <w:tmpl w:val="3C76FFC4"/>
    <w:lvl w:ilvl="0">
      <w:start w:val="1"/>
      <w:numFmt w:val="bullet"/>
      <w:lvlText w:val=""/>
      <w:lvlJc w:val="left"/>
      <w:pPr>
        <w:tabs>
          <w:tab w:val="num" w:pos="1440"/>
        </w:tabs>
        <w:ind w:left="1440" w:hanging="360"/>
      </w:pPr>
      <w:rPr>
        <w:rFonts w:ascii="Symbol" w:hAnsi="Symbol" w:hint="default"/>
      </w:rPr>
    </w:lvl>
  </w:abstractNum>
  <w:abstractNum w:abstractNumId="7" w15:restartNumberingAfterBreak="0">
    <w:nsid w:val="FFFFFF82"/>
    <w:multiLevelType w:val="singleLevel"/>
    <w:tmpl w:val="4C34C55E"/>
    <w:lvl w:ilvl="0">
      <w:start w:val="1"/>
      <w:numFmt w:val="bullet"/>
      <w:lvlText w:val=""/>
      <w:lvlJc w:val="left"/>
      <w:pPr>
        <w:tabs>
          <w:tab w:val="num" w:pos="1080"/>
        </w:tabs>
        <w:ind w:left="1080" w:hanging="360"/>
      </w:pPr>
      <w:rPr>
        <w:rFonts w:ascii="Symbol" w:hAnsi="Symbol" w:hint="default"/>
      </w:rPr>
    </w:lvl>
  </w:abstractNum>
  <w:abstractNum w:abstractNumId="8" w15:restartNumberingAfterBreak="0">
    <w:nsid w:val="FFFFFF83"/>
    <w:multiLevelType w:val="singleLevel"/>
    <w:tmpl w:val="0C068088"/>
    <w:lvl w:ilvl="0">
      <w:start w:val="1"/>
      <w:numFmt w:val="bullet"/>
      <w:lvlText w:val=""/>
      <w:lvlJc w:val="left"/>
      <w:pPr>
        <w:tabs>
          <w:tab w:val="num" w:pos="720"/>
        </w:tabs>
        <w:ind w:left="720" w:hanging="360"/>
      </w:pPr>
      <w:rPr>
        <w:rFonts w:ascii="Symbol" w:hAnsi="Symbol" w:hint="default"/>
      </w:rPr>
    </w:lvl>
  </w:abstractNum>
  <w:abstractNum w:abstractNumId="9" w15:restartNumberingAfterBreak="0">
    <w:nsid w:val="FFFFFF88"/>
    <w:multiLevelType w:val="singleLevel"/>
    <w:tmpl w:val="A50088B0"/>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2C8A39C0"/>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01455E1A"/>
    <w:multiLevelType w:val="multilevel"/>
    <w:tmpl w:val="C5A49C5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0F25249A"/>
    <w:multiLevelType w:val="multilevel"/>
    <w:tmpl w:val="C73A8B8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103D1450"/>
    <w:multiLevelType w:val="multilevel"/>
    <w:tmpl w:val="D3225D9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111622C7"/>
    <w:multiLevelType w:val="hybridMultilevel"/>
    <w:tmpl w:val="ADECAC92"/>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5" w15:restartNumberingAfterBreak="0">
    <w:nsid w:val="1478067D"/>
    <w:multiLevelType w:val="hybridMultilevel"/>
    <w:tmpl w:val="9FB67F7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264B4541"/>
    <w:multiLevelType w:val="multilevel"/>
    <w:tmpl w:val="4738B19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2F5E69A7"/>
    <w:multiLevelType w:val="hybridMultilevel"/>
    <w:tmpl w:val="DC5434E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8" w15:restartNumberingAfterBreak="0">
    <w:nsid w:val="2FA34F49"/>
    <w:multiLevelType w:val="multilevel"/>
    <w:tmpl w:val="F8E8988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32744506"/>
    <w:multiLevelType w:val="multilevel"/>
    <w:tmpl w:val="7DF6D67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54AB77DE"/>
    <w:multiLevelType w:val="multilevel"/>
    <w:tmpl w:val="C5A282B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5A577F10"/>
    <w:multiLevelType w:val="hybridMultilevel"/>
    <w:tmpl w:val="DC14ADC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2" w15:restartNumberingAfterBreak="0">
    <w:nsid w:val="5AFB29D4"/>
    <w:multiLevelType w:val="hybridMultilevel"/>
    <w:tmpl w:val="AFE0AB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61B479A1"/>
    <w:multiLevelType w:val="multilevel"/>
    <w:tmpl w:val="C804EB3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15"/>
  </w:num>
  <w:num w:numId="2">
    <w:abstractNumId w:val="10"/>
  </w:num>
  <w:num w:numId="3">
    <w:abstractNumId w:val="8"/>
  </w:num>
  <w:num w:numId="4">
    <w:abstractNumId w:val="7"/>
  </w:num>
  <w:num w:numId="5">
    <w:abstractNumId w:val="6"/>
  </w:num>
  <w:num w:numId="6">
    <w:abstractNumId w:val="5"/>
  </w:num>
  <w:num w:numId="7">
    <w:abstractNumId w:val="9"/>
  </w:num>
  <w:num w:numId="8">
    <w:abstractNumId w:val="4"/>
  </w:num>
  <w:num w:numId="9">
    <w:abstractNumId w:val="3"/>
  </w:num>
  <w:num w:numId="10">
    <w:abstractNumId w:val="2"/>
  </w:num>
  <w:num w:numId="11">
    <w:abstractNumId w:val="1"/>
  </w:num>
  <w:num w:numId="12">
    <w:abstractNumId w:val="22"/>
  </w:num>
  <w:num w:numId="13">
    <w:abstractNumId w:val="17"/>
  </w:num>
  <w:num w:numId="14">
    <w:abstractNumId w:val="14"/>
  </w:num>
  <w:num w:numId="15">
    <w:abstractNumId w:val="21"/>
  </w:num>
  <w:num w:numId="16">
    <w:abstractNumId w:val="0"/>
  </w:num>
  <w:num w:numId="17">
    <w:abstractNumId w:val="12"/>
  </w:num>
  <w:num w:numId="18">
    <w:abstractNumId w:val="23"/>
  </w:num>
  <w:num w:numId="19">
    <w:abstractNumId w:val="13"/>
  </w:num>
  <w:num w:numId="20">
    <w:abstractNumId w:val="19"/>
  </w:num>
  <w:num w:numId="21">
    <w:abstractNumId w:val="16"/>
  </w:num>
  <w:num w:numId="22">
    <w:abstractNumId w:val="18"/>
  </w:num>
  <w:num w:numId="23">
    <w:abstractNumId w:val="11"/>
  </w:num>
  <w:num w:numId="24">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proofState w:spelling="clean" w:grammar="clean"/>
  <w:stylePaneFormatFilter w:val="3704" w:allStyles="0" w:customStyles="0" w:latentStyles="1" w:stylesInUse="0" w:headingStyles="0" w:numberingStyles="0" w:tableStyles="0" w:directFormattingOnRuns="1" w:directFormattingOnParagraphs="1" w:directFormattingOnNumbering="1" w:directFormattingOnTables="0" w:clearFormatting="1" w:top3HeadingStyles="1" w:visibleStyles="0" w:alternateStyleNames="0"/>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4261D"/>
    <w:rsid w:val="00004F53"/>
    <w:rsid w:val="00014D96"/>
    <w:rsid w:val="00016B49"/>
    <w:rsid w:val="0002194A"/>
    <w:rsid w:val="00031259"/>
    <w:rsid w:val="0003674A"/>
    <w:rsid w:val="00037583"/>
    <w:rsid w:val="000377D0"/>
    <w:rsid w:val="0004134A"/>
    <w:rsid w:val="000427E8"/>
    <w:rsid w:val="000434D4"/>
    <w:rsid w:val="00050A43"/>
    <w:rsid w:val="00060C8D"/>
    <w:rsid w:val="00062BF6"/>
    <w:rsid w:val="0007097E"/>
    <w:rsid w:val="00075B2B"/>
    <w:rsid w:val="000770A7"/>
    <w:rsid w:val="00091348"/>
    <w:rsid w:val="00094135"/>
    <w:rsid w:val="000B2C20"/>
    <w:rsid w:val="000B32A3"/>
    <w:rsid w:val="000B7F0C"/>
    <w:rsid w:val="000F0FAB"/>
    <w:rsid w:val="0010470F"/>
    <w:rsid w:val="00115D9D"/>
    <w:rsid w:val="0012158A"/>
    <w:rsid w:val="00121D69"/>
    <w:rsid w:val="00123E15"/>
    <w:rsid w:val="00125A6E"/>
    <w:rsid w:val="00143D0F"/>
    <w:rsid w:val="00151705"/>
    <w:rsid w:val="00157597"/>
    <w:rsid w:val="00161946"/>
    <w:rsid w:val="00161C59"/>
    <w:rsid w:val="001646F8"/>
    <w:rsid w:val="001662E0"/>
    <w:rsid w:val="00171C33"/>
    <w:rsid w:val="0017587D"/>
    <w:rsid w:val="001A27F0"/>
    <w:rsid w:val="001A3FF8"/>
    <w:rsid w:val="001A4F4A"/>
    <w:rsid w:val="001B1FA5"/>
    <w:rsid w:val="001B3B1A"/>
    <w:rsid w:val="001B5133"/>
    <w:rsid w:val="001B658A"/>
    <w:rsid w:val="001D4B7F"/>
    <w:rsid w:val="001E37BC"/>
    <w:rsid w:val="002027EB"/>
    <w:rsid w:val="00202BD8"/>
    <w:rsid w:val="0020474E"/>
    <w:rsid w:val="002056A7"/>
    <w:rsid w:val="002158A5"/>
    <w:rsid w:val="0022285C"/>
    <w:rsid w:val="00222BCB"/>
    <w:rsid w:val="00223F87"/>
    <w:rsid w:val="0022573C"/>
    <w:rsid w:val="00237B12"/>
    <w:rsid w:val="00244F9B"/>
    <w:rsid w:val="002542CA"/>
    <w:rsid w:val="00265FD7"/>
    <w:rsid w:val="00266FB0"/>
    <w:rsid w:val="00275203"/>
    <w:rsid w:val="002762CB"/>
    <w:rsid w:val="00280B2D"/>
    <w:rsid w:val="00282E2A"/>
    <w:rsid w:val="00297636"/>
    <w:rsid w:val="002A001D"/>
    <w:rsid w:val="002A049B"/>
    <w:rsid w:val="002A7801"/>
    <w:rsid w:val="002C5B58"/>
    <w:rsid w:val="002D43B6"/>
    <w:rsid w:val="002F4616"/>
    <w:rsid w:val="003076DE"/>
    <w:rsid w:val="00331AC6"/>
    <w:rsid w:val="00337AC2"/>
    <w:rsid w:val="003452DE"/>
    <w:rsid w:val="00345CD2"/>
    <w:rsid w:val="00352C52"/>
    <w:rsid w:val="00365625"/>
    <w:rsid w:val="00382A85"/>
    <w:rsid w:val="00387979"/>
    <w:rsid w:val="003B2A6A"/>
    <w:rsid w:val="003B6753"/>
    <w:rsid w:val="003C33A6"/>
    <w:rsid w:val="003C63AD"/>
    <w:rsid w:val="003E5A9F"/>
    <w:rsid w:val="004021D9"/>
    <w:rsid w:val="00402374"/>
    <w:rsid w:val="00411D15"/>
    <w:rsid w:val="0041521B"/>
    <w:rsid w:val="00415CC3"/>
    <w:rsid w:val="00423C6C"/>
    <w:rsid w:val="00451AF5"/>
    <w:rsid w:val="00454396"/>
    <w:rsid w:val="004617F6"/>
    <w:rsid w:val="00463A60"/>
    <w:rsid w:val="00467929"/>
    <w:rsid w:val="00487773"/>
    <w:rsid w:val="00490034"/>
    <w:rsid w:val="00491A0D"/>
    <w:rsid w:val="00491B93"/>
    <w:rsid w:val="00493108"/>
    <w:rsid w:val="004931FB"/>
    <w:rsid w:val="004A10BE"/>
    <w:rsid w:val="004A4A54"/>
    <w:rsid w:val="004B6653"/>
    <w:rsid w:val="004C6454"/>
    <w:rsid w:val="004E749B"/>
    <w:rsid w:val="00500C3A"/>
    <w:rsid w:val="00507047"/>
    <w:rsid w:val="00516D77"/>
    <w:rsid w:val="0051705D"/>
    <w:rsid w:val="00526937"/>
    <w:rsid w:val="00527D59"/>
    <w:rsid w:val="005341F3"/>
    <w:rsid w:val="00534DAE"/>
    <w:rsid w:val="00534E77"/>
    <w:rsid w:val="00541E02"/>
    <w:rsid w:val="00543E14"/>
    <w:rsid w:val="00556452"/>
    <w:rsid w:val="005677D3"/>
    <w:rsid w:val="00580055"/>
    <w:rsid w:val="00581CC2"/>
    <w:rsid w:val="00585E49"/>
    <w:rsid w:val="005B0F0D"/>
    <w:rsid w:val="005B36C0"/>
    <w:rsid w:val="005C046A"/>
    <w:rsid w:val="005D1F47"/>
    <w:rsid w:val="005E2EB4"/>
    <w:rsid w:val="005E47DE"/>
    <w:rsid w:val="005F557C"/>
    <w:rsid w:val="00605309"/>
    <w:rsid w:val="00612E0D"/>
    <w:rsid w:val="00636DF0"/>
    <w:rsid w:val="0064261D"/>
    <w:rsid w:val="00647267"/>
    <w:rsid w:val="006637A1"/>
    <w:rsid w:val="00672FB2"/>
    <w:rsid w:val="006772C0"/>
    <w:rsid w:val="00677536"/>
    <w:rsid w:val="006804AF"/>
    <w:rsid w:val="006831DC"/>
    <w:rsid w:val="0069612A"/>
    <w:rsid w:val="006A01E0"/>
    <w:rsid w:val="006A1E40"/>
    <w:rsid w:val="006B5403"/>
    <w:rsid w:val="006B646C"/>
    <w:rsid w:val="006B67F2"/>
    <w:rsid w:val="006C3928"/>
    <w:rsid w:val="006D2D51"/>
    <w:rsid w:val="006D463F"/>
    <w:rsid w:val="006F0785"/>
    <w:rsid w:val="006F445B"/>
    <w:rsid w:val="00700E82"/>
    <w:rsid w:val="007261A5"/>
    <w:rsid w:val="0072653A"/>
    <w:rsid w:val="00735693"/>
    <w:rsid w:val="0075480B"/>
    <w:rsid w:val="00755DB0"/>
    <w:rsid w:val="00763EA3"/>
    <w:rsid w:val="00775A17"/>
    <w:rsid w:val="007807CF"/>
    <w:rsid w:val="007871B0"/>
    <w:rsid w:val="00790685"/>
    <w:rsid w:val="00795C85"/>
    <w:rsid w:val="007B11A4"/>
    <w:rsid w:val="007B5E14"/>
    <w:rsid w:val="007C461D"/>
    <w:rsid w:val="007C5B6A"/>
    <w:rsid w:val="007E1FBC"/>
    <w:rsid w:val="007E4970"/>
    <w:rsid w:val="007F1999"/>
    <w:rsid w:val="007F1E8D"/>
    <w:rsid w:val="007F522F"/>
    <w:rsid w:val="00800B9E"/>
    <w:rsid w:val="008065A6"/>
    <w:rsid w:val="00811C5F"/>
    <w:rsid w:val="00832E9F"/>
    <w:rsid w:val="00845597"/>
    <w:rsid w:val="00851266"/>
    <w:rsid w:val="008573F1"/>
    <w:rsid w:val="00863890"/>
    <w:rsid w:val="008645E8"/>
    <w:rsid w:val="00865346"/>
    <w:rsid w:val="00866E67"/>
    <w:rsid w:val="008707B4"/>
    <w:rsid w:val="00877CFE"/>
    <w:rsid w:val="008801EF"/>
    <w:rsid w:val="00885C92"/>
    <w:rsid w:val="008A0DFF"/>
    <w:rsid w:val="008A2BA0"/>
    <w:rsid w:val="008B3C35"/>
    <w:rsid w:val="008B601B"/>
    <w:rsid w:val="008B7D53"/>
    <w:rsid w:val="008C4581"/>
    <w:rsid w:val="008D7751"/>
    <w:rsid w:val="008F240B"/>
    <w:rsid w:val="0090405E"/>
    <w:rsid w:val="009120DB"/>
    <w:rsid w:val="00912AF5"/>
    <w:rsid w:val="00925489"/>
    <w:rsid w:val="00933A35"/>
    <w:rsid w:val="0093615D"/>
    <w:rsid w:val="00943D39"/>
    <w:rsid w:val="00950DEC"/>
    <w:rsid w:val="009748D2"/>
    <w:rsid w:val="009770EB"/>
    <w:rsid w:val="009841BA"/>
    <w:rsid w:val="00986C84"/>
    <w:rsid w:val="009A6229"/>
    <w:rsid w:val="009D10A3"/>
    <w:rsid w:val="009E3DD6"/>
    <w:rsid w:val="00A043A9"/>
    <w:rsid w:val="00A04CD2"/>
    <w:rsid w:val="00A058A2"/>
    <w:rsid w:val="00A06077"/>
    <w:rsid w:val="00A1340F"/>
    <w:rsid w:val="00A16C38"/>
    <w:rsid w:val="00A240FE"/>
    <w:rsid w:val="00A262A8"/>
    <w:rsid w:val="00A274AB"/>
    <w:rsid w:val="00A27A5C"/>
    <w:rsid w:val="00A30D43"/>
    <w:rsid w:val="00A320EB"/>
    <w:rsid w:val="00A4424B"/>
    <w:rsid w:val="00A73A85"/>
    <w:rsid w:val="00A9311D"/>
    <w:rsid w:val="00A96E1E"/>
    <w:rsid w:val="00AA412F"/>
    <w:rsid w:val="00AA4F12"/>
    <w:rsid w:val="00AB0DC6"/>
    <w:rsid w:val="00AB2540"/>
    <w:rsid w:val="00AB2F01"/>
    <w:rsid w:val="00AB4EAD"/>
    <w:rsid w:val="00AB5717"/>
    <w:rsid w:val="00AC1076"/>
    <w:rsid w:val="00AC2069"/>
    <w:rsid w:val="00AC2887"/>
    <w:rsid w:val="00AC364C"/>
    <w:rsid w:val="00AE0879"/>
    <w:rsid w:val="00AE514C"/>
    <w:rsid w:val="00AE6F15"/>
    <w:rsid w:val="00AF6017"/>
    <w:rsid w:val="00B10657"/>
    <w:rsid w:val="00B151F8"/>
    <w:rsid w:val="00B206E0"/>
    <w:rsid w:val="00B2586C"/>
    <w:rsid w:val="00B32EC3"/>
    <w:rsid w:val="00B33C12"/>
    <w:rsid w:val="00B3405F"/>
    <w:rsid w:val="00B34824"/>
    <w:rsid w:val="00B36EBC"/>
    <w:rsid w:val="00B430E8"/>
    <w:rsid w:val="00B43C16"/>
    <w:rsid w:val="00B54575"/>
    <w:rsid w:val="00B547A9"/>
    <w:rsid w:val="00B80428"/>
    <w:rsid w:val="00B8616D"/>
    <w:rsid w:val="00B9057C"/>
    <w:rsid w:val="00B949F9"/>
    <w:rsid w:val="00B962C8"/>
    <w:rsid w:val="00BA203B"/>
    <w:rsid w:val="00BC44A1"/>
    <w:rsid w:val="00BD359A"/>
    <w:rsid w:val="00BD5E01"/>
    <w:rsid w:val="00BF179F"/>
    <w:rsid w:val="00C00F10"/>
    <w:rsid w:val="00C022BD"/>
    <w:rsid w:val="00C154A6"/>
    <w:rsid w:val="00C24E70"/>
    <w:rsid w:val="00C669F9"/>
    <w:rsid w:val="00C76F26"/>
    <w:rsid w:val="00C85127"/>
    <w:rsid w:val="00C917E9"/>
    <w:rsid w:val="00CA0F16"/>
    <w:rsid w:val="00CB31D5"/>
    <w:rsid w:val="00CB6904"/>
    <w:rsid w:val="00CC059C"/>
    <w:rsid w:val="00CC4248"/>
    <w:rsid w:val="00CD14EA"/>
    <w:rsid w:val="00CE3B9E"/>
    <w:rsid w:val="00CE6AA7"/>
    <w:rsid w:val="00CF0B04"/>
    <w:rsid w:val="00D3577D"/>
    <w:rsid w:val="00D57045"/>
    <w:rsid w:val="00D57978"/>
    <w:rsid w:val="00D649BD"/>
    <w:rsid w:val="00D72C37"/>
    <w:rsid w:val="00D913D9"/>
    <w:rsid w:val="00D92A65"/>
    <w:rsid w:val="00DB00E2"/>
    <w:rsid w:val="00DD103E"/>
    <w:rsid w:val="00DD6F03"/>
    <w:rsid w:val="00DE4D61"/>
    <w:rsid w:val="00DE77F7"/>
    <w:rsid w:val="00DF2EEA"/>
    <w:rsid w:val="00DF7037"/>
    <w:rsid w:val="00DF767A"/>
    <w:rsid w:val="00E03C99"/>
    <w:rsid w:val="00E046B8"/>
    <w:rsid w:val="00E158CC"/>
    <w:rsid w:val="00E15BF1"/>
    <w:rsid w:val="00E53057"/>
    <w:rsid w:val="00E54DDF"/>
    <w:rsid w:val="00E6681A"/>
    <w:rsid w:val="00E71D47"/>
    <w:rsid w:val="00E76322"/>
    <w:rsid w:val="00E81909"/>
    <w:rsid w:val="00E81A31"/>
    <w:rsid w:val="00EA184F"/>
    <w:rsid w:val="00EA3632"/>
    <w:rsid w:val="00EA75EC"/>
    <w:rsid w:val="00EB3AC7"/>
    <w:rsid w:val="00EB5559"/>
    <w:rsid w:val="00EB6D47"/>
    <w:rsid w:val="00EC3451"/>
    <w:rsid w:val="00EC5A6C"/>
    <w:rsid w:val="00EC6675"/>
    <w:rsid w:val="00ED3846"/>
    <w:rsid w:val="00ED3CC6"/>
    <w:rsid w:val="00EE3ACF"/>
    <w:rsid w:val="00EE6549"/>
    <w:rsid w:val="00EE6661"/>
    <w:rsid w:val="00EF21BB"/>
    <w:rsid w:val="00EF5A01"/>
    <w:rsid w:val="00F01E4D"/>
    <w:rsid w:val="00F02265"/>
    <w:rsid w:val="00F04C7D"/>
    <w:rsid w:val="00F0744D"/>
    <w:rsid w:val="00F07817"/>
    <w:rsid w:val="00F07991"/>
    <w:rsid w:val="00F12F84"/>
    <w:rsid w:val="00F20B97"/>
    <w:rsid w:val="00F34F8E"/>
    <w:rsid w:val="00F40AF5"/>
    <w:rsid w:val="00F62276"/>
    <w:rsid w:val="00F62B91"/>
    <w:rsid w:val="00F63729"/>
    <w:rsid w:val="00F90137"/>
    <w:rsid w:val="00FA13B0"/>
    <w:rsid w:val="00FA3C12"/>
    <w:rsid w:val="00FA5700"/>
    <w:rsid w:val="00FA5948"/>
    <w:rsid w:val="00FA6774"/>
    <w:rsid w:val="00FB1FCC"/>
    <w:rsid w:val="00FB460E"/>
    <w:rsid w:val="00FC2185"/>
    <w:rsid w:val="00FC5B5B"/>
    <w:rsid w:val="00FD003F"/>
    <w:rsid w:val="00FD2DE3"/>
    <w:rsid w:val="00FD3FDD"/>
    <w:rsid w:val="00FE2028"/>
    <w:rsid w:val="00FF5437"/>
    <w:rsid w:val="00FF7ACC"/>
    <w:rsid w:val="115E8A38"/>
    <w:rsid w:val="1AE4AC1F"/>
    <w:rsid w:val="248B06E3"/>
    <w:rsid w:val="48B42113"/>
    <w:rsid w:val="54CC6714"/>
    <w:rsid w:val="6530046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5A6FCE5"/>
  <w15:chartTrackingRefBased/>
  <w15:docId w15:val="{994DB281-2227-4199-92BB-D47222637B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Calibri"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A7F20"/>
  </w:style>
  <w:style w:type="paragraph" w:styleId="Titre4">
    <w:name w:val="heading 4"/>
    <w:basedOn w:val="Normal"/>
    <w:link w:val="Titre4Car"/>
    <w:uiPriority w:val="9"/>
    <w:qFormat/>
    <w:rsid w:val="000B32A3"/>
    <w:pPr>
      <w:spacing w:before="100" w:beforeAutospacing="1" w:after="100" w:afterAutospacing="1"/>
      <w:outlineLvl w:val="3"/>
    </w:pPr>
    <w:rPr>
      <w:rFonts w:eastAsia="Times New Roman"/>
      <w:b/>
      <w:bCs/>
      <w:sz w:val="24"/>
      <w:szCs w:val="24"/>
      <w:lang w:val="fr-FR" w:eastAsia="fr-FR"/>
    </w:rPr>
  </w:style>
  <w:style w:type="paragraph" w:styleId="Titre5">
    <w:name w:val="heading 5"/>
    <w:basedOn w:val="Normal"/>
    <w:link w:val="Titre5Car"/>
    <w:uiPriority w:val="9"/>
    <w:qFormat/>
    <w:rsid w:val="000B32A3"/>
    <w:pPr>
      <w:spacing w:before="100" w:beforeAutospacing="1" w:after="100" w:afterAutospacing="1"/>
      <w:outlineLvl w:val="4"/>
    </w:pPr>
    <w:rPr>
      <w:rFonts w:eastAsia="Times New Roman"/>
      <w:b/>
      <w:bCs/>
      <w:lang w:val="fr-FR"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BaseText">
    <w:name w:val="Base_Text"/>
    <w:rsid w:val="009A3899"/>
    <w:pPr>
      <w:spacing w:before="120"/>
    </w:pPr>
    <w:rPr>
      <w:rFonts w:eastAsia="Times New Roman"/>
      <w:sz w:val="24"/>
      <w:szCs w:val="24"/>
    </w:rPr>
  </w:style>
  <w:style w:type="paragraph" w:customStyle="1" w:styleId="1stparatext">
    <w:name w:val="1st para text"/>
    <w:basedOn w:val="BaseText"/>
    <w:rsid w:val="009A3899"/>
  </w:style>
  <w:style w:type="paragraph" w:customStyle="1" w:styleId="BaseHeading">
    <w:name w:val="Base_Heading"/>
    <w:rsid w:val="009A3899"/>
    <w:pPr>
      <w:keepNext/>
      <w:spacing w:before="240"/>
      <w:outlineLvl w:val="0"/>
    </w:pPr>
    <w:rPr>
      <w:rFonts w:eastAsia="Times New Roman"/>
      <w:kern w:val="28"/>
      <w:sz w:val="28"/>
      <w:szCs w:val="28"/>
    </w:rPr>
  </w:style>
  <w:style w:type="paragraph" w:customStyle="1" w:styleId="AbstractHead">
    <w:name w:val="Abstract Head"/>
    <w:basedOn w:val="BaseHeading"/>
    <w:rsid w:val="009A3899"/>
  </w:style>
  <w:style w:type="paragraph" w:customStyle="1" w:styleId="AbstractSummary">
    <w:name w:val="Abstract/Summary"/>
    <w:basedOn w:val="BaseText"/>
    <w:rsid w:val="009A3899"/>
  </w:style>
  <w:style w:type="paragraph" w:customStyle="1" w:styleId="Referencesandnotes">
    <w:name w:val="References and notes"/>
    <w:basedOn w:val="BaseText"/>
    <w:rsid w:val="009A3899"/>
    <w:pPr>
      <w:ind w:left="720" w:hanging="720"/>
    </w:pPr>
  </w:style>
  <w:style w:type="paragraph" w:customStyle="1" w:styleId="Acknowledgement">
    <w:name w:val="Acknowledgement"/>
    <w:basedOn w:val="Referencesandnotes"/>
    <w:rsid w:val="009A3899"/>
  </w:style>
  <w:style w:type="paragraph" w:customStyle="1" w:styleId="Subhead">
    <w:name w:val="Subhead"/>
    <w:basedOn w:val="BaseHeading"/>
    <w:rsid w:val="009A3899"/>
    <w:rPr>
      <w:b/>
      <w:bCs/>
      <w:sz w:val="24"/>
      <w:szCs w:val="24"/>
    </w:rPr>
  </w:style>
  <w:style w:type="paragraph" w:customStyle="1" w:styleId="AppendixHead">
    <w:name w:val="AppendixHead"/>
    <w:basedOn w:val="Subhead"/>
    <w:rsid w:val="009A3899"/>
  </w:style>
  <w:style w:type="paragraph" w:customStyle="1" w:styleId="AppendixSubhead">
    <w:name w:val="AppendixSubhead"/>
    <w:basedOn w:val="Subhead"/>
    <w:rsid w:val="009A3899"/>
  </w:style>
  <w:style w:type="paragraph" w:customStyle="1" w:styleId="Articletype">
    <w:name w:val="Article type"/>
    <w:basedOn w:val="BaseText"/>
    <w:rsid w:val="009A3899"/>
  </w:style>
  <w:style w:type="character" w:customStyle="1" w:styleId="aubase">
    <w:name w:val="au_base"/>
    <w:rsid w:val="009A3899"/>
    <w:rPr>
      <w:sz w:val="24"/>
    </w:rPr>
  </w:style>
  <w:style w:type="character" w:customStyle="1" w:styleId="aucollab">
    <w:name w:val="au_collab"/>
    <w:rsid w:val="009A3899"/>
    <w:rPr>
      <w:sz w:val="24"/>
      <w:bdr w:val="none" w:sz="0" w:space="0" w:color="auto"/>
      <w:shd w:val="clear" w:color="auto" w:fill="C0C0C0"/>
    </w:rPr>
  </w:style>
  <w:style w:type="character" w:customStyle="1" w:styleId="audeg">
    <w:name w:val="au_deg"/>
    <w:rsid w:val="009A3899"/>
    <w:rPr>
      <w:sz w:val="24"/>
      <w:bdr w:val="none" w:sz="0" w:space="0" w:color="auto"/>
      <w:shd w:val="clear" w:color="auto" w:fill="FFFF00"/>
    </w:rPr>
  </w:style>
  <w:style w:type="character" w:customStyle="1" w:styleId="aufname">
    <w:name w:val="au_fname"/>
    <w:rsid w:val="009A3899"/>
    <w:rPr>
      <w:sz w:val="24"/>
      <w:bdr w:val="none" w:sz="0" w:space="0" w:color="auto"/>
      <w:shd w:val="clear" w:color="auto" w:fill="00FFFF"/>
    </w:rPr>
  </w:style>
  <w:style w:type="character" w:customStyle="1" w:styleId="aurole">
    <w:name w:val="au_role"/>
    <w:rsid w:val="009A3899"/>
    <w:rPr>
      <w:sz w:val="24"/>
      <w:bdr w:val="none" w:sz="0" w:space="0" w:color="auto"/>
      <w:shd w:val="clear" w:color="auto" w:fill="808000"/>
    </w:rPr>
  </w:style>
  <w:style w:type="character" w:customStyle="1" w:styleId="ausuffix">
    <w:name w:val="au_suffix"/>
    <w:rsid w:val="009A3899"/>
    <w:rPr>
      <w:sz w:val="24"/>
      <w:bdr w:val="none" w:sz="0" w:space="0" w:color="auto"/>
      <w:shd w:val="clear" w:color="auto" w:fill="FF00FF"/>
    </w:rPr>
  </w:style>
  <w:style w:type="character" w:customStyle="1" w:styleId="ausurname">
    <w:name w:val="au_surname"/>
    <w:rsid w:val="009A3899"/>
    <w:rPr>
      <w:sz w:val="24"/>
      <w:bdr w:val="none" w:sz="0" w:space="0" w:color="auto"/>
      <w:shd w:val="clear" w:color="auto" w:fill="00FF00"/>
    </w:rPr>
  </w:style>
  <w:style w:type="paragraph" w:customStyle="1" w:styleId="AuthorAttribute">
    <w:name w:val="Author Attribute"/>
    <w:basedOn w:val="BaseText"/>
    <w:rsid w:val="009A3899"/>
    <w:pPr>
      <w:spacing w:before="480"/>
    </w:pPr>
  </w:style>
  <w:style w:type="paragraph" w:customStyle="1" w:styleId="Footnote">
    <w:name w:val="Footnote"/>
    <w:basedOn w:val="BaseText"/>
    <w:rsid w:val="009A3899"/>
  </w:style>
  <w:style w:type="paragraph" w:customStyle="1" w:styleId="AuthorFootnote">
    <w:name w:val="AuthorFootnote"/>
    <w:basedOn w:val="Footnote"/>
    <w:rsid w:val="009A3899"/>
    <w:pPr>
      <w:autoSpaceDE w:val="0"/>
      <w:autoSpaceDN w:val="0"/>
      <w:adjustRightInd w:val="0"/>
    </w:pPr>
    <w:rPr>
      <w:lang w:bidi="he-IL"/>
    </w:rPr>
  </w:style>
  <w:style w:type="paragraph" w:customStyle="1" w:styleId="Authors">
    <w:name w:val="Authors"/>
    <w:basedOn w:val="BaseText"/>
    <w:rsid w:val="009A3899"/>
    <w:pPr>
      <w:spacing w:after="360"/>
      <w:jc w:val="center"/>
    </w:pPr>
  </w:style>
  <w:style w:type="paragraph" w:styleId="Textedebulles">
    <w:name w:val="Balloon Text"/>
    <w:basedOn w:val="Normal"/>
    <w:link w:val="TextedebullesCar"/>
    <w:semiHidden/>
    <w:rsid w:val="009A3899"/>
    <w:rPr>
      <w:rFonts w:ascii="Lucida Grande" w:eastAsia="Times New Roman" w:hAnsi="Lucida Grande"/>
      <w:sz w:val="18"/>
      <w:szCs w:val="18"/>
    </w:rPr>
  </w:style>
  <w:style w:type="character" w:customStyle="1" w:styleId="TextedebullesCar">
    <w:name w:val="Texte de bulles Car"/>
    <w:link w:val="Textedebulles"/>
    <w:semiHidden/>
    <w:rsid w:val="009A3899"/>
    <w:rPr>
      <w:rFonts w:ascii="Lucida Grande" w:eastAsia="Times New Roman" w:hAnsi="Lucida Grande"/>
      <w:sz w:val="18"/>
      <w:szCs w:val="18"/>
    </w:rPr>
  </w:style>
  <w:style w:type="character" w:customStyle="1" w:styleId="bibarticle">
    <w:name w:val="bib_article"/>
    <w:rsid w:val="009A3899"/>
    <w:rPr>
      <w:sz w:val="24"/>
      <w:bdr w:val="none" w:sz="0" w:space="0" w:color="auto"/>
      <w:shd w:val="clear" w:color="auto" w:fill="00FFFF"/>
    </w:rPr>
  </w:style>
  <w:style w:type="character" w:customStyle="1" w:styleId="bibbase">
    <w:name w:val="bib_base"/>
    <w:rsid w:val="009A3899"/>
    <w:rPr>
      <w:sz w:val="24"/>
    </w:rPr>
  </w:style>
  <w:style w:type="character" w:customStyle="1" w:styleId="bibcomment">
    <w:name w:val="bib_comment"/>
    <w:rsid w:val="009A3899"/>
    <w:rPr>
      <w:sz w:val="24"/>
    </w:rPr>
  </w:style>
  <w:style w:type="character" w:customStyle="1" w:styleId="bibdeg">
    <w:name w:val="bib_deg"/>
    <w:rsid w:val="009A3899"/>
    <w:rPr>
      <w:sz w:val="24"/>
    </w:rPr>
  </w:style>
  <w:style w:type="character" w:customStyle="1" w:styleId="bibdoi">
    <w:name w:val="bib_doi"/>
    <w:rsid w:val="009A3899"/>
    <w:rPr>
      <w:sz w:val="24"/>
      <w:bdr w:val="none" w:sz="0" w:space="0" w:color="auto"/>
      <w:shd w:val="clear" w:color="auto" w:fill="00FF00"/>
    </w:rPr>
  </w:style>
  <w:style w:type="character" w:customStyle="1" w:styleId="bibetal">
    <w:name w:val="bib_etal"/>
    <w:rsid w:val="009A3899"/>
    <w:rPr>
      <w:sz w:val="24"/>
      <w:bdr w:val="none" w:sz="0" w:space="0" w:color="auto"/>
      <w:shd w:val="clear" w:color="auto" w:fill="008080"/>
    </w:rPr>
  </w:style>
  <w:style w:type="character" w:customStyle="1" w:styleId="bibfname">
    <w:name w:val="bib_fname"/>
    <w:rsid w:val="009A3899"/>
    <w:rPr>
      <w:sz w:val="24"/>
      <w:bdr w:val="none" w:sz="0" w:space="0" w:color="auto"/>
      <w:shd w:val="clear" w:color="auto" w:fill="FFFF00"/>
    </w:rPr>
  </w:style>
  <w:style w:type="character" w:customStyle="1" w:styleId="bibfpage">
    <w:name w:val="bib_fpage"/>
    <w:rsid w:val="009A3899"/>
    <w:rPr>
      <w:sz w:val="24"/>
      <w:bdr w:val="none" w:sz="0" w:space="0" w:color="auto"/>
      <w:shd w:val="clear" w:color="auto" w:fill="808080"/>
    </w:rPr>
  </w:style>
  <w:style w:type="character" w:customStyle="1" w:styleId="bibissue">
    <w:name w:val="bib_issue"/>
    <w:rsid w:val="009A3899"/>
    <w:rPr>
      <w:sz w:val="24"/>
      <w:bdr w:val="none" w:sz="0" w:space="0" w:color="auto"/>
      <w:shd w:val="clear" w:color="auto" w:fill="FFFF00"/>
    </w:rPr>
  </w:style>
  <w:style w:type="character" w:customStyle="1" w:styleId="bibjournal">
    <w:name w:val="bib_journal"/>
    <w:rsid w:val="009A3899"/>
    <w:rPr>
      <w:sz w:val="24"/>
      <w:bdr w:val="none" w:sz="0" w:space="0" w:color="auto"/>
      <w:shd w:val="clear" w:color="auto" w:fill="808000"/>
    </w:rPr>
  </w:style>
  <w:style w:type="character" w:customStyle="1" w:styleId="biblpage">
    <w:name w:val="bib_lpage"/>
    <w:rsid w:val="009A3899"/>
    <w:rPr>
      <w:sz w:val="24"/>
      <w:bdr w:val="none" w:sz="0" w:space="0" w:color="auto"/>
      <w:shd w:val="clear" w:color="auto" w:fill="808080"/>
    </w:rPr>
  </w:style>
  <w:style w:type="character" w:customStyle="1" w:styleId="bibmedline">
    <w:name w:val="bib_medline"/>
    <w:rsid w:val="009A3899"/>
    <w:rPr>
      <w:sz w:val="24"/>
    </w:rPr>
  </w:style>
  <w:style w:type="character" w:customStyle="1" w:styleId="bibnumber">
    <w:name w:val="bib_number"/>
    <w:rsid w:val="009A3899"/>
    <w:rPr>
      <w:sz w:val="24"/>
    </w:rPr>
  </w:style>
  <w:style w:type="character" w:customStyle="1" w:styleId="biborganization">
    <w:name w:val="bib_organization"/>
    <w:rsid w:val="009A3899"/>
    <w:rPr>
      <w:sz w:val="24"/>
      <w:bdr w:val="none" w:sz="0" w:space="0" w:color="auto"/>
      <w:shd w:val="clear" w:color="auto" w:fill="808000"/>
    </w:rPr>
  </w:style>
  <w:style w:type="character" w:customStyle="1" w:styleId="bibsuffix">
    <w:name w:val="bib_suffix"/>
    <w:rsid w:val="009A3899"/>
    <w:rPr>
      <w:sz w:val="24"/>
    </w:rPr>
  </w:style>
  <w:style w:type="character" w:customStyle="1" w:styleId="bibsuppl">
    <w:name w:val="bib_suppl"/>
    <w:rsid w:val="009A3899"/>
    <w:rPr>
      <w:sz w:val="24"/>
      <w:bdr w:val="none" w:sz="0" w:space="0" w:color="auto"/>
      <w:shd w:val="clear" w:color="auto" w:fill="FFFF00"/>
    </w:rPr>
  </w:style>
  <w:style w:type="character" w:customStyle="1" w:styleId="bibsurname">
    <w:name w:val="bib_surname"/>
    <w:rsid w:val="009A3899"/>
    <w:rPr>
      <w:sz w:val="24"/>
      <w:bdr w:val="none" w:sz="0" w:space="0" w:color="auto"/>
      <w:shd w:val="clear" w:color="auto" w:fill="FFFF00"/>
    </w:rPr>
  </w:style>
  <w:style w:type="character" w:customStyle="1" w:styleId="bibunpubl">
    <w:name w:val="bib_unpubl"/>
    <w:rsid w:val="009A3899"/>
    <w:rPr>
      <w:sz w:val="24"/>
    </w:rPr>
  </w:style>
  <w:style w:type="character" w:customStyle="1" w:styleId="biburl">
    <w:name w:val="bib_url"/>
    <w:rsid w:val="009A3899"/>
    <w:rPr>
      <w:sz w:val="24"/>
      <w:bdr w:val="none" w:sz="0" w:space="0" w:color="auto"/>
      <w:shd w:val="clear" w:color="auto" w:fill="00FF00"/>
    </w:rPr>
  </w:style>
  <w:style w:type="character" w:customStyle="1" w:styleId="bibvolume">
    <w:name w:val="bib_volume"/>
    <w:rsid w:val="009A3899"/>
    <w:rPr>
      <w:sz w:val="24"/>
      <w:bdr w:val="none" w:sz="0" w:space="0" w:color="auto"/>
      <w:shd w:val="clear" w:color="auto" w:fill="00FF00"/>
    </w:rPr>
  </w:style>
  <w:style w:type="character" w:customStyle="1" w:styleId="bibyear">
    <w:name w:val="bib_year"/>
    <w:rsid w:val="009A3899"/>
    <w:rPr>
      <w:sz w:val="24"/>
      <w:bdr w:val="none" w:sz="0" w:space="0" w:color="auto"/>
      <w:shd w:val="clear" w:color="auto" w:fill="FF00FF"/>
    </w:rPr>
  </w:style>
  <w:style w:type="paragraph" w:customStyle="1" w:styleId="BookorMeetingInformation">
    <w:name w:val="Book or Meeting Information"/>
    <w:basedOn w:val="BaseText"/>
    <w:rsid w:val="009A3899"/>
  </w:style>
  <w:style w:type="paragraph" w:customStyle="1" w:styleId="BookInformation">
    <w:name w:val="BookInformation"/>
    <w:basedOn w:val="BaseText"/>
    <w:rsid w:val="009A3899"/>
  </w:style>
  <w:style w:type="paragraph" w:customStyle="1" w:styleId="Level2Head">
    <w:name w:val="Level 2 Head"/>
    <w:basedOn w:val="BaseHeading"/>
    <w:rsid w:val="009A3899"/>
    <w:pPr>
      <w:outlineLvl w:val="1"/>
    </w:pPr>
    <w:rPr>
      <w:i/>
      <w:iCs/>
      <w:sz w:val="24"/>
      <w:szCs w:val="24"/>
    </w:rPr>
  </w:style>
  <w:style w:type="paragraph" w:customStyle="1" w:styleId="BoxLevel2Head">
    <w:name w:val="BoxLevel 2 Head"/>
    <w:basedOn w:val="Level2Head"/>
    <w:rsid w:val="009A3899"/>
    <w:pPr>
      <w:shd w:val="clear" w:color="auto" w:fill="E6E6E6"/>
    </w:pPr>
  </w:style>
  <w:style w:type="paragraph" w:customStyle="1" w:styleId="BoxListUnnumbered">
    <w:name w:val="BoxListUnnumbered"/>
    <w:basedOn w:val="BaseText"/>
    <w:rsid w:val="009A3899"/>
    <w:pPr>
      <w:shd w:val="clear" w:color="auto" w:fill="E6E6E6"/>
      <w:ind w:left="1080" w:hanging="360"/>
    </w:pPr>
  </w:style>
  <w:style w:type="paragraph" w:customStyle="1" w:styleId="BoxList">
    <w:name w:val="BoxList"/>
    <w:basedOn w:val="BoxListUnnumbered"/>
    <w:rsid w:val="009A3899"/>
  </w:style>
  <w:style w:type="paragraph" w:customStyle="1" w:styleId="BoxSubhead">
    <w:name w:val="BoxSubhead"/>
    <w:basedOn w:val="Subhead"/>
    <w:rsid w:val="009A3899"/>
    <w:pPr>
      <w:shd w:val="clear" w:color="auto" w:fill="E6E6E6"/>
    </w:pPr>
  </w:style>
  <w:style w:type="paragraph" w:customStyle="1" w:styleId="Paragraph">
    <w:name w:val="Paragraph"/>
    <w:basedOn w:val="BaseText"/>
    <w:rsid w:val="009A3899"/>
    <w:pPr>
      <w:ind w:firstLine="720"/>
    </w:pPr>
  </w:style>
  <w:style w:type="paragraph" w:customStyle="1" w:styleId="BoxText">
    <w:name w:val="BoxText"/>
    <w:basedOn w:val="Paragraph"/>
    <w:rsid w:val="009A3899"/>
    <w:pPr>
      <w:shd w:val="clear" w:color="auto" w:fill="E6E6E6"/>
    </w:pPr>
  </w:style>
  <w:style w:type="paragraph" w:customStyle="1" w:styleId="BoxTitle">
    <w:name w:val="BoxTitle"/>
    <w:basedOn w:val="BaseHeading"/>
    <w:rsid w:val="009A3899"/>
    <w:pPr>
      <w:shd w:val="clear" w:color="auto" w:fill="E6E6E6"/>
    </w:pPr>
    <w:rPr>
      <w:b/>
      <w:sz w:val="24"/>
      <w:szCs w:val="24"/>
    </w:rPr>
  </w:style>
  <w:style w:type="paragraph" w:customStyle="1" w:styleId="BulletedText">
    <w:name w:val="Bulleted Text"/>
    <w:basedOn w:val="BaseText"/>
    <w:rsid w:val="009A3899"/>
    <w:pPr>
      <w:ind w:left="720" w:hanging="720"/>
    </w:pPr>
  </w:style>
  <w:style w:type="paragraph" w:customStyle="1" w:styleId="career-magazine">
    <w:name w:val="career-magazine"/>
    <w:basedOn w:val="BaseText"/>
    <w:rsid w:val="009A3899"/>
    <w:pPr>
      <w:jc w:val="right"/>
    </w:pPr>
    <w:rPr>
      <w:color w:val="FF0000"/>
    </w:rPr>
  </w:style>
  <w:style w:type="paragraph" w:customStyle="1" w:styleId="career-stage">
    <w:name w:val="career-stage"/>
    <w:basedOn w:val="BaseText"/>
    <w:rsid w:val="009A3899"/>
    <w:pPr>
      <w:jc w:val="right"/>
    </w:pPr>
    <w:rPr>
      <w:color w:val="339966"/>
    </w:rPr>
  </w:style>
  <w:style w:type="character" w:customStyle="1" w:styleId="citebase">
    <w:name w:val="cite_base"/>
    <w:rsid w:val="009A3899"/>
    <w:rPr>
      <w:sz w:val="24"/>
    </w:rPr>
  </w:style>
  <w:style w:type="character" w:customStyle="1" w:styleId="citebib">
    <w:name w:val="cite_bib"/>
    <w:rsid w:val="009A3899"/>
    <w:rPr>
      <w:sz w:val="24"/>
      <w:bdr w:val="none" w:sz="0" w:space="0" w:color="auto"/>
      <w:shd w:val="clear" w:color="auto" w:fill="00FFFF"/>
    </w:rPr>
  </w:style>
  <w:style w:type="character" w:customStyle="1" w:styleId="citebox">
    <w:name w:val="cite_box"/>
    <w:rsid w:val="009A3899"/>
    <w:rPr>
      <w:sz w:val="24"/>
    </w:rPr>
  </w:style>
  <w:style w:type="character" w:customStyle="1" w:styleId="citeen">
    <w:name w:val="cite_en"/>
    <w:rsid w:val="009A3899"/>
    <w:rPr>
      <w:sz w:val="24"/>
      <w:shd w:val="clear" w:color="auto" w:fill="FFFF00"/>
      <w:vertAlign w:val="superscript"/>
    </w:rPr>
  </w:style>
  <w:style w:type="character" w:customStyle="1" w:styleId="citeeq">
    <w:name w:val="cite_eq"/>
    <w:rsid w:val="009A3899"/>
    <w:rPr>
      <w:sz w:val="24"/>
      <w:bdr w:val="none" w:sz="0" w:space="0" w:color="auto"/>
      <w:shd w:val="clear" w:color="auto" w:fill="FF99CC"/>
    </w:rPr>
  </w:style>
  <w:style w:type="character" w:customStyle="1" w:styleId="citefig">
    <w:name w:val="cite_fig"/>
    <w:rsid w:val="009A3899"/>
    <w:rPr>
      <w:color w:val="000000"/>
      <w:sz w:val="24"/>
      <w:bdr w:val="none" w:sz="0" w:space="0" w:color="auto"/>
      <w:shd w:val="clear" w:color="auto" w:fill="00FF00"/>
    </w:rPr>
  </w:style>
  <w:style w:type="character" w:customStyle="1" w:styleId="citefn">
    <w:name w:val="cite_fn"/>
    <w:rsid w:val="009A3899"/>
    <w:rPr>
      <w:sz w:val="24"/>
      <w:bdr w:val="none" w:sz="0" w:space="0" w:color="auto"/>
      <w:shd w:val="clear" w:color="auto" w:fill="FF0000"/>
    </w:rPr>
  </w:style>
  <w:style w:type="character" w:customStyle="1" w:styleId="citetbl">
    <w:name w:val="cite_tbl"/>
    <w:rsid w:val="009A3899"/>
    <w:rPr>
      <w:color w:val="000000"/>
      <w:sz w:val="24"/>
      <w:bdr w:val="none" w:sz="0" w:space="0" w:color="auto"/>
      <w:shd w:val="clear" w:color="auto" w:fill="FF00FF"/>
    </w:rPr>
  </w:style>
  <w:style w:type="character" w:styleId="Marquedecommentaire">
    <w:name w:val="annotation reference"/>
    <w:rsid w:val="009A3899"/>
    <w:rPr>
      <w:sz w:val="18"/>
      <w:szCs w:val="18"/>
    </w:rPr>
  </w:style>
  <w:style w:type="paragraph" w:styleId="Commentaire">
    <w:name w:val="annotation text"/>
    <w:basedOn w:val="Normal"/>
    <w:link w:val="CommentaireCar"/>
    <w:semiHidden/>
    <w:rsid w:val="009A3899"/>
    <w:rPr>
      <w:rFonts w:eastAsia="Times New Roman"/>
    </w:rPr>
  </w:style>
  <w:style w:type="character" w:customStyle="1" w:styleId="CommentaireCar">
    <w:name w:val="Commentaire Car"/>
    <w:link w:val="Commentaire"/>
    <w:semiHidden/>
    <w:rsid w:val="009A3899"/>
    <w:rPr>
      <w:rFonts w:ascii="Times New Roman" w:eastAsia="Times New Roman" w:hAnsi="Times New Roman"/>
      <w:sz w:val="20"/>
      <w:szCs w:val="20"/>
    </w:rPr>
  </w:style>
  <w:style w:type="paragraph" w:styleId="Objetducommentaire">
    <w:name w:val="annotation subject"/>
    <w:basedOn w:val="Commentaire"/>
    <w:next w:val="Commentaire"/>
    <w:link w:val="ObjetducommentaireCar"/>
    <w:uiPriority w:val="99"/>
    <w:semiHidden/>
    <w:unhideWhenUsed/>
    <w:rsid w:val="009A3899"/>
    <w:rPr>
      <w:b/>
      <w:bCs/>
    </w:rPr>
  </w:style>
  <w:style w:type="character" w:customStyle="1" w:styleId="ObjetducommentaireCar">
    <w:name w:val="Objet du commentaire Car"/>
    <w:link w:val="Objetducommentaire"/>
    <w:uiPriority w:val="99"/>
    <w:semiHidden/>
    <w:rsid w:val="009A3899"/>
    <w:rPr>
      <w:rFonts w:ascii="Times New Roman" w:eastAsia="Times New Roman" w:hAnsi="Times New Roman"/>
      <w:b/>
      <w:bCs/>
      <w:sz w:val="20"/>
      <w:szCs w:val="20"/>
    </w:rPr>
  </w:style>
  <w:style w:type="paragraph" w:customStyle="1" w:styleId="ContinuedParagraph">
    <w:name w:val="ContinuedParagraph"/>
    <w:basedOn w:val="Paragraph"/>
    <w:rsid w:val="009A3899"/>
    <w:pPr>
      <w:ind w:firstLine="0"/>
    </w:pPr>
  </w:style>
  <w:style w:type="character" w:customStyle="1" w:styleId="ContractNumber">
    <w:name w:val="Contract Number"/>
    <w:rsid w:val="009A3899"/>
    <w:rPr>
      <w:sz w:val="24"/>
      <w:szCs w:val="24"/>
      <w:bdr w:val="none" w:sz="0" w:space="0" w:color="auto"/>
      <w:shd w:val="clear" w:color="auto" w:fill="CCFFCC"/>
    </w:rPr>
  </w:style>
  <w:style w:type="character" w:customStyle="1" w:styleId="ContractSponsor">
    <w:name w:val="Contract Sponsor"/>
    <w:rsid w:val="009A3899"/>
    <w:rPr>
      <w:sz w:val="24"/>
      <w:szCs w:val="24"/>
      <w:bdr w:val="none" w:sz="0" w:space="0" w:color="auto"/>
      <w:shd w:val="clear" w:color="auto" w:fill="FFCC99"/>
    </w:rPr>
  </w:style>
  <w:style w:type="paragraph" w:customStyle="1" w:styleId="Correspondence">
    <w:name w:val="Correspondence"/>
    <w:basedOn w:val="BaseText"/>
    <w:rsid w:val="009A3899"/>
    <w:pPr>
      <w:spacing w:before="0" w:after="240"/>
    </w:pPr>
  </w:style>
  <w:style w:type="paragraph" w:customStyle="1" w:styleId="DateAccepted">
    <w:name w:val="Date Accepted"/>
    <w:basedOn w:val="BaseText"/>
    <w:rsid w:val="009A3899"/>
    <w:pPr>
      <w:spacing w:before="360"/>
    </w:pPr>
  </w:style>
  <w:style w:type="paragraph" w:customStyle="1" w:styleId="Deck">
    <w:name w:val="Deck"/>
    <w:basedOn w:val="BaseHeading"/>
    <w:rsid w:val="009A3899"/>
    <w:pPr>
      <w:outlineLvl w:val="1"/>
    </w:pPr>
  </w:style>
  <w:style w:type="paragraph" w:customStyle="1" w:styleId="DefTerm">
    <w:name w:val="DefTerm"/>
    <w:basedOn w:val="BaseText"/>
    <w:rsid w:val="009A3899"/>
    <w:pPr>
      <w:ind w:left="720"/>
    </w:pPr>
  </w:style>
  <w:style w:type="paragraph" w:customStyle="1" w:styleId="Definition">
    <w:name w:val="Definition"/>
    <w:basedOn w:val="DefTerm"/>
    <w:rsid w:val="009A3899"/>
    <w:pPr>
      <w:ind w:left="1080" w:hanging="360"/>
    </w:pPr>
  </w:style>
  <w:style w:type="paragraph" w:customStyle="1" w:styleId="DefListTitle">
    <w:name w:val="DefListTitle"/>
    <w:basedOn w:val="BaseHeading"/>
    <w:rsid w:val="009A3899"/>
  </w:style>
  <w:style w:type="paragraph" w:customStyle="1" w:styleId="discipline">
    <w:name w:val="discipline"/>
    <w:basedOn w:val="BaseText"/>
    <w:rsid w:val="009A3899"/>
    <w:pPr>
      <w:jc w:val="right"/>
    </w:pPr>
    <w:rPr>
      <w:color w:val="993366"/>
    </w:rPr>
  </w:style>
  <w:style w:type="paragraph" w:customStyle="1" w:styleId="Editors">
    <w:name w:val="Editors"/>
    <w:basedOn w:val="Authors"/>
    <w:rsid w:val="009A3899"/>
  </w:style>
  <w:style w:type="character" w:styleId="Accentuation">
    <w:name w:val="Emphasis"/>
    <w:uiPriority w:val="20"/>
    <w:qFormat/>
    <w:rsid w:val="009A3899"/>
    <w:rPr>
      <w:i/>
      <w:iCs/>
    </w:rPr>
  </w:style>
  <w:style w:type="character" w:styleId="Appeldenotedefin">
    <w:name w:val="endnote reference"/>
    <w:semiHidden/>
    <w:rsid w:val="009A3899"/>
    <w:rPr>
      <w:vertAlign w:val="superscript"/>
    </w:rPr>
  </w:style>
  <w:style w:type="paragraph" w:styleId="Notedefin">
    <w:name w:val="endnote text"/>
    <w:basedOn w:val="Normal"/>
    <w:link w:val="NotedefinCar"/>
    <w:semiHidden/>
    <w:rsid w:val="009A3899"/>
    <w:rPr>
      <w:rFonts w:ascii="Cambria" w:eastAsia="Cambria" w:hAnsi="Cambria"/>
    </w:rPr>
  </w:style>
  <w:style w:type="character" w:customStyle="1" w:styleId="NotedefinCar">
    <w:name w:val="Note de fin Car"/>
    <w:link w:val="Notedefin"/>
    <w:semiHidden/>
    <w:rsid w:val="009A3899"/>
    <w:rPr>
      <w:rFonts w:ascii="Cambria" w:eastAsia="Cambria" w:hAnsi="Cambria"/>
      <w:sz w:val="20"/>
      <w:szCs w:val="20"/>
    </w:rPr>
  </w:style>
  <w:style w:type="character" w:customStyle="1" w:styleId="eqno">
    <w:name w:val="eq_no"/>
    <w:rsid w:val="009A3899"/>
    <w:rPr>
      <w:sz w:val="24"/>
    </w:rPr>
  </w:style>
  <w:style w:type="paragraph" w:customStyle="1" w:styleId="Equation">
    <w:name w:val="Equation"/>
    <w:basedOn w:val="BaseText"/>
    <w:rsid w:val="009A3899"/>
    <w:pPr>
      <w:jc w:val="center"/>
    </w:pPr>
  </w:style>
  <w:style w:type="paragraph" w:customStyle="1" w:styleId="FieldCodes">
    <w:name w:val="FieldCodes"/>
    <w:basedOn w:val="BaseText"/>
    <w:rsid w:val="009A3899"/>
  </w:style>
  <w:style w:type="paragraph" w:customStyle="1" w:styleId="Legend">
    <w:name w:val="Legend"/>
    <w:basedOn w:val="BaseHeading"/>
    <w:rsid w:val="009A3899"/>
    <w:rPr>
      <w:sz w:val="24"/>
      <w:szCs w:val="24"/>
    </w:rPr>
  </w:style>
  <w:style w:type="paragraph" w:customStyle="1" w:styleId="FigureCopyright">
    <w:name w:val="FigureCopyright"/>
    <w:basedOn w:val="Legend"/>
    <w:rsid w:val="009A3899"/>
    <w:pPr>
      <w:autoSpaceDE w:val="0"/>
      <w:autoSpaceDN w:val="0"/>
      <w:adjustRightInd w:val="0"/>
      <w:spacing w:before="80"/>
    </w:pPr>
    <w:rPr>
      <w:lang w:bidi="he-IL"/>
    </w:rPr>
  </w:style>
  <w:style w:type="paragraph" w:customStyle="1" w:styleId="FigureCredit">
    <w:name w:val="FigureCredit"/>
    <w:basedOn w:val="FigureCopyright"/>
    <w:rsid w:val="009A3899"/>
  </w:style>
  <w:style w:type="character" w:styleId="Lienhypertextesuivivisit">
    <w:name w:val="FollowedHyperlink"/>
    <w:rsid w:val="009A3899"/>
    <w:rPr>
      <w:color w:val="800080"/>
      <w:u w:val="single"/>
    </w:rPr>
  </w:style>
  <w:style w:type="paragraph" w:styleId="Pieddepage">
    <w:name w:val="footer"/>
    <w:basedOn w:val="Normal"/>
    <w:link w:val="PieddepageCar"/>
    <w:uiPriority w:val="99"/>
    <w:rsid w:val="009A3899"/>
    <w:pPr>
      <w:tabs>
        <w:tab w:val="center" w:pos="4320"/>
        <w:tab w:val="right" w:pos="8640"/>
      </w:tabs>
    </w:pPr>
    <w:rPr>
      <w:rFonts w:eastAsia="Times New Roman"/>
    </w:rPr>
  </w:style>
  <w:style w:type="character" w:customStyle="1" w:styleId="PieddepageCar">
    <w:name w:val="Pied de page Car"/>
    <w:link w:val="Pieddepage"/>
    <w:uiPriority w:val="99"/>
    <w:rsid w:val="009A3899"/>
    <w:rPr>
      <w:rFonts w:ascii="Times New Roman" w:eastAsia="Times New Roman" w:hAnsi="Times New Roman"/>
      <w:sz w:val="20"/>
      <w:szCs w:val="20"/>
    </w:rPr>
  </w:style>
  <w:style w:type="character" w:styleId="Appelnotedebasdep">
    <w:name w:val="footnote reference"/>
    <w:semiHidden/>
    <w:rsid w:val="009A3899"/>
    <w:rPr>
      <w:vertAlign w:val="superscript"/>
    </w:rPr>
  </w:style>
  <w:style w:type="paragraph" w:customStyle="1" w:styleId="Gloss">
    <w:name w:val="Gloss"/>
    <w:basedOn w:val="AbstractSummary"/>
    <w:rsid w:val="009A3899"/>
  </w:style>
  <w:style w:type="paragraph" w:customStyle="1" w:styleId="Glossary">
    <w:name w:val="Glossary"/>
    <w:basedOn w:val="BaseText"/>
    <w:rsid w:val="009A3899"/>
  </w:style>
  <w:style w:type="paragraph" w:customStyle="1" w:styleId="GlossHead">
    <w:name w:val="GlossHead"/>
    <w:basedOn w:val="AbstractHead"/>
    <w:rsid w:val="009A3899"/>
  </w:style>
  <w:style w:type="paragraph" w:customStyle="1" w:styleId="GraphicAltText">
    <w:name w:val="GraphicAltText"/>
    <w:basedOn w:val="Legend"/>
    <w:rsid w:val="009A3899"/>
    <w:pPr>
      <w:autoSpaceDE w:val="0"/>
      <w:autoSpaceDN w:val="0"/>
      <w:adjustRightInd w:val="0"/>
    </w:pPr>
  </w:style>
  <w:style w:type="paragraph" w:customStyle="1" w:styleId="GraphicCredit">
    <w:name w:val="GraphicCredit"/>
    <w:basedOn w:val="FigureCredit"/>
    <w:rsid w:val="009A3899"/>
  </w:style>
  <w:style w:type="paragraph" w:customStyle="1" w:styleId="Head">
    <w:name w:val="Head"/>
    <w:basedOn w:val="BaseHeading"/>
    <w:rsid w:val="009A3899"/>
    <w:pPr>
      <w:spacing w:before="120" w:after="120"/>
      <w:jc w:val="center"/>
    </w:pPr>
    <w:rPr>
      <w:b/>
      <w:bCs/>
    </w:rPr>
  </w:style>
  <w:style w:type="paragraph" w:styleId="En-tte">
    <w:name w:val="header"/>
    <w:basedOn w:val="Normal"/>
    <w:link w:val="En-tteCar"/>
    <w:rsid w:val="009A3899"/>
    <w:pPr>
      <w:tabs>
        <w:tab w:val="center" w:pos="4320"/>
        <w:tab w:val="right" w:pos="8640"/>
      </w:tabs>
    </w:pPr>
    <w:rPr>
      <w:rFonts w:eastAsia="Times New Roman"/>
    </w:rPr>
  </w:style>
  <w:style w:type="character" w:customStyle="1" w:styleId="En-tteCar">
    <w:name w:val="En-tête Car"/>
    <w:link w:val="En-tte"/>
    <w:rsid w:val="009A3899"/>
    <w:rPr>
      <w:rFonts w:ascii="Times New Roman" w:eastAsia="Times New Roman" w:hAnsi="Times New Roman"/>
      <w:sz w:val="20"/>
      <w:szCs w:val="20"/>
    </w:rPr>
  </w:style>
  <w:style w:type="character" w:styleId="AcronymeHTML">
    <w:name w:val="HTML Acronym"/>
    <w:basedOn w:val="Policepardfaut"/>
    <w:rsid w:val="009A3899"/>
  </w:style>
  <w:style w:type="character" w:styleId="CitationHTML">
    <w:name w:val="HTML Cite"/>
    <w:rsid w:val="009A3899"/>
    <w:rPr>
      <w:i/>
      <w:iCs/>
    </w:rPr>
  </w:style>
  <w:style w:type="character" w:styleId="CodeHTML">
    <w:name w:val="HTML Code"/>
    <w:rsid w:val="009A3899"/>
    <w:rPr>
      <w:rFonts w:ascii="Courier New" w:hAnsi="Courier New" w:cs="Courier New"/>
      <w:sz w:val="20"/>
      <w:szCs w:val="20"/>
    </w:rPr>
  </w:style>
  <w:style w:type="character" w:styleId="DfinitionHTML">
    <w:name w:val="HTML Definition"/>
    <w:rsid w:val="009A3899"/>
    <w:rPr>
      <w:i/>
      <w:iCs/>
    </w:rPr>
  </w:style>
  <w:style w:type="character" w:styleId="ClavierHTML">
    <w:name w:val="HTML Keyboard"/>
    <w:rsid w:val="009A3899"/>
    <w:rPr>
      <w:rFonts w:ascii="Courier New" w:hAnsi="Courier New" w:cs="Courier New"/>
      <w:sz w:val="20"/>
      <w:szCs w:val="20"/>
    </w:rPr>
  </w:style>
  <w:style w:type="paragraph" w:styleId="PrformatHTML">
    <w:name w:val="HTML Preformatted"/>
    <w:basedOn w:val="Normal"/>
    <w:link w:val="PrformatHTMLCar"/>
    <w:rsid w:val="009A3899"/>
    <w:rPr>
      <w:rFonts w:ascii="Consolas" w:eastAsia="Times New Roman" w:hAnsi="Consolas"/>
    </w:rPr>
  </w:style>
  <w:style w:type="character" w:customStyle="1" w:styleId="PrformatHTMLCar">
    <w:name w:val="Préformaté HTML Car"/>
    <w:link w:val="PrformatHTML"/>
    <w:rsid w:val="009A3899"/>
    <w:rPr>
      <w:rFonts w:ascii="Consolas" w:eastAsia="Times New Roman" w:hAnsi="Consolas"/>
      <w:sz w:val="20"/>
      <w:szCs w:val="20"/>
    </w:rPr>
  </w:style>
  <w:style w:type="character" w:styleId="ExempleHTML">
    <w:name w:val="HTML Sample"/>
    <w:rsid w:val="009A3899"/>
    <w:rPr>
      <w:rFonts w:ascii="Courier New" w:hAnsi="Courier New" w:cs="Courier New"/>
    </w:rPr>
  </w:style>
  <w:style w:type="character" w:styleId="MachinecrireHTML">
    <w:name w:val="HTML Typewriter"/>
    <w:rsid w:val="009A3899"/>
    <w:rPr>
      <w:rFonts w:ascii="Courier New" w:hAnsi="Courier New" w:cs="Courier New"/>
      <w:sz w:val="20"/>
      <w:szCs w:val="20"/>
    </w:rPr>
  </w:style>
  <w:style w:type="character" w:styleId="VariableHTML">
    <w:name w:val="HTML Variable"/>
    <w:rsid w:val="009A3899"/>
    <w:rPr>
      <w:i/>
      <w:iCs/>
    </w:rPr>
  </w:style>
  <w:style w:type="character" w:styleId="Lienhypertexte">
    <w:name w:val="Hyperlink"/>
    <w:rsid w:val="009A3899"/>
    <w:rPr>
      <w:color w:val="0000FF"/>
      <w:u w:val="single"/>
    </w:rPr>
  </w:style>
  <w:style w:type="paragraph" w:customStyle="1" w:styleId="InstructionsText">
    <w:name w:val="Instructions Text"/>
    <w:basedOn w:val="BaseText"/>
    <w:rsid w:val="009A3899"/>
  </w:style>
  <w:style w:type="paragraph" w:customStyle="1" w:styleId="Overline">
    <w:name w:val="Overline"/>
    <w:basedOn w:val="BaseText"/>
    <w:rsid w:val="009A3899"/>
  </w:style>
  <w:style w:type="paragraph" w:customStyle="1" w:styleId="IssueName">
    <w:name w:val="IssueName"/>
    <w:basedOn w:val="Overline"/>
    <w:rsid w:val="009A3899"/>
  </w:style>
  <w:style w:type="paragraph" w:customStyle="1" w:styleId="Keywords">
    <w:name w:val="Keywords"/>
    <w:basedOn w:val="BaseText"/>
    <w:rsid w:val="009A3899"/>
  </w:style>
  <w:style w:type="paragraph" w:customStyle="1" w:styleId="Level3Head">
    <w:name w:val="Level 3 Head"/>
    <w:basedOn w:val="BaseHeading"/>
    <w:rsid w:val="009A3899"/>
    <w:pPr>
      <w:outlineLvl w:val="2"/>
    </w:pPr>
    <w:rPr>
      <w:sz w:val="24"/>
      <w:szCs w:val="24"/>
      <w:u w:val="single"/>
    </w:rPr>
  </w:style>
  <w:style w:type="paragraph" w:customStyle="1" w:styleId="Level4Head">
    <w:name w:val="Level 4 Head"/>
    <w:basedOn w:val="BaseHeading"/>
    <w:rsid w:val="009A3899"/>
    <w:pPr>
      <w:ind w:left="346"/>
    </w:pPr>
    <w:rPr>
      <w:sz w:val="24"/>
      <w:szCs w:val="24"/>
    </w:rPr>
  </w:style>
  <w:style w:type="character" w:styleId="Numrodeligne">
    <w:name w:val="line number"/>
    <w:basedOn w:val="Policepardfaut"/>
    <w:rsid w:val="009A3899"/>
  </w:style>
  <w:style w:type="paragraph" w:customStyle="1" w:styleId="Literaryquote">
    <w:name w:val="Literary quote"/>
    <w:basedOn w:val="BaseText"/>
    <w:rsid w:val="009A3899"/>
    <w:pPr>
      <w:ind w:left="1440" w:right="1440"/>
    </w:pPr>
  </w:style>
  <w:style w:type="paragraph" w:customStyle="1" w:styleId="MaterialsText">
    <w:name w:val="Materials Text"/>
    <w:basedOn w:val="BaseText"/>
    <w:rsid w:val="009A3899"/>
  </w:style>
  <w:style w:type="paragraph" w:customStyle="1" w:styleId="NoteInProof">
    <w:name w:val="NoteInProof"/>
    <w:basedOn w:val="BaseText"/>
    <w:rsid w:val="009A3899"/>
  </w:style>
  <w:style w:type="paragraph" w:customStyle="1" w:styleId="Notes">
    <w:name w:val="Notes"/>
    <w:basedOn w:val="BaseText"/>
    <w:rsid w:val="009A3899"/>
    <w:rPr>
      <w:i/>
    </w:rPr>
  </w:style>
  <w:style w:type="paragraph" w:customStyle="1" w:styleId="Notes-Helvetica">
    <w:name w:val="Notes-Helvetica"/>
    <w:basedOn w:val="BaseText"/>
    <w:rsid w:val="009A3899"/>
    <w:rPr>
      <w:i/>
    </w:rPr>
  </w:style>
  <w:style w:type="paragraph" w:customStyle="1" w:styleId="NumberedInstructions">
    <w:name w:val="Numbered Instructions"/>
    <w:basedOn w:val="BaseText"/>
    <w:rsid w:val="009A3899"/>
  </w:style>
  <w:style w:type="paragraph" w:customStyle="1" w:styleId="OutlineLevel1">
    <w:name w:val="OutlineLevel1"/>
    <w:basedOn w:val="BaseHeading"/>
    <w:rsid w:val="009A3899"/>
    <w:rPr>
      <w:b/>
      <w:bCs/>
    </w:rPr>
  </w:style>
  <w:style w:type="paragraph" w:customStyle="1" w:styleId="OutlineLevel2">
    <w:name w:val="OutlineLevel2"/>
    <w:basedOn w:val="BaseHeading"/>
    <w:rsid w:val="009A3899"/>
    <w:pPr>
      <w:ind w:left="360"/>
      <w:outlineLvl w:val="1"/>
    </w:pPr>
    <w:rPr>
      <w:b/>
      <w:bCs/>
      <w:sz w:val="24"/>
      <w:szCs w:val="24"/>
    </w:rPr>
  </w:style>
  <w:style w:type="paragraph" w:customStyle="1" w:styleId="OutlineLevel3">
    <w:name w:val="OutlineLevel3"/>
    <w:basedOn w:val="BaseHeading"/>
    <w:rsid w:val="009A3899"/>
    <w:pPr>
      <w:ind w:left="720"/>
      <w:outlineLvl w:val="2"/>
    </w:pPr>
    <w:rPr>
      <w:b/>
      <w:bCs/>
      <w:sz w:val="24"/>
      <w:szCs w:val="24"/>
    </w:rPr>
  </w:style>
  <w:style w:type="character" w:styleId="Numrodepage">
    <w:name w:val="page number"/>
    <w:basedOn w:val="Policepardfaut"/>
    <w:rsid w:val="009A3899"/>
  </w:style>
  <w:style w:type="paragraph" w:customStyle="1" w:styleId="Preformat">
    <w:name w:val="Preformat"/>
    <w:basedOn w:val="BaseText"/>
    <w:rsid w:val="009A3899"/>
    <w:pPr>
      <w:tabs>
        <w:tab w:val="left" w:pos="360"/>
        <w:tab w:val="left" w:pos="720"/>
        <w:tab w:val="left" w:pos="1080"/>
        <w:tab w:val="left" w:pos="1440"/>
        <w:tab w:val="left" w:pos="1800"/>
        <w:tab w:val="left" w:pos="2160"/>
        <w:tab w:val="left" w:pos="2520"/>
        <w:tab w:val="left" w:pos="2880"/>
      </w:tabs>
    </w:pPr>
    <w:rPr>
      <w:rFonts w:ascii="Courier New" w:hAnsi="Courier New" w:cs="Courier New"/>
    </w:rPr>
  </w:style>
  <w:style w:type="paragraph" w:customStyle="1" w:styleId="ProductAuthors">
    <w:name w:val="ProductAuthors"/>
    <w:basedOn w:val="BaseText"/>
    <w:rsid w:val="009A3899"/>
  </w:style>
  <w:style w:type="paragraph" w:customStyle="1" w:styleId="ProductInformation">
    <w:name w:val="ProductInformation"/>
    <w:basedOn w:val="BaseText"/>
    <w:rsid w:val="009A3899"/>
  </w:style>
  <w:style w:type="paragraph" w:customStyle="1" w:styleId="ProductTitle">
    <w:name w:val="ProductTitle"/>
    <w:basedOn w:val="BaseText"/>
    <w:rsid w:val="009A3899"/>
    <w:rPr>
      <w:b/>
      <w:bCs/>
    </w:rPr>
  </w:style>
  <w:style w:type="paragraph" w:customStyle="1" w:styleId="PublishedOnline">
    <w:name w:val="Published Online"/>
    <w:basedOn w:val="DateAccepted"/>
    <w:rsid w:val="009A3899"/>
  </w:style>
  <w:style w:type="paragraph" w:customStyle="1" w:styleId="RecipeMaterials">
    <w:name w:val="Recipe Materials"/>
    <w:basedOn w:val="BaseText"/>
    <w:rsid w:val="009A3899"/>
  </w:style>
  <w:style w:type="paragraph" w:customStyle="1" w:styleId="Refhead">
    <w:name w:val="Ref head"/>
    <w:basedOn w:val="BaseHeading"/>
    <w:rsid w:val="009A3899"/>
    <w:pPr>
      <w:spacing w:before="120" w:after="120"/>
    </w:pPr>
    <w:rPr>
      <w:b/>
      <w:bCs/>
      <w:sz w:val="24"/>
      <w:szCs w:val="24"/>
    </w:rPr>
  </w:style>
  <w:style w:type="paragraph" w:customStyle="1" w:styleId="ReferenceNote">
    <w:name w:val="Reference Note"/>
    <w:basedOn w:val="Referencesandnotes"/>
    <w:rsid w:val="009A3899"/>
  </w:style>
  <w:style w:type="paragraph" w:customStyle="1" w:styleId="ReferencesandnotesLong">
    <w:name w:val="References and notes Long"/>
    <w:basedOn w:val="BaseText"/>
    <w:rsid w:val="009A3899"/>
    <w:pPr>
      <w:ind w:left="720" w:hanging="720"/>
    </w:pPr>
  </w:style>
  <w:style w:type="paragraph" w:customStyle="1" w:styleId="region">
    <w:name w:val="region"/>
    <w:basedOn w:val="BaseText"/>
    <w:rsid w:val="009A3899"/>
    <w:pPr>
      <w:jc w:val="right"/>
    </w:pPr>
    <w:rPr>
      <w:color w:val="0000FF"/>
    </w:rPr>
  </w:style>
  <w:style w:type="paragraph" w:customStyle="1" w:styleId="RelatedArticle">
    <w:name w:val="RelatedArticle"/>
    <w:basedOn w:val="Referencesandnotes"/>
    <w:rsid w:val="009A3899"/>
  </w:style>
  <w:style w:type="paragraph" w:customStyle="1" w:styleId="RunHead">
    <w:name w:val="RunHead"/>
    <w:basedOn w:val="BaseText"/>
    <w:rsid w:val="009A3899"/>
  </w:style>
  <w:style w:type="paragraph" w:customStyle="1" w:styleId="SOMContent">
    <w:name w:val="SOMContent"/>
    <w:basedOn w:val="1stparatext"/>
    <w:rsid w:val="009A3899"/>
  </w:style>
  <w:style w:type="paragraph" w:customStyle="1" w:styleId="SOMHead">
    <w:name w:val="SOMHead"/>
    <w:basedOn w:val="BaseHeading"/>
    <w:rsid w:val="009A3899"/>
    <w:rPr>
      <w:b/>
      <w:sz w:val="24"/>
      <w:szCs w:val="24"/>
    </w:rPr>
  </w:style>
  <w:style w:type="paragraph" w:customStyle="1" w:styleId="Speaker">
    <w:name w:val="Speaker"/>
    <w:basedOn w:val="Paragraph"/>
    <w:rsid w:val="009A3899"/>
    <w:pPr>
      <w:autoSpaceDE w:val="0"/>
      <w:autoSpaceDN w:val="0"/>
      <w:adjustRightInd w:val="0"/>
    </w:pPr>
    <w:rPr>
      <w:b/>
      <w:lang w:bidi="he-IL"/>
    </w:rPr>
  </w:style>
  <w:style w:type="paragraph" w:customStyle="1" w:styleId="Speech">
    <w:name w:val="Speech"/>
    <w:basedOn w:val="Paragraph"/>
    <w:rsid w:val="009A3899"/>
    <w:pPr>
      <w:autoSpaceDE w:val="0"/>
      <w:autoSpaceDN w:val="0"/>
      <w:adjustRightInd w:val="0"/>
    </w:pPr>
    <w:rPr>
      <w:lang w:bidi="he-IL"/>
    </w:rPr>
  </w:style>
  <w:style w:type="character" w:styleId="lev">
    <w:name w:val="Strong"/>
    <w:uiPriority w:val="22"/>
    <w:qFormat/>
    <w:rsid w:val="009A3899"/>
    <w:rPr>
      <w:b/>
      <w:bCs/>
    </w:rPr>
  </w:style>
  <w:style w:type="paragraph" w:customStyle="1" w:styleId="SX-Abstract">
    <w:name w:val="SX-Abstract"/>
    <w:basedOn w:val="Normal"/>
    <w:qFormat/>
    <w:rsid w:val="009A3899"/>
    <w:pPr>
      <w:widowControl w:val="0"/>
      <w:spacing w:before="120" w:after="240" w:line="210" w:lineRule="exact"/>
      <w:ind w:left="700" w:right="700"/>
      <w:jc w:val="both"/>
    </w:pPr>
    <w:rPr>
      <w:rFonts w:ascii="BlissRegular" w:eastAsia="Times New Roman" w:hAnsi="BlissRegular"/>
      <w:b/>
    </w:rPr>
  </w:style>
  <w:style w:type="paragraph" w:customStyle="1" w:styleId="SX-Affiliation">
    <w:name w:val="SX-Affiliation"/>
    <w:basedOn w:val="Normal"/>
    <w:next w:val="Normal"/>
    <w:qFormat/>
    <w:rsid w:val="009A3899"/>
    <w:pPr>
      <w:spacing w:after="160" w:line="190" w:lineRule="exact"/>
    </w:pPr>
    <w:rPr>
      <w:rFonts w:ascii="BlissRegular" w:eastAsia="Times New Roman" w:hAnsi="BlissRegular"/>
      <w:sz w:val="16"/>
    </w:rPr>
  </w:style>
  <w:style w:type="paragraph" w:customStyle="1" w:styleId="SX-Articlehead">
    <w:name w:val="SX-Article head"/>
    <w:basedOn w:val="Normal"/>
    <w:qFormat/>
    <w:rsid w:val="009A3899"/>
    <w:pPr>
      <w:spacing w:before="210" w:line="210" w:lineRule="exact"/>
      <w:ind w:firstLine="288"/>
      <w:jc w:val="both"/>
    </w:pPr>
    <w:rPr>
      <w:rFonts w:eastAsia="Times New Roman"/>
      <w:b/>
      <w:sz w:val="18"/>
    </w:rPr>
  </w:style>
  <w:style w:type="paragraph" w:customStyle="1" w:styleId="SX-Authornames">
    <w:name w:val="SX-Author names"/>
    <w:basedOn w:val="Normal"/>
    <w:rsid w:val="009A3899"/>
    <w:pPr>
      <w:spacing w:after="120" w:line="210" w:lineRule="exact"/>
    </w:pPr>
    <w:rPr>
      <w:rFonts w:ascii="BlissMedium" w:eastAsia="Times New Roman" w:hAnsi="BlissMedium"/>
    </w:rPr>
  </w:style>
  <w:style w:type="paragraph" w:customStyle="1" w:styleId="SX-Bodytext">
    <w:name w:val="SX-Body text"/>
    <w:basedOn w:val="Normal"/>
    <w:next w:val="Normal"/>
    <w:rsid w:val="009A3899"/>
    <w:pPr>
      <w:spacing w:line="210" w:lineRule="exact"/>
      <w:ind w:firstLine="288"/>
      <w:jc w:val="both"/>
    </w:pPr>
    <w:rPr>
      <w:rFonts w:eastAsia="Times New Roman"/>
      <w:sz w:val="18"/>
    </w:rPr>
  </w:style>
  <w:style w:type="paragraph" w:customStyle="1" w:styleId="SX-Bodytextflush">
    <w:name w:val="SX-Body text flush"/>
    <w:basedOn w:val="SX-Bodytext"/>
    <w:next w:val="SX-Bodytext"/>
    <w:rsid w:val="009A3899"/>
    <w:pPr>
      <w:ind w:firstLine="0"/>
    </w:pPr>
  </w:style>
  <w:style w:type="paragraph" w:customStyle="1" w:styleId="SX-Correspondence">
    <w:name w:val="SX-Correspondence"/>
    <w:basedOn w:val="SX-Affiliation"/>
    <w:qFormat/>
    <w:rsid w:val="009A3899"/>
    <w:pPr>
      <w:spacing w:after="80"/>
    </w:pPr>
  </w:style>
  <w:style w:type="paragraph" w:customStyle="1" w:styleId="SX-Date">
    <w:name w:val="SX-Date"/>
    <w:basedOn w:val="Normal"/>
    <w:qFormat/>
    <w:rsid w:val="009A3899"/>
    <w:pPr>
      <w:spacing w:before="180" w:line="190" w:lineRule="exact"/>
      <w:ind w:left="245" w:hanging="245"/>
      <w:jc w:val="both"/>
    </w:pPr>
    <w:rPr>
      <w:rFonts w:eastAsia="Times New Roman"/>
      <w:sz w:val="16"/>
    </w:rPr>
  </w:style>
  <w:style w:type="paragraph" w:customStyle="1" w:styleId="SX-Equation">
    <w:name w:val="SX-Equation"/>
    <w:basedOn w:val="SX-Bodytextflush"/>
    <w:next w:val="SX-Bodytext"/>
    <w:rsid w:val="009A3899"/>
    <w:pPr>
      <w:autoSpaceDE w:val="0"/>
      <w:autoSpaceDN w:val="0"/>
      <w:adjustRightInd w:val="0"/>
      <w:spacing w:line="240" w:lineRule="auto"/>
      <w:jc w:val="center"/>
    </w:pPr>
  </w:style>
  <w:style w:type="paragraph" w:customStyle="1" w:styleId="SX-Legend">
    <w:name w:val="SX-Legend"/>
    <w:basedOn w:val="SX-Authornames"/>
    <w:rsid w:val="009A3899"/>
    <w:pPr>
      <w:jc w:val="both"/>
    </w:pPr>
    <w:rPr>
      <w:sz w:val="18"/>
    </w:rPr>
  </w:style>
  <w:style w:type="paragraph" w:customStyle="1" w:styleId="SX-References">
    <w:name w:val="SX-References"/>
    <w:basedOn w:val="Normal"/>
    <w:rsid w:val="009A3899"/>
    <w:pPr>
      <w:spacing w:line="190" w:lineRule="exact"/>
      <w:ind w:left="245" w:hanging="245"/>
      <w:jc w:val="both"/>
    </w:pPr>
    <w:rPr>
      <w:rFonts w:eastAsia="Times New Roman"/>
      <w:sz w:val="16"/>
    </w:rPr>
  </w:style>
  <w:style w:type="paragraph" w:customStyle="1" w:styleId="SX-RefHead">
    <w:name w:val="SX-RefHead"/>
    <w:basedOn w:val="Normal"/>
    <w:rsid w:val="009A3899"/>
    <w:pPr>
      <w:spacing w:before="200" w:line="190" w:lineRule="exact"/>
    </w:pPr>
    <w:rPr>
      <w:rFonts w:eastAsia="Times New Roman"/>
      <w:b/>
      <w:sz w:val="16"/>
    </w:rPr>
  </w:style>
  <w:style w:type="character" w:customStyle="1" w:styleId="SX-reflink">
    <w:name w:val="SX-reflink"/>
    <w:uiPriority w:val="1"/>
    <w:qFormat/>
    <w:rsid w:val="009A3899"/>
    <w:rPr>
      <w:color w:val="0000FF"/>
      <w:sz w:val="16"/>
      <w:u w:val="words"/>
      <w:bdr w:val="none" w:sz="0" w:space="0" w:color="auto"/>
      <w:shd w:val="clear" w:color="auto" w:fill="FFFFFF"/>
    </w:rPr>
  </w:style>
  <w:style w:type="paragraph" w:customStyle="1" w:styleId="SX-SOMHead">
    <w:name w:val="SX-SOMHead"/>
    <w:basedOn w:val="SX-RefHead"/>
    <w:rsid w:val="009A3899"/>
  </w:style>
  <w:style w:type="paragraph" w:customStyle="1" w:styleId="SX-Tablehead">
    <w:name w:val="SX-Tablehead"/>
    <w:basedOn w:val="Normal"/>
    <w:qFormat/>
    <w:rsid w:val="009A3899"/>
    <w:rPr>
      <w:rFonts w:eastAsia="Times New Roman"/>
      <w:szCs w:val="24"/>
    </w:rPr>
  </w:style>
  <w:style w:type="paragraph" w:customStyle="1" w:styleId="SX-Tablelegend">
    <w:name w:val="SX-Tablelegend"/>
    <w:basedOn w:val="Normal"/>
    <w:qFormat/>
    <w:rsid w:val="009A3899"/>
    <w:pPr>
      <w:spacing w:line="190" w:lineRule="exact"/>
      <w:ind w:left="245" w:hanging="245"/>
      <w:jc w:val="both"/>
    </w:pPr>
    <w:rPr>
      <w:rFonts w:eastAsia="Times New Roman"/>
      <w:sz w:val="16"/>
    </w:rPr>
  </w:style>
  <w:style w:type="paragraph" w:customStyle="1" w:styleId="SX-Tabletext">
    <w:name w:val="SX-Tabletext"/>
    <w:basedOn w:val="Normal"/>
    <w:qFormat/>
    <w:rsid w:val="009A3899"/>
    <w:pPr>
      <w:spacing w:line="210" w:lineRule="exact"/>
      <w:jc w:val="center"/>
    </w:pPr>
    <w:rPr>
      <w:rFonts w:eastAsia="Times New Roman"/>
      <w:sz w:val="18"/>
    </w:rPr>
  </w:style>
  <w:style w:type="paragraph" w:customStyle="1" w:styleId="SX-Tabletitle">
    <w:name w:val="SX-Tabletitle"/>
    <w:basedOn w:val="Normal"/>
    <w:qFormat/>
    <w:rsid w:val="009A3899"/>
    <w:pPr>
      <w:spacing w:after="120" w:line="210" w:lineRule="exact"/>
      <w:jc w:val="both"/>
    </w:pPr>
    <w:rPr>
      <w:rFonts w:ascii="BlissMedium" w:eastAsia="Times New Roman" w:hAnsi="BlissMedium"/>
      <w:sz w:val="18"/>
    </w:rPr>
  </w:style>
  <w:style w:type="paragraph" w:customStyle="1" w:styleId="SX-Title">
    <w:name w:val="SX-Title"/>
    <w:basedOn w:val="Normal"/>
    <w:rsid w:val="009A3899"/>
    <w:pPr>
      <w:spacing w:after="240" w:line="500" w:lineRule="exact"/>
    </w:pPr>
    <w:rPr>
      <w:rFonts w:ascii="BlissBold" w:eastAsia="Times New Roman" w:hAnsi="BlissBold"/>
      <w:b/>
      <w:sz w:val="44"/>
    </w:rPr>
  </w:style>
  <w:style w:type="paragraph" w:customStyle="1" w:styleId="Tablecolumnhead">
    <w:name w:val="Table column head"/>
    <w:basedOn w:val="BaseText"/>
    <w:rsid w:val="009A3899"/>
    <w:pPr>
      <w:spacing w:before="0"/>
    </w:pPr>
  </w:style>
  <w:style w:type="paragraph" w:customStyle="1" w:styleId="Tabletext">
    <w:name w:val="Table text"/>
    <w:basedOn w:val="BaseText"/>
    <w:rsid w:val="009A3899"/>
    <w:pPr>
      <w:spacing w:before="0"/>
    </w:pPr>
  </w:style>
  <w:style w:type="paragraph" w:customStyle="1" w:styleId="TableLegend">
    <w:name w:val="TableLegend"/>
    <w:basedOn w:val="BaseText"/>
    <w:rsid w:val="009A3899"/>
    <w:pPr>
      <w:spacing w:before="0"/>
    </w:pPr>
  </w:style>
  <w:style w:type="paragraph" w:customStyle="1" w:styleId="TableTitle">
    <w:name w:val="TableTitle"/>
    <w:basedOn w:val="BaseHeading"/>
    <w:rsid w:val="009A3899"/>
  </w:style>
  <w:style w:type="paragraph" w:customStyle="1" w:styleId="Teaser">
    <w:name w:val="Teaser"/>
    <w:basedOn w:val="BaseText"/>
    <w:rsid w:val="009A3899"/>
  </w:style>
  <w:style w:type="paragraph" w:customStyle="1" w:styleId="TWIS">
    <w:name w:val="TWIS"/>
    <w:basedOn w:val="AbstractSummary"/>
    <w:rsid w:val="009A3899"/>
    <w:pPr>
      <w:autoSpaceDE w:val="0"/>
      <w:autoSpaceDN w:val="0"/>
      <w:adjustRightInd w:val="0"/>
    </w:pPr>
  </w:style>
  <w:style w:type="paragraph" w:customStyle="1" w:styleId="TWISorEC">
    <w:name w:val="TWIS or EC"/>
    <w:basedOn w:val="Normal"/>
    <w:rsid w:val="009A3899"/>
    <w:pPr>
      <w:spacing w:line="210" w:lineRule="exact"/>
    </w:pPr>
    <w:rPr>
      <w:rFonts w:ascii="BlissRegular" w:eastAsia="Times New Roman" w:hAnsi="BlissRegular"/>
      <w:sz w:val="19"/>
    </w:rPr>
  </w:style>
  <w:style w:type="paragraph" w:customStyle="1" w:styleId="work-sector">
    <w:name w:val="work-sector"/>
    <w:basedOn w:val="BaseText"/>
    <w:rsid w:val="009A3899"/>
    <w:pPr>
      <w:jc w:val="right"/>
    </w:pPr>
    <w:rPr>
      <w:color w:val="003300"/>
    </w:rPr>
  </w:style>
  <w:style w:type="paragraph" w:customStyle="1" w:styleId="DOI">
    <w:name w:val="DOI"/>
    <w:basedOn w:val="DateAccepted"/>
    <w:qFormat/>
    <w:rsid w:val="009A7F20"/>
  </w:style>
  <w:style w:type="character" w:customStyle="1" w:styleId="custom-cit-author">
    <w:name w:val="custom-cit-author"/>
    <w:basedOn w:val="Policepardfaut"/>
    <w:rsid w:val="00943D39"/>
  </w:style>
  <w:style w:type="character" w:customStyle="1" w:styleId="custom-cit-title">
    <w:name w:val="custom-cit-title"/>
    <w:basedOn w:val="Policepardfaut"/>
    <w:rsid w:val="00943D39"/>
  </w:style>
  <w:style w:type="character" w:customStyle="1" w:styleId="custom-cit-jour-title">
    <w:name w:val="custom-cit-jour-title"/>
    <w:basedOn w:val="Policepardfaut"/>
    <w:rsid w:val="00943D39"/>
  </w:style>
  <w:style w:type="character" w:customStyle="1" w:styleId="custom-cit-volume">
    <w:name w:val="custom-cit-volume"/>
    <w:basedOn w:val="Policepardfaut"/>
    <w:rsid w:val="00943D39"/>
  </w:style>
  <w:style w:type="character" w:customStyle="1" w:styleId="custom-cit-volume-sep">
    <w:name w:val="custom-cit-volume-sep"/>
    <w:basedOn w:val="Policepardfaut"/>
    <w:rsid w:val="00943D39"/>
  </w:style>
  <w:style w:type="character" w:customStyle="1" w:styleId="custom-cit-fpage">
    <w:name w:val="custom-cit-fpage"/>
    <w:basedOn w:val="Policepardfaut"/>
    <w:rsid w:val="00943D39"/>
  </w:style>
  <w:style w:type="character" w:customStyle="1" w:styleId="custom-cit-date">
    <w:name w:val="custom-cit-date"/>
    <w:basedOn w:val="Policepardfaut"/>
    <w:rsid w:val="00943D39"/>
  </w:style>
  <w:style w:type="paragraph" w:customStyle="1" w:styleId="MediumList2-Accent21">
    <w:name w:val="Medium List 2 - Accent 21"/>
    <w:hidden/>
    <w:uiPriority w:val="99"/>
    <w:semiHidden/>
    <w:rsid w:val="001B3B1A"/>
  </w:style>
  <w:style w:type="table" w:styleId="Grilledutableau">
    <w:name w:val="Table Grid"/>
    <w:basedOn w:val="TableauNormal"/>
    <w:rsid w:val="00B547A9"/>
    <w:rPr>
      <w:rFonts w:ascii="Times" w:eastAsia="Times New Roman" w:hAnsi="Tim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
    <w:name w:val="Unresolved Mention"/>
    <w:basedOn w:val="Policepardfaut"/>
    <w:uiPriority w:val="99"/>
    <w:semiHidden/>
    <w:unhideWhenUsed/>
    <w:rsid w:val="00605309"/>
    <w:rPr>
      <w:color w:val="605E5C"/>
      <w:shd w:val="clear" w:color="auto" w:fill="E1DFDD"/>
    </w:rPr>
  </w:style>
  <w:style w:type="character" w:customStyle="1" w:styleId="Titre4Car">
    <w:name w:val="Titre 4 Car"/>
    <w:basedOn w:val="Policepardfaut"/>
    <w:link w:val="Titre4"/>
    <w:uiPriority w:val="9"/>
    <w:rsid w:val="000B32A3"/>
    <w:rPr>
      <w:rFonts w:eastAsia="Times New Roman"/>
      <w:b/>
      <w:bCs/>
      <w:sz w:val="24"/>
      <w:szCs w:val="24"/>
      <w:lang w:val="fr-FR" w:eastAsia="fr-FR"/>
    </w:rPr>
  </w:style>
  <w:style w:type="character" w:customStyle="1" w:styleId="Titre5Car">
    <w:name w:val="Titre 5 Car"/>
    <w:basedOn w:val="Policepardfaut"/>
    <w:link w:val="Titre5"/>
    <w:uiPriority w:val="9"/>
    <w:rsid w:val="000B32A3"/>
    <w:rPr>
      <w:rFonts w:eastAsia="Times New Roman"/>
      <w:b/>
      <w:bCs/>
      <w:lang w:val="fr-FR" w:eastAsia="fr-FR"/>
    </w:rPr>
  </w:style>
  <w:style w:type="paragraph" w:styleId="NormalWeb">
    <w:name w:val="Normal (Web)"/>
    <w:basedOn w:val="Normal"/>
    <w:uiPriority w:val="99"/>
    <w:semiHidden/>
    <w:unhideWhenUsed/>
    <w:rsid w:val="000B32A3"/>
    <w:pPr>
      <w:spacing w:before="100" w:beforeAutospacing="1" w:after="100" w:afterAutospacing="1"/>
    </w:pPr>
    <w:rPr>
      <w:rFonts w:eastAsia="Times New Roman"/>
      <w:sz w:val="24"/>
      <w:szCs w:val="24"/>
      <w:lang w:val="fr-FR" w:eastAsia="fr-FR"/>
    </w:rPr>
  </w:style>
  <w:style w:type="paragraph" w:styleId="Rvision">
    <w:name w:val="Revision"/>
    <w:hidden/>
    <w:uiPriority w:val="99"/>
    <w:semiHidden/>
    <w:rsid w:val="0027520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69275839">
      <w:bodyDiv w:val="1"/>
      <w:marLeft w:val="0"/>
      <w:marRight w:val="0"/>
      <w:marTop w:val="0"/>
      <w:marBottom w:val="0"/>
      <w:divBdr>
        <w:top w:val="none" w:sz="0" w:space="0" w:color="auto"/>
        <w:left w:val="none" w:sz="0" w:space="0" w:color="auto"/>
        <w:bottom w:val="none" w:sz="0" w:space="0" w:color="auto"/>
        <w:right w:val="none" w:sz="0" w:space="0" w:color="auto"/>
      </w:divBdr>
    </w:div>
    <w:div w:id="101288013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tiff"/><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tiff"/><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tiff"/><Relationship Id="rId5" Type="http://schemas.openxmlformats.org/officeDocument/2006/relationships/numbering" Target="numbering.xml"/><Relationship Id="rId15" Type="http://schemas.openxmlformats.org/officeDocument/2006/relationships/hyperlink" Target="https://doi.org/10.5281/zenodo.7603324" TargetMode="Externa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ncbi.nlm.nih.gov/bioproject/PRJNA773039"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0C8221A7F0343744B07CC2CED3D6F8EE" ma:contentTypeVersion="12" ma:contentTypeDescription="Create a new document." ma:contentTypeScope="" ma:versionID="4ed130d46c3bc80f8d043bccdf574eeb">
  <xsd:schema xmlns:xsd="http://www.w3.org/2001/XMLSchema" xmlns:xs="http://www.w3.org/2001/XMLSchema" xmlns:p="http://schemas.microsoft.com/office/2006/metadata/properties" xmlns:ns3="96858f5b-69cf-4d49-a520-6ae816db1d8d" xmlns:ns4="1867113f-8995-4870-a940-2b72f688d265" targetNamespace="http://schemas.microsoft.com/office/2006/metadata/properties" ma:root="true" ma:fieldsID="194ceea0314d884e28c6faa81920b7ec" ns3:_="" ns4:_="">
    <xsd:import namespace="96858f5b-69cf-4d49-a520-6ae816db1d8d"/>
    <xsd:import namespace="1867113f-8995-4870-a940-2b72f688d265"/>
    <xsd:element name="properties">
      <xsd:complexType>
        <xsd:sequence>
          <xsd:element name="documentManagement">
            <xsd:complexType>
              <xsd:all>
                <xsd:element ref="ns3:MediaServiceMetadata" minOccurs="0"/>
                <xsd:element ref="ns3:MediaServiceFastMetadata" minOccurs="0"/>
                <xsd:element ref="ns3:MediaServiceAutoKeyPoints" minOccurs="0"/>
                <xsd:element ref="ns3:MediaServiceKeyPoints" minOccurs="0"/>
                <xsd:element ref="ns4:SharedWithUsers" minOccurs="0"/>
                <xsd:element ref="ns4:SharedWithDetails" minOccurs="0"/>
                <xsd:element ref="ns4:SharingHintHash" minOccurs="0"/>
                <xsd:element ref="ns3:MediaServiceDateTaken" minOccurs="0"/>
                <xsd:element ref="ns3:MediaServiceAutoTags" minOccurs="0"/>
                <xsd:element ref="ns3:MediaServiceGenerationTime" minOccurs="0"/>
                <xsd:element ref="ns3:MediaServiceEventHashCode"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6858f5b-69cf-4d49-a520-6ae816db1d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5" nillable="true" ma:displayName="MediaServiceDateTaken" ma:hidden="true" ma:internalName="MediaServiceDateTaken" ma:readOnly="true">
      <xsd:simpleType>
        <xsd:restriction base="dms:Text"/>
      </xsd:simpleType>
    </xsd:element>
    <xsd:element name="MediaServiceAutoTags" ma:index="16" nillable="true" ma:displayName="Tags" ma:internalName="MediaServiceAutoTags"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1867113f-8995-4870-a940-2b72f688d265"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SharingHintHash" ma:index="14"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56019445-CA74-4879-94B5-1432341CFE85}">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4BD92BC1-E020-4C3D-ADBB-5DF057B7853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6858f5b-69cf-4d49-a520-6ae816db1d8d"/>
    <ds:schemaRef ds:uri="1867113f-8995-4870-a940-2b72f688d26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7EC6F4A-E94B-424A-B59A-A83A08BCADAA}">
  <ds:schemaRefs>
    <ds:schemaRef ds:uri="http://schemas.microsoft.com/sharepoint/v3/contenttype/forms"/>
  </ds:schemaRefs>
</ds:datastoreItem>
</file>

<file path=customXml/itemProps4.xml><?xml version="1.0" encoding="utf-8"?>
<ds:datastoreItem xmlns:ds="http://schemas.openxmlformats.org/officeDocument/2006/customXml" ds:itemID="{7C9D60B0-7FD5-4860-8B0D-C84E1FDFF5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363</TotalTime>
  <Pages>1</Pages>
  <Words>10976</Words>
  <Characters>60369</Characters>
  <Application>Microsoft Office Word</Application>
  <DocSecurity>0</DocSecurity>
  <Lines>503</Lines>
  <Paragraphs>142</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Science Manuscript Template</vt:lpstr>
      <vt:lpstr>Science Manuscript Template</vt:lpstr>
    </vt:vector>
  </TitlesOfParts>
  <Company>Microsoft</Company>
  <LinksUpToDate>false</LinksUpToDate>
  <CharactersWithSpaces>71203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Science Manuscript Template</dc:title>
  <dc:subject/>
  <dc:creator>bhanson</dc:creator>
  <cp:keywords/>
  <cp:lastModifiedBy>Benoit</cp:lastModifiedBy>
  <cp:revision>31</cp:revision>
  <cp:lastPrinted>2023-12-01T13:45:00Z</cp:lastPrinted>
  <dcterms:created xsi:type="dcterms:W3CDTF">2024-06-06T16:54:00Z</dcterms:created>
  <dcterms:modified xsi:type="dcterms:W3CDTF">2024-07-04T16:45:00Z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0x0101000C8221A7F0343744B07CC2CED3D6F8EE</vt:lpwstr>
  </property>
</Properties>
</file>