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14A" w:rsidRDefault="001B7614">
      <w:pPr>
        <w:rPr>
          <w:b/>
        </w:rPr>
      </w:pPr>
      <w:r>
        <w:rPr>
          <w:b/>
        </w:rPr>
        <w:t>E</w:t>
      </w:r>
      <w:bookmarkStart w:id="0" w:name="_GoBack"/>
      <w:bookmarkEnd w:id="0"/>
      <w:r w:rsidR="00F6114A">
        <w:rPr>
          <w:b/>
        </w:rPr>
        <w:t>xplanations to:</w:t>
      </w:r>
    </w:p>
    <w:p w:rsidR="00F6114A" w:rsidRDefault="00F6114A" w:rsidP="00F6114A">
      <w:pPr>
        <w:rPr>
          <w:b/>
        </w:rPr>
      </w:pPr>
      <w:r>
        <w:rPr>
          <w:b/>
        </w:rPr>
        <w:t xml:space="preserve">Lõhmus, A. </w:t>
      </w:r>
      <w:r w:rsidR="000D3FF0">
        <w:rPr>
          <w:b/>
        </w:rPr>
        <w:t>2024</w:t>
      </w:r>
      <w:r>
        <w:rPr>
          <w:b/>
        </w:rPr>
        <w:t>.</w:t>
      </w:r>
      <w:r w:rsidR="000D3FF0">
        <w:rPr>
          <w:b/>
        </w:rPr>
        <w:t xml:space="preserve"> </w:t>
      </w:r>
      <w:r w:rsidR="00507174" w:rsidRPr="00507174">
        <w:rPr>
          <w:b/>
        </w:rPr>
        <w:t>Spatial dataset of breeding bird territories in East-Estonian forested landscapes, 2020-2022</w:t>
      </w:r>
      <w:r w:rsidR="00507174">
        <w:rPr>
          <w:b/>
        </w:rPr>
        <w:t xml:space="preserve">. </w:t>
      </w:r>
      <w:proofErr w:type="spellStart"/>
      <w:r w:rsidR="00507174">
        <w:rPr>
          <w:b/>
        </w:rPr>
        <w:t>doi</w:t>
      </w:r>
      <w:proofErr w:type="spellEnd"/>
      <w:r w:rsidR="00507174">
        <w:rPr>
          <w:b/>
        </w:rPr>
        <w:t xml:space="preserve">: </w:t>
      </w:r>
      <w:r w:rsidRPr="00F6114A">
        <w:rPr>
          <w:b/>
        </w:rPr>
        <w:t>10.5281/zenodo.12747762</w:t>
      </w:r>
    </w:p>
    <w:p w:rsidR="00507174" w:rsidRDefault="00507174"/>
    <w:p w:rsidR="00507174" w:rsidRDefault="00507174">
      <w:r>
        <w:t>The spatial data is presented as four map layers, organized in three zipped folders. The data have been created using MapInfo Professional Version 10.5</w:t>
      </w:r>
      <w:r w:rsidRPr="00507174">
        <w:t xml:space="preserve"> </w:t>
      </w:r>
      <w:r>
        <w:t xml:space="preserve">in L-EST97 (EUREF89) projection, with one alternative format provided along (ESRI Shape File for polygons) or .csv (for point objects). </w:t>
      </w:r>
    </w:p>
    <w:p w:rsidR="00507174" w:rsidRDefault="00507174"/>
    <w:p w:rsidR="00507174" w:rsidRPr="007F3FEF" w:rsidRDefault="007F3FEF">
      <w:pPr>
        <w:rPr>
          <w:b/>
        </w:rPr>
      </w:pPr>
      <w:r w:rsidRPr="007F3FEF">
        <w:rPr>
          <w:b/>
        </w:rPr>
        <w:t xml:space="preserve">Folder </w:t>
      </w:r>
      <w:r w:rsidR="00507174" w:rsidRPr="007F3FEF">
        <w:rPr>
          <w:b/>
        </w:rPr>
        <w:t>1</w:t>
      </w:r>
      <w:r w:rsidRPr="007F3FEF">
        <w:rPr>
          <w:b/>
        </w:rPr>
        <w:t>:</w:t>
      </w:r>
      <w:r w:rsidR="00507174" w:rsidRPr="007F3FEF">
        <w:rPr>
          <w:b/>
        </w:rPr>
        <w:t xml:space="preserve"> Bird_area_borders.zip</w:t>
      </w:r>
    </w:p>
    <w:p w:rsidR="00507174" w:rsidRPr="007F3FEF" w:rsidRDefault="007F3FEF">
      <w:pPr>
        <w:rPr>
          <w:u w:val="single"/>
        </w:rPr>
      </w:pPr>
      <w:r w:rsidRPr="007F3FEF">
        <w:rPr>
          <w:u w:val="single"/>
        </w:rPr>
        <w:t xml:space="preserve">Layer 1: </w:t>
      </w:r>
      <w:proofErr w:type="spellStart"/>
      <w:r w:rsidRPr="007F3FEF">
        <w:rPr>
          <w:u w:val="single"/>
        </w:rPr>
        <w:t>Bird_area</w:t>
      </w:r>
      <w:proofErr w:type="spellEnd"/>
    </w:p>
    <w:p w:rsidR="007F3FEF" w:rsidRDefault="007F3FEF">
      <w:r>
        <w:t>Includes</w:t>
      </w:r>
      <w:r w:rsidR="00F91C79">
        <w:t xml:space="preserve"> the polygons of three plots (A, B, C) as </w:t>
      </w:r>
      <w:r>
        <w:t xml:space="preserve">used and reported in publications by </w:t>
      </w:r>
      <w:r w:rsidR="00F91C79">
        <w:t xml:space="preserve">Lõhmus </w:t>
      </w:r>
      <w:r>
        <w:t>(</w:t>
      </w:r>
      <w:r w:rsidR="00F91C79">
        <w:t>2022</w:t>
      </w:r>
      <w:r w:rsidR="00981A32">
        <w:t>; 2</w:t>
      </w:r>
      <w:r w:rsidR="00F91C79">
        <w:t>023</w:t>
      </w:r>
      <w:r>
        <w:t>a)</w:t>
      </w:r>
      <w:r w:rsidR="00981A32">
        <w:t xml:space="preserve"> and </w:t>
      </w:r>
      <w:proofErr w:type="spellStart"/>
      <w:r w:rsidR="00981A32">
        <w:t>Yatsiuk</w:t>
      </w:r>
      <w:proofErr w:type="spellEnd"/>
      <w:r w:rsidR="00981A32">
        <w:t xml:space="preserve"> and Lõhmus (2024)</w:t>
      </w:r>
      <w:r>
        <w:t xml:space="preserve">. </w:t>
      </w:r>
      <w:r w:rsidR="00981A32">
        <w:rPr>
          <w:i/>
        </w:rPr>
        <w:t>Modifications</w:t>
      </w:r>
      <w:r w:rsidR="00981A32">
        <w:t>:</w:t>
      </w:r>
      <w:r w:rsidR="00981A32">
        <w:rPr>
          <w:i/>
        </w:rPr>
        <w:t xml:space="preserve"> </w:t>
      </w:r>
      <w:r>
        <w:t xml:space="preserve">a slight change in borders compared to Lõhmus (2023b) where </w:t>
      </w:r>
      <w:r w:rsidR="00981A32">
        <w:t>P</w:t>
      </w:r>
      <w:r>
        <w:t>lot C includes</w:t>
      </w:r>
      <w:r w:rsidR="00F91C79">
        <w:t xml:space="preserve"> </w:t>
      </w:r>
      <w:r>
        <w:t>small adjacent areas (detectable on Fig. 1 in the original publication). In turn, the preliminary publication of first-year results (Lõhmus, 2020) contained marginally smaller area of Plot A, with later addition in the northern corner.</w:t>
      </w:r>
      <w:r w:rsidR="00F91C79">
        <w:t xml:space="preserve"> </w:t>
      </w:r>
    </w:p>
    <w:p w:rsidR="00F91C79" w:rsidRDefault="00F91C79">
      <w:r>
        <w:t>Data fields:</w:t>
      </w:r>
    </w:p>
    <w:p w:rsidR="00F91C79" w:rsidRDefault="00F91C79" w:rsidP="00981A32">
      <w:pPr>
        <w:ind w:firstLine="450"/>
      </w:pPr>
      <w:r>
        <w:t>Plot: plot name</w:t>
      </w:r>
    </w:p>
    <w:p w:rsidR="00F91C79" w:rsidRDefault="00F91C79" w:rsidP="00981A32">
      <w:pPr>
        <w:ind w:firstLine="450"/>
      </w:pPr>
      <w:r>
        <w:t>Year: study years</w:t>
      </w:r>
    </w:p>
    <w:p w:rsidR="00F91C79" w:rsidRDefault="00F91C79"/>
    <w:p w:rsidR="00F91C79" w:rsidRDefault="00ED31CE">
      <w:r>
        <w:rPr>
          <w:b/>
        </w:rPr>
        <w:t>Folder 2</w:t>
      </w:r>
      <w:r>
        <w:t xml:space="preserve">: </w:t>
      </w:r>
      <w:r>
        <w:rPr>
          <w:b/>
        </w:rPr>
        <w:t>Birddata.zip</w:t>
      </w:r>
    </w:p>
    <w:p w:rsidR="00ED31CE" w:rsidRPr="007F3FEF" w:rsidRDefault="00ED31CE" w:rsidP="00ED31CE">
      <w:pPr>
        <w:rPr>
          <w:u w:val="single"/>
        </w:rPr>
      </w:pPr>
      <w:r w:rsidRPr="007F3FEF">
        <w:rPr>
          <w:u w:val="single"/>
        </w:rPr>
        <w:t>Layer</w:t>
      </w:r>
      <w:r>
        <w:rPr>
          <w:u w:val="single"/>
        </w:rPr>
        <w:t xml:space="preserve"> 2</w:t>
      </w:r>
      <w:r w:rsidRPr="007F3FEF">
        <w:rPr>
          <w:u w:val="single"/>
        </w:rPr>
        <w:t xml:space="preserve">: </w:t>
      </w:r>
      <w:proofErr w:type="spellStart"/>
      <w:r w:rsidRPr="007F3FEF">
        <w:rPr>
          <w:u w:val="single"/>
        </w:rPr>
        <w:t>Bird</w:t>
      </w:r>
      <w:r w:rsidR="00261E82">
        <w:rPr>
          <w:u w:val="single"/>
        </w:rPr>
        <w:t>data</w:t>
      </w:r>
      <w:proofErr w:type="spellEnd"/>
    </w:p>
    <w:p w:rsidR="00ED31CE" w:rsidRDefault="00ED31CE" w:rsidP="00ED31CE">
      <w:r>
        <w:t xml:space="preserve">Includes 5397 data points, which depict (presumable) territory </w:t>
      </w:r>
      <w:proofErr w:type="spellStart"/>
      <w:r>
        <w:t>centres</w:t>
      </w:r>
      <w:proofErr w:type="spellEnd"/>
      <w:r>
        <w:t xml:space="preserve"> (“pairs”) of breeding birds in the study plots and their immediate vicinity (as recorded from mapping the plots). Nine records include point observations of 2 or 3 pairs, denoted by “_2” and “_3”</w:t>
      </w:r>
      <w:r w:rsidR="00865BCE">
        <w:t xml:space="preserve"> after the species name code, respectively; the species under question are APUAPU, COLLIV, DELURB and TETURO. All the other data points denote a single pair.</w:t>
      </w:r>
    </w:p>
    <w:p w:rsidR="00261E82" w:rsidRDefault="00261E82" w:rsidP="00261E82">
      <w:r>
        <w:t>Data fields:</w:t>
      </w:r>
    </w:p>
    <w:p w:rsidR="00261E82" w:rsidRDefault="00261E82" w:rsidP="0059178B">
      <w:pPr>
        <w:ind w:left="450"/>
      </w:pPr>
      <w:r>
        <w:t>SPECIES: standard 6-letter abbreviation of the species’ Latin name</w:t>
      </w:r>
    </w:p>
    <w:p w:rsidR="00261E82" w:rsidRDefault="0059178B" w:rsidP="0059178B">
      <w:pPr>
        <w:ind w:left="450"/>
      </w:pPr>
      <w:r>
        <w:t xml:space="preserve">ACCURACY: location accuracy in three levels: 0 = low accuracy (either few or diffuse observations attributable to this pair); 1 = standard territory-mapping accuracy; 2 = high accuracy (nest or obvious nest deduced by aggressive or extremely agitated adults or poorly moving young). </w:t>
      </w:r>
    </w:p>
    <w:p w:rsidR="00261E82" w:rsidRDefault="00261E82" w:rsidP="0059178B">
      <w:pPr>
        <w:ind w:left="450"/>
      </w:pPr>
      <w:r>
        <w:t>YEAR: study year</w:t>
      </w:r>
    </w:p>
    <w:p w:rsidR="0059178B" w:rsidRDefault="0059178B" w:rsidP="0059178B">
      <w:pPr>
        <w:ind w:left="450"/>
      </w:pPr>
      <w:r>
        <w:lastRenderedPageBreak/>
        <w:t xml:space="preserve">LAT and LONG: co-ordinates as degrees with decimals. In one species, </w:t>
      </w:r>
      <w:proofErr w:type="spellStart"/>
      <w:r w:rsidRPr="0059178B">
        <w:rPr>
          <w:i/>
        </w:rPr>
        <w:t>Tetrao</w:t>
      </w:r>
      <w:proofErr w:type="spellEnd"/>
      <w:r w:rsidRPr="0059178B">
        <w:rPr>
          <w:i/>
        </w:rPr>
        <w:t xml:space="preserve"> </w:t>
      </w:r>
      <w:proofErr w:type="spellStart"/>
      <w:r w:rsidRPr="0059178B">
        <w:rPr>
          <w:i/>
        </w:rPr>
        <w:t>urogallus</w:t>
      </w:r>
      <w:proofErr w:type="spellEnd"/>
      <w:r>
        <w:t xml:space="preserve"> (TETURO), the co-ordinates have been rounded to the accuracy of hundreds of m since the exact locations of this species cannot be made public according to the Estonian Nature Conservation Act.</w:t>
      </w:r>
    </w:p>
    <w:p w:rsidR="0059178B" w:rsidRDefault="0059178B" w:rsidP="0059178B">
      <w:pPr>
        <w:ind w:left="450"/>
      </w:pPr>
      <w:proofErr w:type="spellStart"/>
      <w:r>
        <w:t>Pair_ID</w:t>
      </w:r>
      <w:proofErr w:type="spellEnd"/>
      <w:r>
        <w:t>: unique integer code for the pair, for the purpose of possible requests or corrections regarding particular data points.</w:t>
      </w:r>
    </w:p>
    <w:p w:rsidR="0059178B" w:rsidRDefault="0059178B" w:rsidP="0059178B">
      <w:pPr>
        <w:ind w:left="450"/>
      </w:pPr>
    </w:p>
    <w:p w:rsidR="00ED31CE" w:rsidRPr="00ED31CE" w:rsidRDefault="00ED31CE" w:rsidP="0059178B">
      <w:pPr>
        <w:ind w:left="450"/>
      </w:pPr>
    </w:p>
    <w:p w:rsidR="00F91C79" w:rsidRDefault="003F3610" w:rsidP="00F91C79">
      <w:pPr>
        <w:rPr>
          <w:b/>
        </w:rPr>
      </w:pPr>
      <w:r>
        <w:rPr>
          <w:b/>
        </w:rPr>
        <w:t xml:space="preserve">Folder 3: </w:t>
      </w:r>
      <w:r w:rsidR="00842F8D">
        <w:rPr>
          <w:b/>
        </w:rPr>
        <w:t>Bird_</w:t>
      </w:r>
      <w:r>
        <w:rPr>
          <w:b/>
        </w:rPr>
        <w:t>woodland_</w:t>
      </w:r>
      <w:r w:rsidR="00842F8D">
        <w:rPr>
          <w:b/>
        </w:rPr>
        <w:t>data</w:t>
      </w:r>
      <w:r>
        <w:rPr>
          <w:b/>
        </w:rPr>
        <w:t>.zip</w:t>
      </w:r>
    </w:p>
    <w:p w:rsidR="003F3610" w:rsidRDefault="003F3610">
      <w:r>
        <w:t>Background environmental data, specifically of local woodland characteristics, to enhance spatial analysis of the bird data.</w:t>
      </w:r>
    </w:p>
    <w:p w:rsidR="003F3610" w:rsidRDefault="003F3610"/>
    <w:p w:rsidR="003F3610" w:rsidRPr="003F3610" w:rsidRDefault="003F3610">
      <w:pPr>
        <w:rPr>
          <w:u w:val="single"/>
        </w:rPr>
      </w:pPr>
      <w:r>
        <w:rPr>
          <w:u w:val="single"/>
        </w:rPr>
        <w:t xml:space="preserve">Layer 4: </w:t>
      </w:r>
      <w:proofErr w:type="spellStart"/>
      <w:r>
        <w:rPr>
          <w:u w:val="single"/>
        </w:rPr>
        <w:t>Bird_forestdata</w:t>
      </w:r>
      <w:proofErr w:type="spellEnd"/>
    </w:p>
    <w:p w:rsidR="001D6342" w:rsidRDefault="003F3610" w:rsidP="003F3610">
      <w:r>
        <w:t>Includes polygons of</w:t>
      </w:r>
      <w:r w:rsidR="00147669">
        <w:t xml:space="preserve"> 960</w:t>
      </w:r>
      <w:r w:rsidR="00086E73">
        <w:t xml:space="preserve"> forest stands</w:t>
      </w:r>
      <w:r w:rsidR="00147669">
        <w:t xml:space="preserve">, which </w:t>
      </w:r>
      <w:r>
        <w:t>are delineated based on relatively homogeneous tree-layer structure and constitute units of management in Estonia.</w:t>
      </w:r>
      <w:r w:rsidRPr="003F3610">
        <w:t xml:space="preserve"> </w:t>
      </w:r>
      <w:r w:rsidR="001D6342">
        <w:t xml:space="preserve">Thus, these are areas dominated by forest trees (excluding scrub; see Layer 5) or, if temporarily lacking trees, are managed for </w:t>
      </w:r>
      <w:proofErr w:type="spellStart"/>
      <w:r w:rsidR="001D6342">
        <w:t>silviculture</w:t>
      </w:r>
      <w:proofErr w:type="spellEnd"/>
      <w:r w:rsidR="001D6342">
        <w:t xml:space="preserve"> (e.g., recently cut or afforested areas). </w:t>
      </w:r>
      <w:r>
        <w:t xml:space="preserve">Of these, 852 forest stands (encompassing 1224.5 ha) lie wholly or partly within the study area borders, while the rest are adjacent to borders where additional bird observations have been made. </w:t>
      </w:r>
    </w:p>
    <w:p w:rsidR="003F3610" w:rsidRDefault="003F3610" w:rsidP="003F3610">
      <w:r>
        <w:t>The layer has been compiled by the author based on the stand borders and descriptions available in the Estonian Forest Registry (</w:t>
      </w:r>
      <w:r w:rsidRPr="003F3610">
        <w:t>https://register.metsad.ee/#/</w:t>
      </w:r>
      <w:r>
        <w:t xml:space="preserve">) as of August 2021, with additions regarding formally undescribed forests according to </w:t>
      </w:r>
      <w:proofErr w:type="spellStart"/>
      <w:r>
        <w:t>Kaasik</w:t>
      </w:r>
      <w:proofErr w:type="spellEnd"/>
      <w:r>
        <w:t xml:space="preserve"> et al. (2023)</w:t>
      </w:r>
      <w:r w:rsidR="001D6342">
        <w:t xml:space="preserve"> and original fieldwork</w:t>
      </w:r>
      <w:r>
        <w:t xml:space="preserve">. </w:t>
      </w:r>
      <w:r w:rsidR="001D6342">
        <w:t>The descriptions have been critically checked against</w:t>
      </w:r>
      <w:r>
        <w:t xml:space="preserve"> historical </w:t>
      </w:r>
      <w:r w:rsidR="001D6342">
        <w:t xml:space="preserve">topographic maps and </w:t>
      </w:r>
      <w:r>
        <w:t>aerial photographs (p</w:t>
      </w:r>
      <w:r w:rsidR="001D6342">
        <w:t xml:space="preserve">rovider: Estonian Land Board). All descriptions refer to the situation at the start of the study (2020) and any management-related changes during the study have been specified according to the fieldwork. </w:t>
      </w:r>
    </w:p>
    <w:p w:rsidR="001D6342" w:rsidRDefault="001D6342" w:rsidP="001D6342">
      <w:r>
        <w:t>Data fields:</w:t>
      </w:r>
    </w:p>
    <w:p w:rsidR="001D6342" w:rsidRDefault="001D6342" w:rsidP="001D6342">
      <w:pPr>
        <w:ind w:left="450"/>
      </w:pPr>
      <w:r>
        <w:t>Type: Broad forest type based on current tree-species composition:</w:t>
      </w:r>
    </w:p>
    <w:p w:rsidR="001D6342" w:rsidRDefault="001D6342" w:rsidP="001D6342">
      <w:pPr>
        <w:ind w:left="450"/>
      </w:pPr>
      <w:r>
        <w:t xml:space="preserve">Origin: </w:t>
      </w:r>
      <w:r w:rsidRPr="001D6342">
        <w:t>origin of the closed-canopy or (in case of temporal cutovers) early successional stand</w:t>
      </w:r>
      <w:r>
        <w:t>:</w:t>
      </w:r>
    </w:p>
    <w:p w:rsidR="001D6342" w:rsidRDefault="001D6342" w:rsidP="001D6342">
      <w:pPr>
        <w:ind w:left="1170"/>
      </w:pPr>
      <w:proofErr w:type="spellStart"/>
      <w:r>
        <w:t>Aff_A</w:t>
      </w:r>
      <w:proofErr w:type="spellEnd"/>
      <w:r>
        <w:t xml:space="preserve"> – natural afforestation, last long-term open condition arable land</w:t>
      </w:r>
    </w:p>
    <w:p w:rsidR="001D6342" w:rsidRDefault="001D6342" w:rsidP="001D6342">
      <w:pPr>
        <w:ind w:left="1170"/>
      </w:pPr>
      <w:proofErr w:type="spellStart"/>
      <w:r>
        <w:t>Aff_B</w:t>
      </w:r>
      <w:proofErr w:type="spellEnd"/>
      <w:r>
        <w:t xml:space="preserve"> – natural afforestation, last long-term open condition bog*</w:t>
      </w:r>
    </w:p>
    <w:p w:rsidR="001D6342" w:rsidRDefault="001D6342" w:rsidP="001D6342">
      <w:pPr>
        <w:ind w:left="1170"/>
      </w:pPr>
      <w:proofErr w:type="spellStart"/>
      <w:r>
        <w:t>Aff_F</w:t>
      </w:r>
      <w:proofErr w:type="spellEnd"/>
      <w:r>
        <w:t xml:space="preserve"> – natural afforestation, last long-term open condition natural fen*</w:t>
      </w:r>
    </w:p>
    <w:p w:rsidR="001D6342" w:rsidRDefault="001D6342" w:rsidP="001D6342">
      <w:pPr>
        <w:ind w:left="1170"/>
      </w:pPr>
      <w:proofErr w:type="spellStart"/>
      <w:r>
        <w:t>Aff_M</w:t>
      </w:r>
      <w:proofErr w:type="spellEnd"/>
      <w:r>
        <w:t xml:space="preserve"> – natural afforestation, last long-term open condition semi-natural meadow</w:t>
      </w:r>
    </w:p>
    <w:p w:rsidR="001D6342" w:rsidRDefault="001D6342" w:rsidP="001D6342">
      <w:pPr>
        <w:ind w:left="1170"/>
      </w:pPr>
      <w:proofErr w:type="spellStart"/>
      <w:r>
        <w:t>Aff_W</w:t>
      </w:r>
      <w:proofErr w:type="spellEnd"/>
      <w:r>
        <w:t xml:space="preserve"> – natural afforestation, last long-term open condition wooded meadow</w:t>
      </w:r>
    </w:p>
    <w:p w:rsidR="001D6342" w:rsidRDefault="001D6342" w:rsidP="001D6342">
      <w:pPr>
        <w:ind w:left="1170"/>
      </w:pPr>
      <w:proofErr w:type="spellStart"/>
      <w:r>
        <w:t>Cut_N</w:t>
      </w:r>
      <w:proofErr w:type="spellEnd"/>
      <w:r>
        <w:t xml:space="preserve"> – cutover, natural regeneration</w:t>
      </w:r>
      <w:r w:rsidRPr="00071ACB">
        <w:t xml:space="preserve"> </w:t>
      </w:r>
    </w:p>
    <w:p w:rsidR="001D6342" w:rsidRDefault="001D6342" w:rsidP="001D6342">
      <w:pPr>
        <w:ind w:left="1170"/>
      </w:pPr>
      <w:proofErr w:type="spellStart"/>
      <w:r>
        <w:t>Cut_P</w:t>
      </w:r>
      <w:proofErr w:type="spellEnd"/>
      <w:r>
        <w:t xml:space="preserve"> – cutover, </w:t>
      </w:r>
      <w:r>
        <w:rPr>
          <w:rFonts w:cstheme="minorHAnsi"/>
        </w:rPr>
        <w:t>≥</w:t>
      </w:r>
      <w:r>
        <w:t>80% cultivated</w:t>
      </w:r>
    </w:p>
    <w:p w:rsidR="001D6342" w:rsidRDefault="001D6342" w:rsidP="001D6342">
      <w:pPr>
        <w:ind w:left="1170"/>
      </w:pPr>
      <w:proofErr w:type="spellStart"/>
      <w:r>
        <w:lastRenderedPageBreak/>
        <w:t>Cut_S</w:t>
      </w:r>
      <w:proofErr w:type="spellEnd"/>
      <w:r>
        <w:t xml:space="preserve"> – cutover, partly (20%-79%) cultivated</w:t>
      </w:r>
    </w:p>
    <w:p w:rsidR="001D6342" w:rsidRDefault="001D6342" w:rsidP="001D6342">
      <w:pPr>
        <w:ind w:left="1170"/>
      </w:pPr>
      <w:r>
        <w:t xml:space="preserve">Plant – </w:t>
      </w:r>
      <w:r>
        <w:rPr>
          <w:rFonts w:cstheme="minorHAnsi"/>
        </w:rPr>
        <w:t xml:space="preserve">≥20% </w:t>
      </w:r>
      <w:r>
        <w:t>planted on former arable land or meadow</w:t>
      </w:r>
    </w:p>
    <w:p w:rsidR="001D6342" w:rsidRDefault="001D6342" w:rsidP="001D6342">
      <w:pPr>
        <w:ind w:left="1170"/>
      </w:pPr>
      <w:r>
        <w:t xml:space="preserve">* both can include some areas opened by traditional human use, </w:t>
      </w:r>
      <w:proofErr w:type="spellStart"/>
      <w:r>
        <w:t>e.g</w:t>
      </w:r>
      <w:proofErr w:type="spellEnd"/>
      <w:r>
        <w:t xml:space="preserve"> for grazing or fuelwood collection; however, these areas are not a regrowth on timber harvest areas</w:t>
      </w:r>
    </w:p>
    <w:p w:rsidR="001D6342" w:rsidRPr="001D6342" w:rsidRDefault="001D6342" w:rsidP="001D6342">
      <w:pPr>
        <w:ind w:left="450"/>
      </w:pPr>
      <w:proofErr w:type="spellStart"/>
      <w:r>
        <w:t>OrigYear</w:t>
      </w:r>
      <w:proofErr w:type="spellEnd"/>
      <w:r>
        <w:t xml:space="preserve">: </w:t>
      </w:r>
      <w:r w:rsidRPr="001D6342">
        <w:t xml:space="preserve">Refers to the presumed </w:t>
      </w:r>
      <w:r>
        <w:t>initiation</w:t>
      </w:r>
      <w:r w:rsidRPr="001D6342">
        <w:t xml:space="preserve"> of the curren</w:t>
      </w:r>
      <w:r>
        <w:t>t closed-canopy stand, even where</w:t>
      </w:r>
      <w:r w:rsidRPr="001D6342">
        <w:t xml:space="preserve"> tree cohorts have been replaced either naturally or through partial harvests. The forest registry data have been </w:t>
      </w:r>
      <w:r>
        <w:t>double-checked against t</w:t>
      </w:r>
      <w:r w:rsidRPr="001D6342">
        <w:t>opographic maps and aerial photos</w:t>
      </w:r>
      <w:r>
        <w:t>, and corrected where the latter convincingly identified errors in the registry</w:t>
      </w:r>
      <w:r w:rsidRPr="001D6342">
        <w:t>. In afforested bogs (</w:t>
      </w:r>
      <w:proofErr w:type="spellStart"/>
      <w:r w:rsidRPr="001D6342">
        <w:t>Aff_B</w:t>
      </w:r>
      <w:proofErr w:type="spellEnd"/>
      <w:r w:rsidRPr="001D6342">
        <w:t>) the year refers to the mean age of the dominant tree layer, while the actual dynamics and causes of the canopy closure remain unclear. According to historical maps, typical dynamics in the small bogs of the study area include a denser stand developed on a naturally sparser wooded bog, which is increasingly likely in more productive conditions (smaller stand productivity values) and near ditches. At least in the first half of the 20</w:t>
      </w:r>
      <w:r w:rsidRPr="001D6342">
        <w:rPr>
          <w:vertAlign w:val="superscript"/>
        </w:rPr>
        <w:t>th</w:t>
      </w:r>
      <w:r w:rsidRPr="001D6342">
        <w:t xml:space="preserve"> century, mire conditions may have been locally further opened by human use or other influences (e.g. peat mining in the </w:t>
      </w:r>
      <w:proofErr w:type="spellStart"/>
      <w:r w:rsidRPr="001D6342">
        <w:t>Kripsi</w:t>
      </w:r>
      <w:proofErr w:type="spellEnd"/>
      <w:r w:rsidRPr="001D6342">
        <w:t xml:space="preserve"> bog; apparent grazing in </w:t>
      </w:r>
      <w:proofErr w:type="spellStart"/>
      <w:r w:rsidRPr="001D6342">
        <w:t>Kängä</w:t>
      </w:r>
      <w:proofErr w:type="spellEnd"/>
      <w:r w:rsidRPr="001D6342">
        <w:t xml:space="preserve"> bog).</w:t>
      </w:r>
    </w:p>
    <w:p w:rsidR="00C76876" w:rsidRDefault="001D6342" w:rsidP="00C76876">
      <w:pPr>
        <w:ind w:left="450"/>
      </w:pPr>
      <w:proofErr w:type="spellStart"/>
      <w:r>
        <w:t>SiteType</w:t>
      </w:r>
      <w:proofErr w:type="spellEnd"/>
      <w:r>
        <w:t>: forest site type according to the Estonian classification (Lõhmus, 1984):</w:t>
      </w:r>
      <w:r w:rsidR="00C76876">
        <w:t xml:space="preserve"> </w:t>
      </w:r>
    </w:p>
    <w:p w:rsidR="00C76876" w:rsidRDefault="00C76876" w:rsidP="00C76876">
      <w:pPr>
        <w:ind w:left="1170"/>
      </w:pPr>
      <w:r>
        <w:t xml:space="preserve">AN – </w:t>
      </w:r>
      <w:proofErr w:type="spellStart"/>
      <w:r>
        <w:rPr>
          <w:i/>
        </w:rPr>
        <w:t>Filipendula</w:t>
      </w:r>
      <w:proofErr w:type="spellEnd"/>
      <w:r>
        <w:t xml:space="preserve"> (eutrophic </w:t>
      </w:r>
      <w:proofErr w:type="spellStart"/>
      <w:r>
        <w:t>paludifying</w:t>
      </w:r>
      <w:proofErr w:type="spellEnd"/>
      <w:r>
        <w:t xml:space="preserve"> group)</w:t>
      </w:r>
    </w:p>
    <w:p w:rsidR="00C76876" w:rsidRPr="00C76876" w:rsidRDefault="00C76876" w:rsidP="00C76876">
      <w:pPr>
        <w:ind w:left="1170"/>
      </w:pPr>
      <w:r>
        <w:t xml:space="preserve">JK – </w:t>
      </w:r>
      <w:r>
        <w:rPr>
          <w:i/>
        </w:rPr>
        <w:t xml:space="preserve">Oxalis </w:t>
      </w:r>
      <w:r>
        <w:t>(mesotrophic group)</w:t>
      </w:r>
    </w:p>
    <w:p w:rsidR="00C76876" w:rsidRPr="00C76876" w:rsidRDefault="00C76876" w:rsidP="00C76876">
      <w:pPr>
        <w:ind w:left="1170"/>
      </w:pPr>
      <w:r>
        <w:t xml:space="preserve">JM – </w:t>
      </w:r>
      <w:r>
        <w:rPr>
          <w:i/>
        </w:rPr>
        <w:t>Oxalis-</w:t>
      </w:r>
      <w:proofErr w:type="spellStart"/>
      <w:r>
        <w:rPr>
          <w:i/>
        </w:rPr>
        <w:t>Myrtillus</w:t>
      </w:r>
      <w:proofErr w:type="spellEnd"/>
      <w:r>
        <w:t xml:space="preserve"> (dry boreal group)</w:t>
      </w:r>
    </w:p>
    <w:p w:rsidR="00C76876" w:rsidRPr="00C76876" w:rsidRDefault="00C76876" w:rsidP="00C76876">
      <w:pPr>
        <w:ind w:left="1170"/>
      </w:pPr>
      <w:r>
        <w:t xml:space="preserve">JO – drained </w:t>
      </w:r>
      <w:r>
        <w:rPr>
          <w:i/>
        </w:rPr>
        <w:t>Oxalis</w:t>
      </w:r>
      <w:r>
        <w:t xml:space="preserve"> peatland (drained-peatland group)</w:t>
      </w:r>
    </w:p>
    <w:p w:rsidR="00C76876" w:rsidRPr="00C76876" w:rsidRDefault="00C76876" w:rsidP="00C76876">
      <w:pPr>
        <w:ind w:left="1170"/>
      </w:pPr>
      <w:r>
        <w:t xml:space="preserve">JP – </w:t>
      </w:r>
      <w:r>
        <w:rPr>
          <w:i/>
        </w:rPr>
        <w:t>Oxalis</w:t>
      </w:r>
      <w:r>
        <w:t>-</w:t>
      </w:r>
      <w:proofErr w:type="spellStart"/>
      <w:r>
        <w:rPr>
          <w:i/>
        </w:rPr>
        <w:t>Rhodococcum</w:t>
      </w:r>
      <w:proofErr w:type="spellEnd"/>
      <w:r>
        <w:t xml:space="preserve"> (dry boreal group)</w:t>
      </w:r>
    </w:p>
    <w:p w:rsidR="00C76876" w:rsidRPr="00C76876" w:rsidRDefault="00C76876" w:rsidP="00C76876">
      <w:pPr>
        <w:ind w:left="1170"/>
      </w:pPr>
      <w:r>
        <w:t xml:space="preserve">KM – </w:t>
      </w:r>
      <w:proofErr w:type="spellStart"/>
      <w:r>
        <w:rPr>
          <w:i/>
        </w:rPr>
        <w:t>Polytrichum</w:t>
      </w:r>
      <w:r>
        <w:t>-</w:t>
      </w:r>
      <w:r>
        <w:rPr>
          <w:i/>
        </w:rPr>
        <w:t>Myrtillus</w:t>
      </w:r>
      <w:proofErr w:type="spellEnd"/>
      <w:r>
        <w:t xml:space="preserve"> (dry boreal group)</w:t>
      </w:r>
    </w:p>
    <w:p w:rsidR="00C76876" w:rsidRPr="00C76876" w:rsidRDefault="00C76876" w:rsidP="00C76876">
      <w:pPr>
        <w:ind w:left="1170"/>
      </w:pPr>
      <w:r>
        <w:t xml:space="preserve">KR – </w:t>
      </w:r>
      <w:proofErr w:type="spellStart"/>
      <w:r>
        <w:rPr>
          <w:i/>
        </w:rPr>
        <w:t>Polytrichum</w:t>
      </w:r>
      <w:proofErr w:type="spellEnd"/>
      <w:r>
        <w:t xml:space="preserve"> (oligotrophic </w:t>
      </w:r>
      <w:proofErr w:type="spellStart"/>
      <w:r>
        <w:t>paludifying</w:t>
      </w:r>
      <w:proofErr w:type="spellEnd"/>
      <w:r>
        <w:t xml:space="preserve"> group)</w:t>
      </w:r>
    </w:p>
    <w:p w:rsidR="00C76876" w:rsidRDefault="00C76876" w:rsidP="00C76876">
      <w:pPr>
        <w:ind w:left="1170"/>
      </w:pPr>
      <w:r>
        <w:t>KS – (undescribed) drained peatland</w:t>
      </w:r>
    </w:p>
    <w:p w:rsidR="00C76876" w:rsidRDefault="00C76876" w:rsidP="00C76876">
      <w:pPr>
        <w:ind w:left="1170"/>
      </w:pPr>
      <w:r>
        <w:t>LD – mobile-water swamp (swamps)</w:t>
      </w:r>
    </w:p>
    <w:p w:rsidR="00C76876" w:rsidRDefault="00C76876" w:rsidP="00C76876">
      <w:pPr>
        <w:ind w:left="1170"/>
      </w:pPr>
      <w:r>
        <w:t>MD – stagnant-water swamp (swamps)</w:t>
      </w:r>
    </w:p>
    <w:p w:rsidR="00C76876" w:rsidRPr="00C76876" w:rsidRDefault="00C76876" w:rsidP="00C76876">
      <w:pPr>
        <w:ind w:left="1170"/>
      </w:pPr>
      <w:r>
        <w:t xml:space="preserve">MO – drained </w:t>
      </w:r>
      <w:proofErr w:type="spellStart"/>
      <w:r>
        <w:rPr>
          <w:i/>
        </w:rPr>
        <w:t>Myrtillus</w:t>
      </w:r>
      <w:proofErr w:type="spellEnd"/>
      <w:r>
        <w:t xml:space="preserve"> peatland (drained-peatland group)</w:t>
      </w:r>
    </w:p>
    <w:p w:rsidR="00C76876" w:rsidRPr="00C76876" w:rsidRDefault="00C76876" w:rsidP="00C76876">
      <w:pPr>
        <w:ind w:left="1170"/>
      </w:pPr>
      <w:r>
        <w:t xml:space="preserve">MS – </w:t>
      </w:r>
      <w:proofErr w:type="spellStart"/>
      <w:r>
        <w:rPr>
          <w:i/>
        </w:rPr>
        <w:t>Myrtillus</w:t>
      </w:r>
      <w:proofErr w:type="spellEnd"/>
      <w:r>
        <w:t xml:space="preserve"> (dry boreal group)</w:t>
      </w:r>
    </w:p>
    <w:p w:rsidR="00C76876" w:rsidRPr="00C76876" w:rsidRDefault="00C76876" w:rsidP="00C76876">
      <w:pPr>
        <w:ind w:left="1170"/>
      </w:pPr>
      <w:r>
        <w:t xml:space="preserve">ND – </w:t>
      </w:r>
      <w:proofErr w:type="spellStart"/>
      <w:r>
        <w:rPr>
          <w:i/>
        </w:rPr>
        <w:t>Aegopodium</w:t>
      </w:r>
      <w:proofErr w:type="spellEnd"/>
      <w:r>
        <w:t xml:space="preserve"> (eutrophic group)</w:t>
      </w:r>
    </w:p>
    <w:p w:rsidR="00C76876" w:rsidRPr="00C76876" w:rsidRDefault="00C76876" w:rsidP="00C76876">
      <w:pPr>
        <w:ind w:left="1170"/>
      </w:pPr>
      <w:r>
        <w:t xml:space="preserve">PH – </w:t>
      </w:r>
      <w:proofErr w:type="spellStart"/>
      <w:r>
        <w:rPr>
          <w:i/>
        </w:rPr>
        <w:t>Rhodococcum</w:t>
      </w:r>
      <w:proofErr w:type="spellEnd"/>
      <w:r>
        <w:rPr>
          <w:i/>
        </w:rPr>
        <w:t xml:space="preserve"> </w:t>
      </w:r>
      <w:r>
        <w:t>(dry boreal group)</w:t>
      </w:r>
    </w:p>
    <w:p w:rsidR="00C76876" w:rsidRDefault="00C76876" w:rsidP="00C76876">
      <w:pPr>
        <w:ind w:left="1170"/>
      </w:pPr>
      <w:r>
        <w:t xml:space="preserve">RB – </w:t>
      </w:r>
      <w:proofErr w:type="spellStart"/>
      <w:r>
        <w:t>ombrotrophic</w:t>
      </w:r>
      <w:proofErr w:type="spellEnd"/>
      <w:r>
        <w:t xml:space="preserve"> bog (bogs)</w:t>
      </w:r>
    </w:p>
    <w:p w:rsidR="00C76876" w:rsidRPr="00C76876" w:rsidRDefault="00C76876" w:rsidP="00C76876">
      <w:pPr>
        <w:ind w:left="1170"/>
      </w:pPr>
      <w:r>
        <w:t xml:space="preserve">SJ – </w:t>
      </w:r>
      <w:proofErr w:type="spellStart"/>
      <w:r>
        <w:rPr>
          <w:i/>
        </w:rPr>
        <w:t>Dryopteris</w:t>
      </w:r>
      <w:proofErr w:type="spellEnd"/>
      <w:r>
        <w:t xml:space="preserve"> (eutrophic group)</w:t>
      </w:r>
    </w:p>
    <w:p w:rsidR="00C76876" w:rsidRPr="00C76876" w:rsidRDefault="00C76876" w:rsidP="00C76876">
      <w:pPr>
        <w:ind w:left="1170"/>
      </w:pPr>
      <w:r>
        <w:t xml:space="preserve">SM – </w:t>
      </w:r>
      <w:proofErr w:type="spellStart"/>
      <w:r>
        <w:rPr>
          <w:i/>
        </w:rPr>
        <w:t>Cladina</w:t>
      </w:r>
      <w:proofErr w:type="spellEnd"/>
      <w:r>
        <w:rPr>
          <w:i/>
        </w:rPr>
        <w:t xml:space="preserve"> </w:t>
      </w:r>
      <w:r>
        <w:t>(heaths)</w:t>
      </w:r>
    </w:p>
    <w:p w:rsidR="00C76876" w:rsidRPr="00C76876" w:rsidRDefault="00C76876" w:rsidP="00C76876">
      <w:pPr>
        <w:ind w:left="1170"/>
      </w:pPr>
      <w:r>
        <w:lastRenderedPageBreak/>
        <w:t xml:space="preserve">SN – </w:t>
      </w:r>
      <w:proofErr w:type="spellStart"/>
      <w:r>
        <w:rPr>
          <w:i/>
        </w:rPr>
        <w:t>Vaccinium</w:t>
      </w:r>
      <w:proofErr w:type="spellEnd"/>
      <w:r>
        <w:rPr>
          <w:i/>
        </w:rPr>
        <w:t xml:space="preserve"> </w:t>
      </w:r>
      <w:proofErr w:type="spellStart"/>
      <w:r>
        <w:rPr>
          <w:i/>
        </w:rPr>
        <w:t>uliginosum</w:t>
      </w:r>
      <w:proofErr w:type="spellEnd"/>
      <w:r>
        <w:t xml:space="preserve"> (oligotrophic </w:t>
      </w:r>
      <w:proofErr w:type="spellStart"/>
      <w:r>
        <w:t>paludifying</w:t>
      </w:r>
      <w:proofErr w:type="spellEnd"/>
      <w:r>
        <w:t xml:space="preserve"> group)</w:t>
      </w:r>
    </w:p>
    <w:p w:rsidR="00C76876" w:rsidRDefault="00C76876" w:rsidP="00C76876">
      <w:pPr>
        <w:ind w:left="1170"/>
      </w:pPr>
      <w:r>
        <w:t xml:space="preserve">SS – </w:t>
      </w:r>
      <w:proofErr w:type="spellStart"/>
      <w:r>
        <w:t>mixotrophic</w:t>
      </w:r>
      <w:proofErr w:type="spellEnd"/>
      <w:r>
        <w:t xml:space="preserve"> bog (bogs)</w:t>
      </w:r>
    </w:p>
    <w:p w:rsidR="00C76876" w:rsidRPr="00C76876" w:rsidRDefault="00C76876" w:rsidP="00C76876">
      <w:pPr>
        <w:ind w:left="1170"/>
      </w:pPr>
      <w:r>
        <w:t xml:space="preserve">TA – </w:t>
      </w:r>
      <w:proofErr w:type="spellStart"/>
      <w:r>
        <w:rPr>
          <w:i/>
        </w:rPr>
        <w:t>Carex-Filipendula</w:t>
      </w:r>
      <w:proofErr w:type="spellEnd"/>
      <w:r>
        <w:t xml:space="preserve"> (eutrophic </w:t>
      </w:r>
      <w:proofErr w:type="spellStart"/>
      <w:r>
        <w:t>paludifying</w:t>
      </w:r>
      <w:proofErr w:type="spellEnd"/>
      <w:r>
        <w:t xml:space="preserve"> group)</w:t>
      </w:r>
    </w:p>
    <w:p w:rsidR="00C76876" w:rsidRPr="00C76876" w:rsidRDefault="00C76876" w:rsidP="00C76876">
      <w:pPr>
        <w:ind w:left="1170"/>
        <w:rPr>
          <w:i/>
        </w:rPr>
      </w:pPr>
      <w:r>
        <w:t xml:space="preserve">TR – </w:t>
      </w:r>
      <w:proofErr w:type="spellStart"/>
      <w:r>
        <w:rPr>
          <w:i/>
        </w:rPr>
        <w:t>Carex</w:t>
      </w:r>
      <w:proofErr w:type="spellEnd"/>
      <w:r>
        <w:rPr>
          <w:i/>
        </w:rPr>
        <w:t xml:space="preserve"> </w:t>
      </w:r>
      <w:r>
        <w:t xml:space="preserve">(eutrophic </w:t>
      </w:r>
      <w:proofErr w:type="spellStart"/>
      <w:r>
        <w:t>paludifying</w:t>
      </w:r>
      <w:proofErr w:type="spellEnd"/>
      <w:r>
        <w:t xml:space="preserve"> group).</w:t>
      </w:r>
    </w:p>
    <w:p w:rsidR="009A4D97" w:rsidRDefault="009A4D97" w:rsidP="009A4D97">
      <w:pPr>
        <w:ind w:left="450"/>
      </w:pPr>
      <w:r>
        <w:t xml:space="preserve">Productivity: </w:t>
      </w:r>
      <w:r w:rsidR="00B40985">
        <w:t>six-class division</w:t>
      </w:r>
      <w:r>
        <w:t xml:space="preserve"> according to the Estonian </w:t>
      </w:r>
      <w:r w:rsidR="00B40985">
        <w:t>system (Lõhmus, 1984), from 0 (or 1A; most productive) to 6 (or 5A; least productive).</w:t>
      </w:r>
    </w:p>
    <w:p w:rsidR="00B40985" w:rsidRDefault="00B40985" w:rsidP="009A4D97">
      <w:pPr>
        <w:ind w:left="450"/>
      </w:pPr>
      <w:r>
        <w:t>Ownership: forest ownership as of 2020: E – private-owned; R – state-owned.</w:t>
      </w:r>
    </w:p>
    <w:p w:rsidR="00B40985" w:rsidRDefault="00B40985" w:rsidP="009A4D97">
      <w:pPr>
        <w:ind w:left="450"/>
      </w:pPr>
      <w:proofErr w:type="spellStart"/>
      <w:r>
        <w:t>LastThinn</w:t>
      </w:r>
      <w:proofErr w:type="spellEnd"/>
      <w:r>
        <w:t xml:space="preserve">: </w:t>
      </w:r>
      <w:r>
        <w:t xml:space="preserve">year </w:t>
      </w:r>
      <w:r>
        <w:t>of the last known thinning in the stand</w:t>
      </w:r>
      <w:r w:rsidRPr="00B40985">
        <w:t xml:space="preserve"> </w:t>
      </w:r>
      <w:r>
        <w:t>(</w:t>
      </w:r>
      <w:r>
        <w:t xml:space="preserve">including </w:t>
      </w:r>
      <w:proofErr w:type="spellStart"/>
      <w:r>
        <w:t>precommercial</w:t>
      </w:r>
      <w:proofErr w:type="spellEnd"/>
      <w:r>
        <w:t xml:space="preserve"> </w:t>
      </w:r>
      <w:proofErr w:type="spellStart"/>
      <w:r>
        <w:t>thinnings</w:t>
      </w:r>
      <w:proofErr w:type="spellEnd"/>
      <w:r>
        <w:t xml:space="preserve">), </w:t>
      </w:r>
      <w:r>
        <w:t>refer</w:t>
      </w:r>
      <w:r>
        <w:t>ring</w:t>
      </w:r>
      <w:r>
        <w:t xml:space="preserve"> to the first nesting season as thinned</w:t>
      </w:r>
      <w:r>
        <w:t xml:space="preserve"> (</w:t>
      </w:r>
      <w:proofErr w:type="spellStart"/>
      <w:r>
        <w:t>e.g</w:t>
      </w:r>
      <w:proofErr w:type="spellEnd"/>
      <w:r>
        <w:t>, thinning in autumn 2019 is coded as 2020).</w:t>
      </w:r>
    </w:p>
    <w:p w:rsidR="001D6342" w:rsidRDefault="00B40985" w:rsidP="00B40985">
      <w:pPr>
        <w:ind w:left="450"/>
      </w:pPr>
      <w:r>
        <w:t>Other cut</w:t>
      </w:r>
      <w:r>
        <w:t xml:space="preserve">: </w:t>
      </w:r>
      <w:r w:rsidRPr="00B40985">
        <w:rPr>
          <w:i/>
        </w:rPr>
        <w:t>CC</w:t>
      </w:r>
      <w:r>
        <w:t xml:space="preserve"> – clear-cut during the study period; the year refers to the first census year as clear-cut</w:t>
      </w:r>
      <w:r>
        <w:t xml:space="preserve">; </w:t>
      </w:r>
      <w:r w:rsidRPr="00B40985">
        <w:rPr>
          <w:i/>
        </w:rPr>
        <w:t>SC</w:t>
      </w:r>
      <w:r>
        <w:t xml:space="preserve"> – sanitary cutting (partial removal of dead or damaged trees); the year refers to the first census year after that impact</w:t>
      </w:r>
      <w:r>
        <w:t xml:space="preserve">; </w:t>
      </w:r>
      <w:r w:rsidRPr="00B40985">
        <w:rPr>
          <w:i/>
        </w:rPr>
        <w:t>sing</w:t>
      </w:r>
      <w:r>
        <w:rPr>
          <w:i/>
        </w:rPr>
        <w:t>l</w:t>
      </w:r>
      <w:r w:rsidRPr="00B40985">
        <w:rPr>
          <w:i/>
        </w:rPr>
        <w:t>etree</w:t>
      </w:r>
      <w:r>
        <w:t xml:space="preserve"> – occasional removal of single trees for firewood, may include repeated entries</w:t>
      </w:r>
      <w:r>
        <w:t>.</w:t>
      </w:r>
    </w:p>
    <w:p w:rsidR="00147669" w:rsidRDefault="00147669" w:rsidP="00071ACB"/>
    <w:p w:rsidR="00147669" w:rsidRPr="00B40985" w:rsidRDefault="00B40985" w:rsidP="00071ACB">
      <w:pPr>
        <w:rPr>
          <w:u w:val="single"/>
        </w:rPr>
      </w:pPr>
      <w:r w:rsidRPr="00B40985">
        <w:rPr>
          <w:u w:val="single"/>
        </w:rPr>
        <w:t xml:space="preserve">Layer 5: </w:t>
      </w:r>
      <w:proofErr w:type="spellStart"/>
      <w:r w:rsidR="00842F8D" w:rsidRPr="00B40985">
        <w:rPr>
          <w:u w:val="single"/>
        </w:rPr>
        <w:t>Bird_s</w:t>
      </w:r>
      <w:r w:rsidR="00147669" w:rsidRPr="00B40985">
        <w:rPr>
          <w:u w:val="single"/>
        </w:rPr>
        <w:t>crub</w:t>
      </w:r>
      <w:r w:rsidR="00842F8D" w:rsidRPr="00B40985">
        <w:rPr>
          <w:u w:val="single"/>
        </w:rPr>
        <w:t>area</w:t>
      </w:r>
      <w:proofErr w:type="spellEnd"/>
    </w:p>
    <w:p w:rsidR="00147669" w:rsidRPr="00147669" w:rsidRDefault="00B40985" w:rsidP="00071ACB">
      <w:pPr>
        <w:rPr>
          <w:b/>
        </w:rPr>
      </w:pPr>
      <w:r>
        <w:t xml:space="preserve">Includes polygons of </w:t>
      </w:r>
      <w:r>
        <w:t xml:space="preserve">deciduous woodland that do not qualify as forest stands. </w:t>
      </w:r>
      <w:r w:rsidR="0065796D">
        <w:rPr>
          <w:lang w:val="en-GB"/>
        </w:rPr>
        <w:t xml:space="preserve">In the study area, most contiguous scrub is formed by deciduous trees: </w:t>
      </w:r>
      <w:r w:rsidR="0065796D">
        <w:t xml:space="preserve">willow thickets in wet areas, overgrown arable land or as deciduous scrub (willows and </w:t>
      </w:r>
      <w:proofErr w:type="spellStart"/>
      <w:r w:rsidR="0065796D" w:rsidRPr="00275B25">
        <w:rPr>
          <w:i/>
        </w:rPr>
        <w:t>Prunus</w:t>
      </w:r>
      <w:proofErr w:type="spellEnd"/>
      <w:r w:rsidR="0065796D" w:rsidRPr="00275B25">
        <w:rPr>
          <w:i/>
        </w:rPr>
        <w:t xml:space="preserve"> </w:t>
      </w:r>
      <w:proofErr w:type="spellStart"/>
      <w:r w:rsidR="0065796D" w:rsidRPr="00275B25">
        <w:rPr>
          <w:i/>
        </w:rPr>
        <w:t>padus</w:t>
      </w:r>
      <w:proofErr w:type="spellEnd"/>
      <w:r w:rsidR="0065796D">
        <w:t>) along roads. These patches have only been incompletely mapped here, based on two sources: included are all p</w:t>
      </w:r>
      <w:r w:rsidR="00147669">
        <w:t>olygons outside forest stands that were obtained either as (</w:t>
      </w:r>
      <w:proofErr w:type="spellStart"/>
      <w:r w:rsidR="00147669">
        <w:t>i</w:t>
      </w:r>
      <w:proofErr w:type="spellEnd"/>
      <w:r w:rsidR="00147669">
        <w:t>) the ‘scrub’ (“</w:t>
      </w:r>
      <w:proofErr w:type="spellStart"/>
      <w:r w:rsidR="00147669">
        <w:t>poosastik</w:t>
      </w:r>
      <w:proofErr w:type="spellEnd"/>
      <w:r w:rsidR="00147669">
        <w:t xml:space="preserve">”) layer in the </w:t>
      </w:r>
      <w:r w:rsidR="00147669" w:rsidRPr="00FB60DF">
        <w:rPr>
          <w:lang w:val="en-GB"/>
        </w:rPr>
        <w:t>Estonian Topographic Database (provider: Estonian Land Board</w:t>
      </w:r>
      <w:r w:rsidR="0065796D">
        <w:rPr>
          <w:lang w:val="en-GB"/>
        </w:rPr>
        <w:t>; as of 2015</w:t>
      </w:r>
      <w:r w:rsidR="00147669" w:rsidRPr="00FB60DF">
        <w:rPr>
          <w:lang w:val="en-GB"/>
        </w:rPr>
        <w:t>)</w:t>
      </w:r>
      <w:r w:rsidR="00147669">
        <w:rPr>
          <w:lang w:val="en-GB"/>
        </w:rPr>
        <w:t xml:space="preserve">, or (ii) by reclassifying forest stands (as reported by </w:t>
      </w:r>
      <w:proofErr w:type="spellStart"/>
      <w:r w:rsidR="00147669">
        <w:rPr>
          <w:lang w:val="en-GB"/>
        </w:rPr>
        <w:t>Kaasik</w:t>
      </w:r>
      <w:proofErr w:type="spellEnd"/>
      <w:r w:rsidR="00147669">
        <w:rPr>
          <w:lang w:val="en-GB"/>
        </w:rPr>
        <w:t xml:space="preserve"> et al., 2023) based on field-checked species comp</w:t>
      </w:r>
      <w:r w:rsidR="0065796D">
        <w:rPr>
          <w:lang w:val="en-GB"/>
        </w:rPr>
        <w:t>osition by the author during this study.</w:t>
      </w:r>
      <w:r w:rsidR="00147669">
        <w:rPr>
          <w:lang w:val="en-GB"/>
        </w:rPr>
        <w:t xml:space="preserve"> </w:t>
      </w:r>
    </w:p>
    <w:p w:rsidR="000D3FF0" w:rsidRDefault="000D3FF0" w:rsidP="000D3FF0"/>
    <w:p w:rsidR="007F3FEF" w:rsidRDefault="007F3FEF" w:rsidP="000D3FF0">
      <w:r>
        <w:rPr>
          <w:b/>
        </w:rPr>
        <w:t>References</w:t>
      </w:r>
    </w:p>
    <w:p w:rsidR="00B40985" w:rsidRDefault="00B40985" w:rsidP="00981A32">
      <w:proofErr w:type="spellStart"/>
      <w:r w:rsidRPr="00B40985">
        <w:t>Kaasik</w:t>
      </w:r>
      <w:proofErr w:type="spellEnd"/>
      <w:r w:rsidRPr="00B40985">
        <w:t xml:space="preserve">, A., </w:t>
      </w:r>
      <w:proofErr w:type="spellStart"/>
      <w:r w:rsidRPr="00B40985">
        <w:t>Kont</w:t>
      </w:r>
      <w:proofErr w:type="spellEnd"/>
      <w:r w:rsidRPr="00B40985">
        <w:t>, R., Lõhmus, A. 2023. Modeling landscape futures: full scale simulation of realistic socioeconomic scenarios in Estonia. PLOS ONE 18(11): e0294650. https://doi.org/10.1371/journal.pone.0294650</w:t>
      </w:r>
    </w:p>
    <w:p w:rsidR="00B40985" w:rsidRDefault="00B40985" w:rsidP="00B40985">
      <w:r>
        <w:t>Lõhmus, E., 1</w:t>
      </w:r>
      <w:r>
        <w:t xml:space="preserve">984. </w:t>
      </w:r>
      <w:proofErr w:type="spellStart"/>
      <w:r>
        <w:t>Eesti</w:t>
      </w:r>
      <w:proofErr w:type="spellEnd"/>
      <w:r>
        <w:t xml:space="preserve"> </w:t>
      </w:r>
      <w:proofErr w:type="spellStart"/>
      <w:r>
        <w:t>metsakasvukohatüübid</w:t>
      </w:r>
      <w:proofErr w:type="spellEnd"/>
      <w:r>
        <w:t xml:space="preserve"> (</w:t>
      </w:r>
      <w:r>
        <w:t>Estonian Forest Site Types</w:t>
      </w:r>
      <w:r>
        <w:t>).</w:t>
      </w:r>
      <w:r>
        <w:t xml:space="preserve"> </w:t>
      </w:r>
      <w:proofErr w:type="spellStart"/>
      <w:r>
        <w:t>Eesti</w:t>
      </w:r>
      <w:proofErr w:type="spellEnd"/>
      <w:r>
        <w:t xml:space="preserve"> NSV</w:t>
      </w:r>
      <w:r>
        <w:t xml:space="preserve"> </w:t>
      </w:r>
      <w:proofErr w:type="spellStart"/>
      <w:r>
        <w:t>Agrotööstuskoondise</w:t>
      </w:r>
      <w:proofErr w:type="spellEnd"/>
      <w:r>
        <w:t xml:space="preserve"> Info- ja </w:t>
      </w:r>
      <w:proofErr w:type="spellStart"/>
      <w:r>
        <w:t>juurutusvalitsus</w:t>
      </w:r>
      <w:proofErr w:type="spellEnd"/>
      <w:r>
        <w:t>, Tallinn (in Estonian).</w:t>
      </w:r>
    </w:p>
    <w:p w:rsidR="00981A32" w:rsidRDefault="00981A32" w:rsidP="00981A32">
      <w:r w:rsidRPr="00F21994">
        <w:t xml:space="preserve">Lõhmus, A. 2020. </w:t>
      </w:r>
      <w:proofErr w:type="spellStart"/>
      <w:r w:rsidRPr="00F21994">
        <w:t>Haudelinnustiku</w:t>
      </w:r>
      <w:proofErr w:type="spellEnd"/>
      <w:r w:rsidRPr="00F21994">
        <w:t xml:space="preserve"> </w:t>
      </w:r>
      <w:proofErr w:type="spellStart"/>
      <w:r w:rsidRPr="00F21994">
        <w:t>asustustihedus</w:t>
      </w:r>
      <w:proofErr w:type="spellEnd"/>
      <w:r w:rsidRPr="00F21994">
        <w:t xml:space="preserve"> </w:t>
      </w:r>
      <w:proofErr w:type="spellStart"/>
      <w:r w:rsidRPr="00F21994">
        <w:t>kuivendatud</w:t>
      </w:r>
      <w:proofErr w:type="spellEnd"/>
      <w:r w:rsidRPr="00F21994">
        <w:t xml:space="preserve"> </w:t>
      </w:r>
      <w:proofErr w:type="spellStart"/>
      <w:r w:rsidRPr="00F21994">
        <w:t>Kripsi</w:t>
      </w:r>
      <w:proofErr w:type="spellEnd"/>
      <w:r w:rsidRPr="00F21994">
        <w:t xml:space="preserve"> </w:t>
      </w:r>
      <w:proofErr w:type="spellStart"/>
      <w:r w:rsidRPr="00F21994">
        <w:t>soo</w:t>
      </w:r>
      <w:proofErr w:type="spellEnd"/>
      <w:r w:rsidRPr="00F21994">
        <w:t xml:space="preserve"> </w:t>
      </w:r>
      <w:proofErr w:type="spellStart"/>
      <w:r w:rsidRPr="00F21994">
        <w:t>ümbruse</w:t>
      </w:r>
      <w:proofErr w:type="spellEnd"/>
      <w:r w:rsidRPr="00F21994">
        <w:t xml:space="preserve"> </w:t>
      </w:r>
      <w:proofErr w:type="spellStart"/>
      <w:r w:rsidRPr="00F21994">
        <w:t>metsades</w:t>
      </w:r>
      <w:proofErr w:type="spellEnd"/>
      <w:r w:rsidRPr="00F21994">
        <w:t xml:space="preserve"> [Population densities of breeding birds in forests surrounding the drained </w:t>
      </w:r>
      <w:proofErr w:type="spellStart"/>
      <w:r w:rsidRPr="00F21994">
        <w:t>Kripsi</w:t>
      </w:r>
      <w:proofErr w:type="spellEnd"/>
      <w:r w:rsidRPr="00F21994">
        <w:t xml:space="preserve"> mire (East Estonia)]. </w:t>
      </w:r>
      <w:proofErr w:type="spellStart"/>
      <w:r w:rsidRPr="00F21994">
        <w:t>Hirundo</w:t>
      </w:r>
      <w:proofErr w:type="spellEnd"/>
      <w:r w:rsidRPr="00F21994">
        <w:t xml:space="preserve"> 33(2): 30-52.</w:t>
      </w:r>
    </w:p>
    <w:p w:rsidR="00981A32" w:rsidRDefault="00981A32" w:rsidP="00981A32">
      <w:r w:rsidRPr="00F21994">
        <w:t xml:space="preserve">Lõhmus, A. 2022. </w:t>
      </w:r>
      <w:proofErr w:type="spellStart"/>
      <w:r w:rsidRPr="00F21994">
        <w:t>Käo</w:t>
      </w:r>
      <w:proofErr w:type="spellEnd"/>
      <w:r w:rsidRPr="00F21994">
        <w:t xml:space="preserve"> (</w:t>
      </w:r>
      <w:proofErr w:type="spellStart"/>
      <w:r w:rsidRPr="00981A32">
        <w:rPr>
          <w:i/>
        </w:rPr>
        <w:t>Cuculus</w:t>
      </w:r>
      <w:proofErr w:type="spellEnd"/>
      <w:r w:rsidRPr="00981A32">
        <w:rPr>
          <w:i/>
        </w:rPr>
        <w:t xml:space="preserve"> </w:t>
      </w:r>
      <w:proofErr w:type="spellStart"/>
      <w:r w:rsidRPr="00981A32">
        <w:rPr>
          <w:i/>
        </w:rPr>
        <w:t>canorus</w:t>
      </w:r>
      <w:proofErr w:type="spellEnd"/>
      <w:r w:rsidRPr="00F21994">
        <w:t xml:space="preserve">) </w:t>
      </w:r>
      <w:proofErr w:type="spellStart"/>
      <w:r w:rsidRPr="00F21994">
        <w:t>arvukus</w:t>
      </w:r>
      <w:proofErr w:type="spellEnd"/>
      <w:r w:rsidRPr="00F21994">
        <w:t xml:space="preserve"> </w:t>
      </w:r>
      <w:proofErr w:type="spellStart"/>
      <w:r w:rsidRPr="00F21994">
        <w:t>metsamaastikul</w:t>
      </w:r>
      <w:proofErr w:type="spellEnd"/>
      <w:r w:rsidRPr="00F21994">
        <w:t xml:space="preserve">: </w:t>
      </w:r>
      <w:proofErr w:type="spellStart"/>
      <w:r w:rsidRPr="00F21994">
        <w:t>kaardistusmeetodi</w:t>
      </w:r>
      <w:proofErr w:type="spellEnd"/>
      <w:r w:rsidRPr="00F21994">
        <w:t xml:space="preserve"> </w:t>
      </w:r>
      <w:proofErr w:type="spellStart"/>
      <w:r w:rsidRPr="00F21994">
        <w:t>võimalused</w:t>
      </w:r>
      <w:proofErr w:type="spellEnd"/>
      <w:r w:rsidRPr="00F21994">
        <w:t xml:space="preserve"> ja </w:t>
      </w:r>
      <w:proofErr w:type="spellStart"/>
      <w:r w:rsidRPr="00F21994">
        <w:t>probleemid</w:t>
      </w:r>
      <w:proofErr w:type="spellEnd"/>
      <w:r w:rsidRPr="00F21994">
        <w:t xml:space="preserve"> [Breeding density of the common cuckoo (</w:t>
      </w:r>
      <w:proofErr w:type="spellStart"/>
      <w:r w:rsidRPr="00F21994">
        <w:t>Cuculus</w:t>
      </w:r>
      <w:proofErr w:type="spellEnd"/>
      <w:r w:rsidRPr="00F21994">
        <w:t xml:space="preserve"> </w:t>
      </w:r>
      <w:proofErr w:type="spellStart"/>
      <w:r w:rsidRPr="00F21994">
        <w:t>canorus</w:t>
      </w:r>
      <w:proofErr w:type="spellEnd"/>
      <w:r w:rsidRPr="00F21994">
        <w:t xml:space="preserve">) in forest landscapes: opportunities and problems of the territory mapping method]. </w:t>
      </w:r>
      <w:proofErr w:type="spellStart"/>
      <w:r w:rsidRPr="00F21994">
        <w:t>Hirundo</w:t>
      </w:r>
      <w:proofErr w:type="spellEnd"/>
      <w:r w:rsidRPr="00F21994">
        <w:t xml:space="preserve"> 35 (2), 1–18.</w:t>
      </w:r>
    </w:p>
    <w:p w:rsidR="00981A32" w:rsidRDefault="00981A32" w:rsidP="00981A32">
      <w:r>
        <w:lastRenderedPageBreak/>
        <w:t>Lõhmus, A. 2023a</w:t>
      </w:r>
      <w:r w:rsidRPr="00F21994">
        <w:t xml:space="preserve">. </w:t>
      </w:r>
      <w:proofErr w:type="spellStart"/>
      <w:r w:rsidRPr="00F21994">
        <w:t>Porri</w:t>
      </w:r>
      <w:proofErr w:type="spellEnd"/>
      <w:r w:rsidRPr="00F21994">
        <w:t xml:space="preserve"> (</w:t>
      </w:r>
      <w:proofErr w:type="spellStart"/>
      <w:r w:rsidRPr="00981A32">
        <w:rPr>
          <w:i/>
        </w:rPr>
        <w:t>Certhia</w:t>
      </w:r>
      <w:proofErr w:type="spellEnd"/>
      <w:r w:rsidRPr="00981A32">
        <w:rPr>
          <w:i/>
        </w:rPr>
        <w:t xml:space="preserve"> </w:t>
      </w:r>
      <w:proofErr w:type="spellStart"/>
      <w:r w:rsidRPr="00981A32">
        <w:rPr>
          <w:i/>
        </w:rPr>
        <w:t>familiaris</w:t>
      </w:r>
      <w:proofErr w:type="spellEnd"/>
      <w:r w:rsidRPr="00F21994">
        <w:t xml:space="preserve">) </w:t>
      </w:r>
      <w:proofErr w:type="spellStart"/>
      <w:r w:rsidRPr="00F21994">
        <w:t>pesitsemisest</w:t>
      </w:r>
      <w:proofErr w:type="spellEnd"/>
      <w:r w:rsidRPr="00F21994">
        <w:t xml:space="preserve"> </w:t>
      </w:r>
      <w:proofErr w:type="spellStart"/>
      <w:r w:rsidRPr="00F21994">
        <w:t>Eesti</w:t>
      </w:r>
      <w:proofErr w:type="spellEnd"/>
      <w:r w:rsidRPr="00F21994">
        <w:t xml:space="preserve"> </w:t>
      </w:r>
      <w:proofErr w:type="spellStart"/>
      <w:r w:rsidRPr="00F21994">
        <w:t>metsamaastikel</w:t>
      </w:r>
      <w:proofErr w:type="spellEnd"/>
      <w:r w:rsidRPr="00F21994">
        <w:t xml:space="preserve"> [Breeding of the Eurasian </w:t>
      </w:r>
      <w:proofErr w:type="spellStart"/>
      <w:r w:rsidRPr="00F21994">
        <w:t>Treecreeper</w:t>
      </w:r>
      <w:proofErr w:type="spellEnd"/>
      <w:r w:rsidRPr="00F21994">
        <w:t xml:space="preserve"> (</w:t>
      </w:r>
      <w:proofErr w:type="spellStart"/>
      <w:r w:rsidRPr="00981A32">
        <w:rPr>
          <w:i/>
        </w:rPr>
        <w:t>Certhia</w:t>
      </w:r>
      <w:proofErr w:type="spellEnd"/>
      <w:r w:rsidRPr="00981A32">
        <w:rPr>
          <w:i/>
        </w:rPr>
        <w:t xml:space="preserve"> </w:t>
      </w:r>
      <w:proofErr w:type="spellStart"/>
      <w:r w:rsidRPr="00981A32">
        <w:rPr>
          <w:i/>
        </w:rPr>
        <w:t>familiaris</w:t>
      </w:r>
      <w:proofErr w:type="spellEnd"/>
      <w:r w:rsidRPr="00F21994">
        <w:t xml:space="preserve">) in Estonian forest landscapes]. </w:t>
      </w:r>
      <w:proofErr w:type="spellStart"/>
      <w:r w:rsidRPr="00F21994">
        <w:t>Hirundo</w:t>
      </w:r>
      <w:proofErr w:type="spellEnd"/>
      <w:r w:rsidRPr="00F21994">
        <w:t xml:space="preserve"> 35 (2): 1–16.</w:t>
      </w:r>
    </w:p>
    <w:p w:rsidR="00981A32" w:rsidRDefault="00981A32" w:rsidP="00981A32">
      <w:r w:rsidRPr="00F21994">
        <w:t>Lõhmus, A. 2023</w:t>
      </w:r>
      <w:r>
        <w:t>b</w:t>
      </w:r>
      <w:r w:rsidRPr="00F21994">
        <w:t xml:space="preserve">. The </w:t>
      </w:r>
      <w:proofErr w:type="spellStart"/>
      <w:r w:rsidRPr="00F21994">
        <w:t>Mistle</w:t>
      </w:r>
      <w:proofErr w:type="spellEnd"/>
      <w:r w:rsidRPr="00F21994">
        <w:t xml:space="preserve"> Thrush </w:t>
      </w:r>
      <w:proofErr w:type="spellStart"/>
      <w:r w:rsidRPr="00981A32">
        <w:rPr>
          <w:i/>
        </w:rPr>
        <w:t>Turdus</w:t>
      </w:r>
      <w:proofErr w:type="spellEnd"/>
      <w:r w:rsidRPr="00981A32">
        <w:rPr>
          <w:i/>
        </w:rPr>
        <w:t xml:space="preserve"> </w:t>
      </w:r>
      <w:proofErr w:type="spellStart"/>
      <w:r w:rsidRPr="00981A32">
        <w:rPr>
          <w:i/>
        </w:rPr>
        <w:t>viscivorus</w:t>
      </w:r>
      <w:proofErr w:type="spellEnd"/>
      <w:r w:rsidRPr="00F21994">
        <w:t xml:space="preserve"> in a production forestry context: a territory m</w:t>
      </w:r>
      <w:r>
        <w:t xml:space="preserve">apping study. </w:t>
      </w:r>
      <w:proofErr w:type="spellStart"/>
      <w:r>
        <w:t>Ornis</w:t>
      </w:r>
      <w:proofErr w:type="spellEnd"/>
      <w:r>
        <w:t xml:space="preserve"> </w:t>
      </w:r>
      <w:proofErr w:type="spellStart"/>
      <w:r>
        <w:t>Fennica</w:t>
      </w:r>
      <w:proofErr w:type="spellEnd"/>
      <w:r>
        <w:t xml:space="preserve"> 100</w:t>
      </w:r>
      <w:r w:rsidRPr="00F21994">
        <w:t>(1): 51–60. https://doi.org/10.51812/of.120604</w:t>
      </w:r>
    </w:p>
    <w:p w:rsidR="00981A32" w:rsidRPr="00F21994" w:rsidRDefault="00981A32" w:rsidP="00981A32">
      <w:proofErr w:type="spellStart"/>
      <w:r w:rsidRPr="00F21994">
        <w:t>Yatsiuk</w:t>
      </w:r>
      <w:proofErr w:type="spellEnd"/>
      <w:r w:rsidRPr="00F21994">
        <w:t>, Y., Lõhmus, A. 2024. Habitat niche of the Crested Tit (</w:t>
      </w:r>
      <w:proofErr w:type="spellStart"/>
      <w:r w:rsidRPr="00981A32">
        <w:rPr>
          <w:i/>
        </w:rPr>
        <w:t>Lophophanes</w:t>
      </w:r>
      <w:proofErr w:type="spellEnd"/>
      <w:r w:rsidRPr="00981A32">
        <w:rPr>
          <w:i/>
        </w:rPr>
        <w:t xml:space="preserve"> </w:t>
      </w:r>
      <w:proofErr w:type="spellStart"/>
      <w:r w:rsidRPr="00981A32">
        <w:rPr>
          <w:i/>
        </w:rPr>
        <w:t>cristatus</w:t>
      </w:r>
      <w:proofErr w:type="spellEnd"/>
      <w:r w:rsidRPr="00F21994">
        <w:t>) in the central and peripheral parts of its range. Journal of Ornithology 165: 591–602. https://doi.org/10.1007/s10336-024-02152-5</w:t>
      </w:r>
    </w:p>
    <w:p w:rsidR="007F3FEF" w:rsidRPr="007F3FEF" w:rsidRDefault="007F3FEF" w:rsidP="000D3FF0"/>
    <w:sectPr w:rsidR="007F3FEF" w:rsidRPr="007F3FEF">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7F6" w:rsidRDefault="002357F6" w:rsidP="003F3610">
      <w:pPr>
        <w:spacing w:after="0" w:line="240" w:lineRule="auto"/>
      </w:pPr>
      <w:r>
        <w:separator/>
      </w:r>
    </w:p>
  </w:endnote>
  <w:endnote w:type="continuationSeparator" w:id="0">
    <w:p w:rsidR="002357F6" w:rsidRDefault="002357F6" w:rsidP="003F3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3800051"/>
      <w:docPartObj>
        <w:docPartGallery w:val="Page Numbers (Bottom of Page)"/>
        <w:docPartUnique/>
      </w:docPartObj>
    </w:sdtPr>
    <w:sdtEndPr>
      <w:rPr>
        <w:noProof/>
      </w:rPr>
    </w:sdtEndPr>
    <w:sdtContent>
      <w:p w:rsidR="009A4D97" w:rsidRDefault="009A4D97">
        <w:pPr>
          <w:pStyle w:val="Footer"/>
          <w:jc w:val="center"/>
        </w:pPr>
        <w:r>
          <w:fldChar w:fldCharType="begin"/>
        </w:r>
        <w:r>
          <w:instrText xml:space="preserve"> PAGE   \* MERGEFORMAT </w:instrText>
        </w:r>
        <w:r>
          <w:fldChar w:fldCharType="separate"/>
        </w:r>
        <w:r w:rsidR="001B7614">
          <w:rPr>
            <w:noProof/>
          </w:rPr>
          <w:t>5</w:t>
        </w:r>
        <w:r>
          <w:rPr>
            <w:noProof/>
          </w:rPr>
          <w:fldChar w:fldCharType="end"/>
        </w:r>
      </w:p>
    </w:sdtContent>
  </w:sdt>
  <w:p w:rsidR="009A4D97" w:rsidRDefault="009A4D9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7F6" w:rsidRDefault="002357F6" w:rsidP="003F3610">
      <w:pPr>
        <w:spacing w:after="0" w:line="240" w:lineRule="auto"/>
      </w:pPr>
      <w:r>
        <w:separator/>
      </w:r>
    </w:p>
  </w:footnote>
  <w:footnote w:type="continuationSeparator" w:id="0">
    <w:p w:rsidR="002357F6" w:rsidRDefault="002357F6" w:rsidP="003F36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FF0"/>
    <w:rsid w:val="00013940"/>
    <w:rsid w:val="00071ACB"/>
    <w:rsid w:val="00086E73"/>
    <w:rsid w:val="000D3FF0"/>
    <w:rsid w:val="0010192B"/>
    <w:rsid w:val="00147669"/>
    <w:rsid w:val="001618EE"/>
    <w:rsid w:val="001B7614"/>
    <w:rsid w:val="001D6342"/>
    <w:rsid w:val="00213198"/>
    <w:rsid w:val="002357F6"/>
    <w:rsid w:val="002552EB"/>
    <w:rsid w:val="00261E82"/>
    <w:rsid w:val="00275B25"/>
    <w:rsid w:val="002B4DFC"/>
    <w:rsid w:val="003C4146"/>
    <w:rsid w:val="003F3610"/>
    <w:rsid w:val="0046750E"/>
    <w:rsid w:val="004A6E91"/>
    <w:rsid w:val="004A7EDD"/>
    <w:rsid w:val="00507174"/>
    <w:rsid w:val="00523760"/>
    <w:rsid w:val="005702F7"/>
    <w:rsid w:val="0059178B"/>
    <w:rsid w:val="005B64CA"/>
    <w:rsid w:val="005F6417"/>
    <w:rsid w:val="006127E9"/>
    <w:rsid w:val="0065796D"/>
    <w:rsid w:val="006D2F78"/>
    <w:rsid w:val="007F3FEF"/>
    <w:rsid w:val="00842F8D"/>
    <w:rsid w:val="00865BCE"/>
    <w:rsid w:val="008A635E"/>
    <w:rsid w:val="008B591C"/>
    <w:rsid w:val="00981A32"/>
    <w:rsid w:val="009A4D97"/>
    <w:rsid w:val="009C5B7D"/>
    <w:rsid w:val="00A279F6"/>
    <w:rsid w:val="00A50965"/>
    <w:rsid w:val="00A83A50"/>
    <w:rsid w:val="00AE1805"/>
    <w:rsid w:val="00B40985"/>
    <w:rsid w:val="00C105B7"/>
    <w:rsid w:val="00C30E7B"/>
    <w:rsid w:val="00C37626"/>
    <w:rsid w:val="00C76876"/>
    <w:rsid w:val="00C9713E"/>
    <w:rsid w:val="00CC3BE1"/>
    <w:rsid w:val="00CC3C1B"/>
    <w:rsid w:val="00CD62A5"/>
    <w:rsid w:val="00CE2658"/>
    <w:rsid w:val="00D863DA"/>
    <w:rsid w:val="00E93A5B"/>
    <w:rsid w:val="00ED31CE"/>
    <w:rsid w:val="00F1158D"/>
    <w:rsid w:val="00F5579C"/>
    <w:rsid w:val="00F6114A"/>
    <w:rsid w:val="00F91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E4AB2"/>
  <w15:chartTrackingRefBased/>
  <w15:docId w15:val="{3CF32531-A05B-435C-909A-A0F9DED9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6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610"/>
  </w:style>
  <w:style w:type="paragraph" w:styleId="Footer">
    <w:name w:val="footer"/>
    <w:basedOn w:val="Normal"/>
    <w:link w:val="FooterChar"/>
    <w:uiPriority w:val="99"/>
    <w:unhideWhenUsed/>
    <w:rsid w:val="003F36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64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3140</TotalTime>
  <Pages>5</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Asko Lohmus</cp:lastModifiedBy>
  <cp:revision>38</cp:revision>
  <dcterms:created xsi:type="dcterms:W3CDTF">2023-11-11T11:56:00Z</dcterms:created>
  <dcterms:modified xsi:type="dcterms:W3CDTF">2024-07-16T14:18:00Z</dcterms:modified>
</cp:coreProperties>
</file>