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200DDD" w14:textId="77777777" w:rsidR="00B22315" w:rsidRDefault="00B22315" w:rsidP="00B22315">
      <w:pPr>
        <w:rPr>
          <w:b/>
          <w:bCs/>
        </w:rPr>
      </w:pPr>
      <w:r>
        <w:t>The following data files are available associated with Bisarad et al, “</w:t>
      </w:r>
      <w:r w:rsidRPr="00CE417C">
        <w:rPr>
          <w:b/>
          <w:bCs/>
        </w:rPr>
        <w:t>Predicting Monoclonal Antibody Binding Sequences from a Sparse Sampling of All Possible Sequences</w:t>
      </w:r>
      <w:r>
        <w:rPr>
          <w:b/>
          <w:bCs/>
        </w:rPr>
        <w:t>”:</w:t>
      </w:r>
    </w:p>
    <w:p w14:paraId="3A6D39F6" w14:textId="77777777" w:rsidR="00B22315" w:rsidRDefault="00B22315" w:rsidP="00B22315">
      <w:pPr>
        <w:rPr>
          <w:b/>
          <w:bCs/>
        </w:rPr>
      </w:pPr>
    </w:p>
    <w:tbl>
      <w:tblPr>
        <w:tblStyle w:val="TableGrid"/>
        <w:tblW w:w="0" w:type="auto"/>
        <w:tblLook w:val="04A0" w:firstRow="1" w:lastRow="0" w:firstColumn="1" w:lastColumn="0" w:noHBand="0" w:noVBand="1"/>
      </w:tblPr>
      <w:tblGrid>
        <w:gridCol w:w="3055"/>
        <w:gridCol w:w="6295"/>
      </w:tblGrid>
      <w:tr w:rsidR="00B22315" w14:paraId="412E8DAD" w14:textId="77777777" w:rsidTr="00B22315">
        <w:tc>
          <w:tcPr>
            <w:tcW w:w="3055" w:type="dxa"/>
          </w:tcPr>
          <w:p w14:paraId="560B7252" w14:textId="34BE6B0C" w:rsidR="00B22315" w:rsidRDefault="00B22315" w:rsidP="00B22315">
            <w:pPr>
              <w:rPr>
                <w:b/>
                <w:bCs/>
              </w:rPr>
            </w:pPr>
            <w:r>
              <w:rPr>
                <w:b/>
                <w:bCs/>
              </w:rPr>
              <w:t>File</w:t>
            </w:r>
          </w:p>
        </w:tc>
        <w:tc>
          <w:tcPr>
            <w:tcW w:w="6295" w:type="dxa"/>
          </w:tcPr>
          <w:p w14:paraId="102D9EB7" w14:textId="455CBE68" w:rsidR="00B22315" w:rsidRDefault="00B22315" w:rsidP="00B22315">
            <w:pPr>
              <w:rPr>
                <w:b/>
                <w:bCs/>
              </w:rPr>
            </w:pPr>
            <w:r>
              <w:rPr>
                <w:b/>
                <w:bCs/>
              </w:rPr>
              <w:t>Description</w:t>
            </w:r>
          </w:p>
        </w:tc>
      </w:tr>
      <w:tr w:rsidR="00B22315" w:rsidRPr="00B22315" w14:paraId="2D608646" w14:textId="77777777" w:rsidTr="00B22315">
        <w:tc>
          <w:tcPr>
            <w:tcW w:w="3055" w:type="dxa"/>
          </w:tcPr>
          <w:p w14:paraId="31FDEC5B" w14:textId="746C0BA8" w:rsidR="00B22315" w:rsidRPr="00B22315" w:rsidRDefault="00B22315" w:rsidP="00B22315">
            <w:r w:rsidRPr="00B22315">
              <w:t>Averaged_Array_Data.xlsx</w:t>
            </w:r>
          </w:p>
        </w:tc>
        <w:tc>
          <w:tcPr>
            <w:tcW w:w="6295" w:type="dxa"/>
          </w:tcPr>
          <w:p w14:paraId="756135F9" w14:textId="523AE031" w:rsidR="00B22315" w:rsidRPr="00B22315" w:rsidRDefault="00B22315" w:rsidP="00B22315">
            <w:r>
              <w:t>This is the average array binding data from 4 repetitions.  It contains the peptide sequences, a binary flag that can be used to remove the cognate sequences of the monoclonal antibodies used in binding from the dataset and 32 columns of binding data (4 concentrations, 8 mAbs).  The first row contains the mAb names and the second row contains the mAb concentrations.  All subsequent rows show the binding of the mAb at that concentration to each sequence, measured in fluorescent counts.  Note that the photon detector saturates at 2^16 counts.</w:t>
            </w:r>
          </w:p>
        </w:tc>
      </w:tr>
      <w:tr w:rsidR="00B22315" w:rsidRPr="00B22315" w14:paraId="1E1DE720" w14:textId="77777777" w:rsidTr="00B22315">
        <w:tc>
          <w:tcPr>
            <w:tcW w:w="3055" w:type="dxa"/>
          </w:tcPr>
          <w:p w14:paraId="6B0BE5CC" w14:textId="7D3C12EB" w:rsidR="00B22315" w:rsidRPr="00B22315" w:rsidRDefault="00B22315" w:rsidP="00B22315">
            <w:r w:rsidRPr="00B22315">
              <w:t>Dataset_rep1.xlsx</w:t>
            </w:r>
          </w:p>
        </w:tc>
        <w:tc>
          <w:tcPr>
            <w:tcW w:w="6295" w:type="dxa"/>
          </w:tcPr>
          <w:p w14:paraId="427BB00E" w14:textId="65C7F7BD" w:rsidR="00B22315" w:rsidRPr="00B22315" w:rsidRDefault="00B22315" w:rsidP="00B22315">
            <w:r>
              <w:t>Same format as above, but the unaveraged data for repetition 1</w:t>
            </w:r>
          </w:p>
        </w:tc>
      </w:tr>
      <w:tr w:rsidR="00B22315" w:rsidRPr="00B22315" w14:paraId="24145DA9" w14:textId="77777777" w:rsidTr="00B22315">
        <w:tc>
          <w:tcPr>
            <w:tcW w:w="3055" w:type="dxa"/>
          </w:tcPr>
          <w:p w14:paraId="7C386886" w14:textId="2C29F063" w:rsidR="00B22315" w:rsidRPr="00B22315" w:rsidRDefault="00B22315" w:rsidP="00B22315">
            <w:r w:rsidRPr="00B22315">
              <w:t>Dataset_rep</w:t>
            </w:r>
            <w:r w:rsidRPr="00B22315">
              <w:t>2</w:t>
            </w:r>
            <w:r w:rsidRPr="00B22315">
              <w:t>.xlsx</w:t>
            </w:r>
          </w:p>
        </w:tc>
        <w:tc>
          <w:tcPr>
            <w:tcW w:w="6295" w:type="dxa"/>
          </w:tcPr>
          <w:p w14:paraId="1B0EDBD6" w14:textId="0E03132B" w:rsidR="00B22315" w:rsidRPr="00B22315" w:rsidRDefault="00B22315" w:rsidP="00B22315">
            <w:r>
              <w:t xml:space="preserve">Same format as above, but the unaveraged data for repetition </w:t>
            </w:r>
            <w:r>
              <w:t>2</w:t>
            </w:r>
          </w:p>
        </w:tc>
      </w:tr>
      <w:tr w:rsidR="00B22315" w:rsidRPr="00B22315" w14:paraId="16161A3F" w14:textId="77777777" w:rsidTr="00B22315">
        <w:tc>
          <w:tcPr>
            <w:tcW w:w="3055" w:type="dxa"/>
          </w:tcPr>
          <w:p w14:paraId="3C59E9B9" w14:textId="3E8C0A79" w:rsidR="00B22315" w:rsidRPr="00B22315" w:rsidRDefault="00B22315" w:rsidP="00B22315">
            <w:r w:rsidRPr="00B22315">
              <w:t>Dataset_rep</w:t>
            </w:r>
            <w:r w:rsidRPr="00B22315">
              <w:t>3</w:t>
            </w:r>
            <w:r w:rsidRPr="00B22315">
              <w:t>.xlsx</w:t>
            </w:r>
          </w:p>
        </w:tc>
        <w:tc>
          <w:tcPr>
            <w:tcW w:w="6295" w:type="dxa"/>
          </w:tcPr>
          <w:p w14:paraId="60682311" w14:textId="3AAEEFDC" w:rsidR="00B22315" w:rsidRPr="00B22315" w:rsidRDefault="00B22315" w:rsidP="00B22315">
            <w:r>
              <w:t xml:space="preserve">Same format as above, but the unaveraged data for repetition </w:t>
            </w:r>
            <w:r>
              <w:t>3</w:t>
            </w:r>
          </w:p>
        </w:tc>
      </w:tr>
      <w:tr w:rsidR="00B22315" w:rsidRPr="00B22315" w14:paraId="2B8B552D" w14:textId="77777777" w:rsidTr="00B22315">
        <w:tc>
          <w:tcPr>
            <w:tcW w:w="3055" w:type="dxa"/>
          </w:tcPr>
          <w:p w14:paraId="68F998E8" w14:textId="01F66474" w:rsidR="00B22315" w:rsidRPr="00B22315" w:rsidRDefault="00B22315" w:rsidP="00B22315">
            <w:r w:rsidRPr="00B22315">
              <w:t>Dataset_rep</w:t>
            </w:r>
            <w:r w:rsidRPr="00B22315">
              <w:t>4</w:t>
            </w:r>
            <w:r w:rsidRPr="00B22315">
              <w:t>.xlsx</w:t>
            </w:r>
          </w:p>
        </w:tc>
        <w:tc>
          <w:tcPr>
            <w:tcW w:w="6295" w:type="dxa"/>
          </w:tcPr>
          <w:p w14:paraId="4A6BFB0F" w14:textId="50237B39" w:rsidR="00B22315" w:rsidRPr="00B22315" w:rsidRDefault="00B22315" w:rsidP="00B22315">
            <w:r>
              <w:t xml:space="preserve">Same format as above, but the unaveraged data for repetition </w:t>
            </w:r>
            <w:r>
              <w:t>4</w:t>
            </w:r>
          </w:p>
        </w:tc>
      </w:tr>
      <w:tr w:rsidR="00B22315" w:rsidRPr="00B22315" w14:paraId="44A357EC" w14:textId="77777777" w:rsidTr="00B22315">
        <w:tc>
          <w:tcPr>
            <w:tcW w:w="3055" w:type="dxa"/>
          </w:tcPr>
          <w:p w14:paraId="1B4F7A50" w14:textId="11CC6855" w:rsidR="00B22315" w:rsidRPr="00B22315" w:rsidRDefault="00B22315" w:rsidP="00B22315">
            <w:r w:rsidRPr="00B22315">
              <w:t>Figure2_data.xlsx</w:t>
            </w:r>
          </w:p>
        </w:tc>
        <w:tc>
          <w:tcPr>
            <w:tcW w:w="6295" w:type="dxa"/>
          </w:tcPr>
          <w:p w14:paraId="5314162B" w14:textId="4B932DB5" w:rsidR="00B22315" w:rsidRPr="00B22315" w:rsidRDefault="00B22315" w:rsidP="00B22315">
            <w:r>
              <w:t>The</w:t>
            </w:r>
            <w:r w:rsidR="005B5EBB">
              <w:t xml:space="preserve"> measured and predicted</w:t>
            </w:r>
            <w:r>
              <w:t xml:space="preserve"> data used to make the matrix of Figure 2</w:t>
            </w:r>
          </w:p>
        </w:tc>
      </w:tr>
      <w:tr w:rsidR="00B22315" w:rsidRPr="00B22315" w14:paraId="4F8C520A" w14:textId="77777777" w:rsidTr="00B22315">
        <w:tc>
          <w:tcPr>
            <w:tcW w:w="3055" w:type="dxa"/>
          </w:tcPr>
          <w:p w14:paraId="4970CC94" w14:textId="63D9A0AF" w:rsidR="00B22315" w:rsidRPr="00B22315" w:rsidRDefault="00B22315" w:rsidP="00B22315">
            <w:r w:rsidRPr="00B22315">
              <w:t>Figure3_data.xlsx</w:t>
            </w:r>
          </w:p>
        </w:tc>
        <w:tc>
          <w:tcPr>
            <w:tcW w:w="6295" w:type="dxa"/>
          </w:tcPr>
          <w:p w14:paraId="07652D6D" w14:textId="7E06B6D9" w:rsidR="00B22315" w:rsidRPr="00B22315" w:rsidRDefault="00B22315" w:rsidP="00B22315">
            <w:r>
              <w:t xml:space="preserve">The sequence and </w:t>
            </w:r>
            <w:r w:rsidR="005B5EBB">
              <w:t>predicted binding as a function of sequence to the proteins in Figure 3</w:t>
            </w:r>
          </w:p>
        </w:tc>
      </w:tr>
    </w:tbl>
    <w:p w14:paraId="29AC9C56" w14:textId="7EC082F7" w:rsidR="00B22315" w:rsidRPr="00CE417C" w:rsidRDefault="00B22315" w:rsidP="00B22315">
      <w:pPr>
        <w:rPr>
          <w:b/>
          <w:bCs/>
        </w:rPr>
      </w:pPr>
      <w:r w:rsidRPr="00CE417C">
        <w:rPr>
          <w:b/>
          <w:bCs/>
        </w:rPr>
        <w:t xml:space="preserve"> </w:t>
      </w:r>
    </w:p>
    <w:p w14:paraId="24BA8B37" w14:textId="606D32AB" w:rsidR="00BA02CC" w:rsidRDefault="005B5EBB">
      <w:r>
        <w:t>In addition to the data, there is also a Matlab script, “mAb_sequence_binding_relationship_updated.m”  which will perform the neural network analysis for any mAb in the dataset and create a model.  It uses that model to predict the binding of the known mAb epitope as well as 1 million randomly determined sequences and then provides the rank of the mAb in that sequence set.  It will run on any of the five datasets provided.  Matlab 2022a was used to create this.</w:t>
      </w:r>
    </w:p>
    <w:sectPr w:rsidR="00BA02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352"/>
    <w:rsid w:val="002F3299"/>
    <w:rsid w:val="005B5EBB"/>
    <w:rsid w:val="007B5352"/>
    <w:rsid w:val="00B22315"/>
    <w:rsid w:val="00BA02CC"/>
    <w:rsid w:val="00E35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C976A"/>
  <w15:chartTrackingRefBased/>
  <w15:docId w15:val="{01C36BA0-A1FE-43B7-86E0-C0B849C31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315"/>
    <w:pPr>
      <w:spacing w:after="0" w:line="240" w:lineRule="auto"/>
    </w:pPr>
    <w:rPr>
      <w:sz w:val="24"/>
      <w:szCs w:val="24"/>
    </w:rPr>
  </w:style>
  <w:style w:type="paragraph" w:styleId="Heading1">
    <w:name w:val="heading 1"/>
    <w:basedOn w:val="Normal"/>
    <w:next w:val="Normal"/>
    <w:link w:val="Heading1Char"/>
    <w:uiPriority w:val="9"/>
    <w:qFormat/>
    <w:rsid w:val="007B5352"/>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B5352"/>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B5352"/>
    <w:pPr>
      <w:keepNext/>
      <w:keepLines/>
      <w:spacing w:before="160" w:after="80" w:line="259"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B5352"/>
    <w:pPr>
      <w:keepNext/>
      <w:keepLines/>
      <w:spacing w:before="80" w:after="40" w:line="259" w:lineRule="auto"/>
      <w:outlineLvl w:val="3"/>
    </w:pPr>
    <w:rPr>
      <w:rFonts w:eastAsiaTheme="majorEastAsia"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7B5352"/>
    <w:pPr>
      <w:keepNext/>
      <w:keepLines/>
      <w:spacing w:before="80" w:after="40" w:line="259" w:lineRule="auto"/>
      <w:outlineLvl w:val="4"/>
    </w:pPr>
    <w:rPr>
      <w:rFonts w:eastAsiaTheme="majorEastAsia"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7B5352"/>
    <w:pPr>
      <w:keepNext/>
      <w:keepLines/>
      <w:spacing w:before="40" w:line="259" w:lineRule="auto"/>
      <w:outlineLvl w:val="5"/>
    </w:pPr>
    <w:rPr>
      <w:rFonts w:eastAsiaTheme="majorEastAsia"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7B5352"/>
    <w:pPr>
      <w:keepNext/>
      <w:keepLines/>
      <w:spacing w:before="40" w:line="259" w:lineRule="auto"/>
      <w:outlineLvl w:val="6"/>
    </w:pPr>
    <w:rPr>
      <w:rFonts w:eastAsiaTheme="majorEastAsia"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7B5352"/>
    <w:pPr>
      <w:keepNext/>
      <w:keepLines/>
      <w:spacing w:line="259" w:lineRule="auto"/>
      <w:outlineLvl w:val="7"/>
    </w:pPr>
    <w:rPr>
      <w:rFonts w:eastAsiaTheme="majorEastAsia"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7B5352"/>
    <w:pPr>
      <w:keepNext/>
      <w:keepLines/>
      <w:spacing w:line="259" w:lineRule="auto"/>
      <w:outlineLvl w:val="8"/>
    </w:pPr>
    <w:rPr>
      <w:rFonts w:eastAsiaTheme="majorEastAsia" w:cstheme="majorBidi"/>
      <w:color w:val="272727" w:themeColor="text1" w:themeTint="D8"/>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535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B53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B53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B53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B53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B53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B53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B53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B5352"/>
    <w:rPr>
      <w:rFonts w:eastAsiaTheme="majorEastAsia" w:cstheme="majorBidi"/>
      <w:color w:val="272727" w:themeColor="text1" w:themeTint="D8"/>
    </w:rPr>
  </w:style>
  <w:style w:type="paragraph" w:styleId="Title">
    <w:name w:val="Title"/>
    <w:basedOn w:val="Normal"/>
    <w:next w:val="Normal"/>
    <w:link w:val="TitleChar"/>
    <w:uiPriority w:val="10"/>
    <w:qFormat/>
    <w:rsid w:val="007B535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53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5352"/>
    <w:pPr>
      <w:numPr>
        <w:ilvl w:val="1"/>
      </w:numPr>
      <w:spacing w:after="160" w:line="259"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53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B5352"/>
    <w:pPr>
      <w:spacing w:before="160" w:after="160" w:line="259" w:lineRule="auto"/>
      <w:jc w:val="center"/>
    </w:pPr>
    <w:rPr>
      <w:i/>
      <w:iCs/>
      <w:color w:val="404040" w:themeColor="text1" w:themeTint="BF"/>
      <w:sz w:val="22"/>
      <w:szCs w:val="22"/>
    </w:rPr>
  </w:style>
  <w:style w:type="character" w:customStyle="1" w:styleId="QuoteChar">
    <w:name w:val="Quote Char"/>
    <w:basedOn w:val="DefaultParagraphFont"/>
    <w:link w:val="Quote"/>
    <w:uiPriority w:val="29"/>
    <w:rsid w:val="007B5352"/>
    <w:rPr>
      <w:i/>
      <w:iCs/>
      <w:color w:val="404040" w:themeColor="text1" w:themeTint="BF"/>
    </w:rPr>
  </w:style>
  <w:style w:type="paragraph" w:styleId="ListParagraph">
    <w:name w:val="List Paragraph"/>
    <w:basedOn w:val="Normal"/>
    <w:uiPriority w:val="34"/>
    <w:qFormat/>
    <w:rsid w:val="007B5352"/>
    <w:pPr>
      <w:spacing w:after="160" w:line="259" w:lineRule="auto"/>
      <w:ind w:left="720"/>
      <w:contextualSpacing/>
    </w:pPr>
    <w:rPr>
      <w:sz w:val="22"/>
      <w:szCs w:val="22"/>
    </w:rPr>
  </w:style>
  <w:style w:type="character" w:styleId="IntenseEmphasis">
    <w:name w:val="Intense Emphasis"/>
    <w:basedOn w:val="DefaultParagraphFont"/>
    <w:uiPriority w:val="21"/>
    <w:qFormat/>
    <w:rsid w:val="007B5352"/>
    <w:rPr>
      <w:i/>
      <w:iCs/>
      <w:color w:val="0F4761" w:themeColor="accent1" w:themeShade="BF"/>
    </w:rPr>
  </w:style>
  <w:style w:type="paragraph" w:styleId="IntenseQuote">
    <w:name w:val="Intense Quote"/>
    <w:basedOn w:val="Normal"/>
    <w:next w:val="Normal"/>
    <w:link w:val="IntenseQuoteChar"/>
    <w:uiPriority w:val="30"/>
    <w:qFormat/>
    <w:rsid w:val="007B5352"/>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sz w:val="22"/>
      <w:szCs w:val="22"/>
    </w:rPr>
  </w:style>
  <w:style w:type="character" w:customStyle="1" w:styleId="IntenseQuoteChar">
    <w:name w:val="Intense Quote Char"/>
    <w:basedOn w:val="DefaultParagraphFont"/>
    <w:link w:val="IntenseQuote"/>
    <w:uiPriority w:val="30"/>
    <w:rsid w:val="007B5352"/>
    <w:rPr>
      <w:i/>
      <w:iCs/>
      <w:color w:val="0F4761" w:themeColor="accent1" w:themeShade="BF"/>
    </w:rPr>
  </w:style>
  <w:style w:type="character" w:styleId="IntenseReference">
    <w:name w:val="Intense Reference"/>
    <w:basedOn w:val="DefaultParagraphFont"/>
    <w:uiPriority w:val="32"/>
    <w:qFormat/>
    <w:rsid w:val="007B5352"/>
    <w:rPr>
      <w:b/>
      <w:bCs/>
      <w:smallCaps/>
      <w:color w:val="0F4761" w:themeColor="accent1" w:themeShade="BF"/>
      <w:spacing w:val="5"/>
    </w:rPr>
  </w:style>
  <w:style w:type="table" w:styleId="TableGrid">
    <w:name w:val="Table Grid"/>
    <w:basedOn w:val="TableNormal"/>
    <w:uiPriority w:val="39"/>
    <w:rsid w:val="00B223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261</Words>
  <Characters>1493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 Woodbury</dc:creator>
  <cp:keywords/>
  <dc:description/>
  <cp:lastModifiedBy>Neal Woodbury</cp:lastModifiedBy>
  <cp:revision>2</cp:revision>
  <dcterms:created xsi:type="dcterms:W3CDTF">2024-06-23T19:42:00Z</dcterms:created>
  <dcterms:modified xsi:type="dcterms:W3CDTF">2024-06-23T20:02:00Z</dcterms:modified>
</cp:coreProperties>
</file>