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BDE" w:rsidRPr="00AC248F" w:rsidRDefault="006F4BDE" w:rsidP="00AC248F">
      <w:pPr>
        <w:jc w:val="center"/>
        <w:rPr>
          <w:rFonts w:cs="Times New Roman"/>
          <w:b/>
          <w:sz w:val="32"/>
          <w:szCs w:val="32"/>
        </w:rPr>
      </w:pPr>
      <w:r w:rsidRPr="00AC248F">
        <w:rPr>
          <w:rFonts w:cs="Times New Roman"/>
          <w:b/>
          <w:sz w:val="32"/>
          <w:szCs w:val="32"/>
        </w:rPr>
        <w:t>Towards a green energy economy</w:t>
      </w:r>
      <w:r w:rsidR="001538F0">
        <w:rPr>
          <w:rFonts w:cs="Times New Roman"/>
          <w:b/>
          <w:sz w:val="32"/>
          <w:szCs w:val="32"/>
        </w:rPr>
        <w:t>?</w:t>
      </w:r>
      <w:r w:rsidRPr="00AC248F">
        <w:rPr>
          <w:rFonts w:cs="Times New Roman"/>
          <w:b/>
          <w:sz w:val="32"/>
          <w:szCs w:val="32"/>
        </w:rPr>
        <w:t xml:space="preserve"> Tracking the employment effects of low-carbon technologies in the European Union</w:t>
      </w:r>
    </w:p>
    <w:p w:rsidR="008913CC" w:rsidRPr="00535598" w:rsidRDefault="00CA5261" w:rsidP="00CA5261">
      <w:pPr>
        <w:jc w:val="center"/>
        <w:rPr>
          <w:rFonts w:cs="Times New Roman"/>
          <w:b/>
          <w:sz w:val="32"/>
          <w:szCs w:val="32"/>
          <w:lang w:val="en-US"/>
        </w:rPr>
      </w:pPr>
      <w:r w:rsidRPr="00535598">
        <w:rPr>
          <w:rFonts w:cs="Times New Roman"/>
          <w:b/>
          <w:sz w:val="32"/>
          <w:szCs w:val="32"/>
          <w:lang w:val="en-US"/>
        </w:rPr>
        <w:t xml:space="preserve"> </w:t>
      </w:r>
    </w:p>
    <w:p w:rsidR="009A0028" w:rsidRDefault="008913CC" w:rsidP="004F03CB">
      <w:pPr>
        <w:rPr>
          <w:rFonts w:cs="Times New Roman"/>
          <w:sz w:val="24"/>
          <w:szCs w:val="24"/>
          <w:lang w:val="es-ES"/>
        </w:rPr>
      </w:pPr>
      <w:r w:rsidRPr="009A0028">
        <w:rPr>
          <w:rFonts w:cs="Times New Roman"/>
          <w:sz w:val="24"/>
          <w:szCs w:val="24"/>
          <w:lang w:val="es-ES"/>
        </w:rPr>
        <w:t>Anil Markandya</w:t>
      </w:r>
      <w:r w:rsidR="00FA4776" w:rsidRPr="009A0028">
        <w:rPr>
          <w:rFonts w:cs="Times New Roman"/>
          <w:sz w:val="24"/>
          <w:szCs w:val="24"/>
          <w:vertAlign w:val="superscript"/>
          <w:lang w:val="es-ES"/>
        </w:rPr>
        <w:t>(a)</w:t>
      </w:r>
      <w:r w:rsidR="009A0028" w:rsidRPr="009A0028">
        <w:rPr>
          <w:rFonts w:cs="Times New Roman"/>
          <w:sz w:val="24"/>
          <w:szCs w:val="24"/>
          <w:lang w:val="es-ES"/>
        </w:rPr>
        <w:t xml:space="preserve">, </w:t>
      </w:r>
      <w:r w:rsidR="000360E4" w:rsidRPr="009A0028">
        <w:rPr>
          <w:rFonts w:cs="Times New Roman"/>
          <w:sz w:val="24"/>
          <w:szCs w:val="24"/>
          <w:lang w:val="es-ES"/>
        </w:rPr>
        <w:t>Iñaki Arto</w:t>
      </w:r>
      <w:r w:rsidR="00B851DA" w:rsidRPr="009A0028">
        <w:rPr>
          <w:rFonts w:cs="Times New Roman"/>
          <w:sz w:val="24"/>
          <w:szCs w:val="24"/>
          <w:vertAlign w:val="superscript"/>
          <w:lang w:val="es-ES"/>
        </w:rPr>
        <w:t>(a)</w:t>
      </w:r>
      <w:r w:rsidR="009A0028" w:rsidRPr="009A0028">
        <w:rPr>
          <w:rFonts w:cs="Times New Roman"/>
          <w:sz w:val="24"/>
          <w:szCs w:val="24"/>
          <w:lang w:val="es-ES"/>
        </w:rPr>
        <w:t>, Mikel González-</w:t>
      </w:r>
      <w:proofErr w:type="spellStart"/>
      <w:r w:rsidR="009A0028" w:rsidRPr="009A0028">
        <w:rPr>
          <w:rFonts w:cs="Times New Roman"/>
          <w:sz w:val="24"/>
          <w:szCs w:val="24"/>
          <w:lang w:val="es-ES"/>
        </w:rPr>
        <w:t>Eguino</w:t>
      </w:r>
      <w:proofErr w:type="spellEnd"/>
      <w:r w:rsidR="00B851DA" w:rsidRPr="009A0028">
        <w:rPr>
          <w:rFonts w:cs="Times New Roman"/>
          <w:sz w:val="24"/>
          <w:szCs w:val="24"/>
          <w:vertAlign w:val="superscript"/>
          <w:lang w:val="es-ES"/>
        </w:rPr>
        <w:t>(a)</w:t>
      </w:r>
      <w:r w:rsidR="009A0028">
        <w:rPr>
          <w:rFonts w:cs="Times New Roman"/>
          <w:sz w:val="24"/>
          <w:szCs w:val="24"/>
          <w:lang w:val="es-ES"/>
        </w:rPr>
        <w:t xml:space="preserve"> and</w:t>
      </w:r>
      <w:r w:rsidR="009A0028" w:rsidRPr="009A0028">
        <w:rPr>
          <w:rFonts w:cs="Times New Roman"/>
          <w:sz w:val="24"/>
          <w:szCs w:val="24"/>
          <w:lang w:val="es-ES"/>
        </w:rPr>
        <w:t xml:space="preserve"> </w:t>
      </w:r>
      <w:proofErr w:type="spellStart"/>
      <w:r w:rsidR="009A0028" w:rsidRPr="009A0028">
        <w:rPr>
          <w:rFonts w:cs="Times New Roman"/>
          <w:sz w:val="24"/>
          <w:szCs w:val="24"/>
          <w:lang w:val="es-ES"/>
        </w:rPr>
        <w:t>Maria</w:t>
      </w:r>
      <w:proofErr w:type="spellEnd"/>
      <w:r w:rsidR="009A0028" w:rsidRPr="009A0028">
        <w:rPr>
          <w:rFonts w:cs="Times New Roman"/>
          <w:sz w:val="24"/>
          <w:szCs w:val="24"/>
          <w:lang w:val="es-ES"/>
        </w:rPr>
        <w:t xml:space="preserve"> V. Román</w:t>
      </w:r>
      <w:r w:rsidR="00B851DA" w:rsidRPr="009A0028">
        <w:rPr>
          <w:rFonts w:cs="Times New Roman"/>
          <w:sz w:val="24"/>
          <w:szCs w:val="24"/>
          <w:vertAlign w:val="superscript"/>
          <w:lang w:val="es-ES"/>
        </w:rPr>
        <w:t>(a)</w:t>
      </w:r>
    </w:p>
    <w:p w:rsidR="008913CC" w:rsidRPr="009A0028" w:rsidRDefault="00B851DA" w:rsidP="004F03CB">
      <w:pPr>
        <w:rPr>
          <w:rFonts w:cs="Times New Roman"/>
          <w:sz w:val="24"/>
          <w:szCs w:val="24"/>
          <w:lang w:val="en-US"/>
        </w:rPr>
      </w:pPr>
      <w:r w:rsidRPr="00B851DA">
        <w:rPr>
          <w:rFonts w:cs="Times New Roman"/>
          <w:sz w:val="24"/>
          <w:szCs w:val="24"/>
          <w:vertAlign w:val="superscript"/>
          <w:lang w:val="en-US"/>
        </w:rPr>
        <w:t>(a)</w:t>
      </w:r>
      <w:r w:rsidR="009A0028" w:rsidRPr="009A0028">
        <w:rPr>
          <w:rFonts w:cs="Times New Roman"/>
          <w:sz w:val="24"/>
          <w:szCs w:val="24"/>
          <w:lang w:val="en-US"/>
        </w:rPr>
        <w:t>B</w:t>
      </w:r>
      <w:r w:rsidR="008913CC" w:rsidRPr="009A0028">
        <w:rPr>
          <w:rFonts w:cs="Times New Roman"/>
          <w:sz w:val="24"/>
          <w:szCs w:val="24"/>
          <w:lang w:val="en-US"/>
        </w:rPr>
        <w:t>asque Centre for Climate Change</w:t>
      </w:r>
      <w:r w:rsidR="00FA4776" w:rsidRPr="009A0028">
        <w:rPr>
          <w:rFonts w:cs="Times New Roman"/>
          <w:sz w:val="24"/>
          <w:szCs w:val="24"/>
          <w:lang w:val="en-US"/>
        </w:rPr>
        <w:t xml:space="preserve">, BC3, Alameda </w:t>
      </w:r>
      <w:proofErr w:type="spellStart"/>
      <w:r w:rsidR="00FA4776" w:rsidRPr="009A0028">
        <w:rPr>
          <w:rFonts w:cs="Times New Roman"/>
          <w:sz w:val="24"/>
          <w:szCs w:val="24"/>
          <w:lang w:val="en-US"/>
        </w:rPr>
        <w:t>Urquijo</w:t>
      </w:r>
      <w:proofErr w:type="spellEnd"/>
      <w:r w:rsidR="00FA4776" w:rsidRPr="009A0028">
        <w:rPr>
          <w:rFonts w:cs="Times New Roman"/>
          <w:sz w:val="24"/>
          <w:szCs w:val="24"/>
          <w:lang w:val="en-US"/>
        </w:rPr>
        <w:t xml:space="preserve"> 4, 4a, 48008 Bilbao, Spain</w:t>
      </w:r>
    </w:p>
    <w:p w:rsidR="00FA4776" w:rsidRPr="00B851DA" w:rsidRDefault="009A0028" w:rsidP="004F03CB">
      <w:pPr>
        <w:rPr>
          <w:rFonts w:cs="Times New Roman"/>
          <w:sz w:val="24"/>
          <w:szCs w:val="24"/>
          <w:lang w:val="en-US"/>
        </w:rPr>
      </w:pPr>
      <w:r w:rsidRPr="00B851DA">
        <w:rPr>
          <w:rFonts w:cs="Times New Roman"/>
          <w:b/>
          <w:sz w:val="24"/>
          <w:szCs w:val="24"/>
          <w:lang w:val="en-US"/>
        </w:rPr>
        <w:t>Corresponding author:</w:t>
      </w:r>
      <w:r w:rsidR="00B851DA">
        <w:rPr>
          <w:rFonts w:cs="Times New Roman"/>
          <w:sz w:val="24"/>
          <w:szCs w:val="24"/>
          <w:lang w:val="en-US"/>
        </w:rPr>
        <w:t xml:space="preserve"> a</w:t>
      </w:r>
      <w:r w:rsidR="00FA4776" w:rsidRPr="00B851DA">
        <w:rPr>
          <w:rFonts w:cs="Times New Roman"/>
          <w:sz w:val="24"/>
          <w:szCs w:val="24"/>
          <w:lang w:val="en-US"/>
        </w:rPr>
        <w:t>nil.markandya@bc3research.org</w:t>
      </w:r>
    </w:p>
    <w:p w:rsidR="00F2713B" w:rsidRPr="00B851DA" w:rsidRDefault="00F2713B" w:rsidP="004F03CB">
      <w:pPr>
        <w:rPr>
          <w:rFonts w:cs="Times New Roman"/>
          <w:b/>
          <w:sz w:val="32"/>
          <w:szCs w:val="32"/>
          <w:lang w:val="en-US"/>
        </w:rPr>
      </w:pPr>
    </w:p>
    <w:p w:rsidR="008913CC" w:rsidRPr="004F03CB" w:rsidRDefault="008913CC" w:rsidP="004F03CB">
      <w:pPr>
        <w:rPr>
          <w:rFonts w:cs="Times New Roman"/>
          <w:b/>
        </w:rPr>
      </w:pPr>
      <w:r w:rsidRPr="004F03CB">
        <w:rPr>
          <w:rFonts w:cs="Times New Roman"/>
          <w:b/>
        </w:rPr>
        <w:t>Abstract</w:t>
      </w:r>
    </w:p>
    <w:p w:rsidR="008913CC" w:rsidRDefault="00273005" w:rsidP="004F03CB">
      <w:pPr>
        <w:rPr>
          <w:rFonts w:cs="Times New Roman"/>
        </w:rPr>
      </w:pPr>
      <w:r>
        <w:rPr>
          <w:rFonts w:cs="Times New Roman"/>
        </w:rPr>
        <w:t>In the view of pressing unemployment and environmental problems</w:t>
      </w:r>
      <w:r w:rsidR="00EC65D3">
        <w:rPr>
          <w:rFonts w:cs="Times New Roman"/>
        </w:rPr>
        <w:t>,</w:t>
      </w:r>
      <w:r>
        <w:rPr>
          <w:rFonts w:cs="Times New Roman"/>
        </w:rPr>
        <w:t xml:space="preserve"> different policies ha</w:t>
      </w:r>
      <w:r w:rsidR="00EC65D3">
        <w:rPr>
          <w:rFonts w:cs="Times New Roman"/>
        </w:rPr>
        <w:t>ve</w:t>
      </w:r>
      <w:r>
        <w:rPr>
          <w:rFonts w:cs="Times New Roman"/>
        </w:rPr>
        <w:t xml:space="preserve"> been proposed to create jobs in </w:t>
      </w:r>
      <w:r w:rsidR="00CA5261">
        <w:rPr>
          <w:rFonts w:cs="Times New Roman"/>
        </w:rPr>
        <w:t xml:space="preserve">the transition </w:t>
      </w:r>
      <w:r>
        <w:rPr>
          <w:rFonts w:cs="Times New Roman"/>
        </w:rPr>
        <w:t xml:space="preserve">to </w:t>
      </w:r>
      <w:r w:rsidR="00FA4CE3">
        <w:rPr>
          <w:rFonts w:cs="Times New Roman"/>
        </w:rPr>
        <w:t>a</w:t>
      </w:r>
      <w:r w:rsidR="00727535">
        <w:rPr>
          <w:rFonts w:cs="Times New Roman"/>
        </w:rPr>
        <w:t xml:space="preserve"> green economy, </w:t>
      </w:r>
      <w:r w:rsidR="00FA4CE3">
        <w:rPr>
          <w:rFonts w:cs="Times New Roman"/>
        </w:rPr>
        <w:t xml:space="preserve">including </w:t>
      </w:r>
      <w:r w:rsidR="00727535">
        <w:rPr>
          <w:rFonts w:cs="Times New Roman"/>
        </w:rPr>
        <w:t xml:space="preserve">the so-called </w:t>
      </w:r>
      <w:r w:rsidR="00EC65D3">
        <w:rPr>
          <w:rFonts w:cs="Times New Roman"/>
        </w:rPr>
        <w:t>“</w:t>
      </w:r>
      <w:r w:rsidR="00727535">
        <w:rPr>
          <w:rFonts w:cs="Times New Roman"/>
        </w:rPr>
        <w:t>green jobs</w:t>
      </w:r>
      <w:r w:rsidR="00EC65D3">
        <w:rPr>
          <w:rFonts w:cs="Times New Roman"/>
        </w:rPr>
        <w:t>”</w:t>
      </w:r>
      <w:r w:rsidR="00727535">
        <w:rPr>
          <w:rFonts w:cs="Times New Roman"/>
        </w:rPr>
        <w:t xml:space="preserve">. </w:t>
      </w:r>
      <w:r w:rsidR="002B2BBB">
        <w:rPr>
          <w:rFonts w:cs="Times New Roman"/>
        </w:rPr>
        <w:t>There has been a</w:t>
      </w:r>
      <w:r w:rsidR="00727535">
        <w:rPr>
          <w:rFonts w:cs="Times New Roman"/>
        </w:rPr>
        <w:t>n intense debate on the quantification of the</w:t>
      </w:r>
      <w:r w:rsidR="00D93582">
        <w:rPr>
          <w:rFonts w:cs="Times New Roman"/>
        </w:rPr>
        <w:t>se</w:t>
      </w:r>
      <w:r w:rsidR="00727535">
        <w:rPr>
          <w:rFonts w:cs="Times New Roman"/>
        </w:rPr>
        <w:t xml:space="preserve"> employment effects, especially in the European Union. </w:t>
      </w:r>
      <w:r w:rsidR="004268DE">
        <w:rPr>
          <w:rFonts w:cs="Times New Roman"/>
        </w:rPr>
        <w:t>M</w:t>
      </w:r>
      <w:r w:rsidR="00727535">
        <w:rPr>
          <w:rFonts w:cs="Times New Roman"/>
        </w:rPr>
        <w:t xml:space="preserve">ost studies have focused on </w:t>
      </w:r>
      <w:r w:rsidR="00EC65D3">
        <w:rPr>
          <w:rFonts w:cs="Times New Roman"/>
        </w:rPr>
        <w:t xml:space="preserve">estimating gross </w:t>
      </w:r>
      <w:r w:rsidR="00727535">
        <w:rPr>
          <w:rFonts w:cs="Times New Roman"/>
        </w:rPr>
        <w:t>future employment effects</w:t>
      </w:r>
      <w:r w:rsidR="00C001FA">
        <w:rPr>
          <w:rFonts w:cs="Times New Roman"/>
        </w:rPr>
        <w:t xml:space="preserve"> and have </w:t>
      </w:r>
      <w:r w:rsidR="00EC65D3">
        <w:rPr>
          <w:rFonts w:cs="Times New Roman"/>
        </w:rPr>
        <w:t>ignored</w:t>
      </w:r>
      <w:r w:rsidR="00C001FA">
        <w:rPr>
          <w:rFonts w:cs="Times New Roman"/>
        </w:rPr>
        <w:t xml:space="preserve"> </w:t>
      </w:r>
      <w:r w:rsidR="00C001CE">
        <w:rPr>
          <w:rFonts w:cs="Times New Roman"/>
        </w:rPr>
        <w:t xml:space="preserve">the effects </w:t>
      </w:r>
      <w:r w:rsidR="004268DE">
        <w:rPr>
          <w:rFonts w:cs="Times New Roman"/>
        </w:rPr>
        <w:t xml:space="preserve">between different </w:t>
      </w:r>
      <w:r w:rsidR="00C001CE">
        <w:rPr>
          <w:rFonts w:cs="Times New Roman"/>
        </w:rPr>
        <w:t>sectors and countries</w:t>
      </w:r>
      <w:r w:rsidR="00727535">
        <w:rPr>
          <w:rFonts w:cs="Times New Roman"/>
        </w:rPr>
        <w:t xml:space="preserve">. </w:t>
      </w:r>
      <w:r w:rsidR="003A4C9A" w:rsidRPr="008D7515">
        <w:rPr>
          <w:rFonts w:cs="Times New Roman"/>
        </w:rPr>
        <w:t xml:space="preserve">This </w:t>
      </w:r>
      <w:r w:rsidR="004268DE">
        <w:rPr>
          <w:rFonts w:cs="Times New Roman"/>
        </w:rPr>
        <w:t>paper looks</w:t>
      </w:r>
      <w:r w:rsidR="00652CCA">
        <w:rPr>
          <w:rFonts w:cs="Times New Roman"/>
        </w:rPr>
        <w:t>,</w:t>
      </w:r>
      <w:r w:rsidR="004268DE">
        <w:rPr>
          <w:rFonts w:cs="Times New Roman"/>
        </w:rPr>
        <w:t xml:space="preserve"> for the first time</w:t>
      </w:r>
      <w:r w:rsidR="00652CCA">
        <w:rPr>
          <w:rFonts w:cs="Times New Roman"/>
        </w:rPr>
        <w:t>,</w:t>
      </w:r>
      <w:r w:rsidR="004268DE">
        <w:rPr>
          <w:rFonts w:cs="Times New Roman"/>
        </w:rPr>
        <w:t xml:space="preserve"> </w:t>
      </w:r>
      <w:r w:rsidR="008913CC" w:rsidRPr="008D7515">
        <w:rPr>
          <w:rFonts w:cs="Times New Roman"/>
        </w:rPr>
        <w:t>at the</w:t>
      </w:r>
      <w:r w:rsidR="00116DFD" w:rsidRPr="008D7515">
        <w:rPr>
          <w:rFonts w:cs="Times New Roman"/>
        </w:rPr>
        <w:t xml:space="preserve"> </w:t>
      </w:r>
      <w:r w:rsidR="004268DE">
        <w:rPr>
          <w:rFonts w:cs="Times New Roman"/>
        </w:rPr>
        <w:t xml:space="preserve">past </w:t>
      </w:r>
      <w:r w:rsidR="003372AF">
        <w:rPr>
          <w:rFonts w:cs="Times New Roman"/>
        </w:rPr>
        <w:t xml:space="preserve">net </w:t>
      </w:r>
      <w:r w:rsidR="00116DFD" w:rsidRPr="008D7515">
        <w:rPr>
          <w:rFonts w:cs="Times New Roman"/>
        </w:rPr>
        <w:t>employment</w:t>
      </w:r>
      <w:r w:rsidR="008913CC" w:rsidRPr="008D7515">
        <w:rPr>
          <w:rFonts w:cs="Times New Roman"/>
        </w:rPr>
        <w:t xml:space="preserve"> impacts </w:t>
      </w:r>
      <w:r w:rsidR="003372AF">
        <w:rPr>
          <w:rFonts w:cs="Times New Roman"/>
        </w:rPr>
        <w:t xml:space="preserve">from </w:t>
      </w:r>
      <w:r w:rsidR="008913CC" w:rsidRPr="008D7515">
        <w:rPr>
          <w:rFonts w:cs="Times New Roman"/>
        </w:rPr>
        <w:t xml:space="preserve">the </w:t>
      </w:r>
      <w:r w:rsidR="00EC65D3">
        <w:rPr>
          <w:rFonts w:cs="Times New Roman"/>
        </w:rPr>
        <w:t>transformation</w:t>
      </w:r>
      <w:r w:rsidR="00EC65D3" w:rsidRPr="008D7515">
        <w:rPr>
          <w:rFonts w:cs="Times New Roman"/>
        </w:rPr>
        <w:t xml:space="preserve"> </w:t>
      </w:r>
      <w:r w:rsidR="00EC65D3">
        <w:rPr>
          <w:rFonts w:cs="Times New Roman"/>
        </w:rPr>
        <w:t xml:space="preserve">of the EU </w:t>
      </w:r>
      <w:r w:rsidR="00C97FB0">
        <w:rPr>
          <w:rFonts w:cs="Times New Roman"/>
        </w:rPr>
        <w:t>energy</w:t>
      </w:r>
      <w:r w:rsidR="008913CC" w:rsidRPr="008D7515">
        <w:rPr>
          <w:rFonts w:cs="Times New Roman"/>
        </w:rPr>
        <w:t xml:space="preserve"> sector</w:t>
      </w:r>
      <w:r w:rsidR="004268DE">
        <w:rPr>
          <w:rFonts w:cs="Times New Roman"/>
        </w:rPr>
        <w:t xml:space="preserve"> </w:t>
      </w:r>
      <w:r w:rsidR="00652CCA">
        <w:rPr>
          <w:rFonts w:cs="Times New Roman"/>
        </w:rPr>
        <w:t xml:space="preserve">including </w:t>
      </w:r>
      <w:r w:rsidR="004268DE">
        <w:rPr>
          <w:rFonts w:cs="Times New Roman"/>
        </w:rPr>
        <w:t>spill-over effects</w:t>
      </w:r>
      <w:r w:rsidR="00652CCA">
        <w:rPr>
          <w:rFonts w:cs="Times New Roman"/>
        </w:rPr>
        <w:t>,</w:t>
      </w:r>
      <w:r w:rsidR="004268DE">
        <w:rPr>
          <w:rFonts w:cs="Times New Roman"/>
        </w:rPr>
        <w:t xml:space="preserve"> by</w:t>
      </w:r>
      <w:r w:rsidR="00652CCA">
        <w:rPr>
          <w:rFonts w:cs="Times New Roman"/>
        </w:rPr>
        <w:t xml:space="preserve"> </w:t>
      </w:r>
      <w:r w:rsidR="008913CC" w:rsidRPr="008D7515">
        <w:rPr>
          <w:rFonts w:cs="Times New Roman"/>
        </w:rPr>
        <w:t xml:space="preserve">using </w:t>
      </w:r>
      <w:r w:rsidR="00490A81" w:rsidRPr="008D7515">
        <w:rPr>
          <w:rFonts w:cs="Times New Roman"/>
        </w:rPr>
        <w:t xml:space="preserve">a </w:t>
      </w:r>
      <w:r w:rsidR="008913CC" w:rsidRPr="008D7515">
        <w:rPr>
          <w:rFonts w:cs="Times New Roman"/>
        </w:rPr>
        <w:t>multi-re</w:t>
      </w:r>
      <w:r w:rsidR="000360E4" w:rsidRPr="008D7515">
        <w:rPr>
          <w:rFonts w:cs="Times New Roman"/>
        </w:rPr>
        <w:t>gional input-output model</w:t>
      </w:r>
      <w:r w:rsidR="003372AF">
        <w:rPr>
          <w:rFonts w:cs="Times New Roman"/>
        </w:rPr>
        <w:t xml:space="preserve"> and the </w:t>
      </w:r>
      <w:r w:rsidR="00300655">
        <w:rPr>
          <w:rFonts w:cs="Times New Roman"/>
        </w:rPr>
        <w:t>World Input-Output Database</w:t>
      </w:r>
      <w:r w:rsidR="008913CC" w:rsidRPr="008D7515">
        <w:rPr>
          <w:rFonts w:cs="Times New Roman"/>
        </w:rPr>
        <w:t>.</w:t>
      </w:r>
      <w:r w:rsidR="004315BF" w:rsidRPr="008D7515">
        <w:rPr>
          <w:rFonts w:cs="Times New Roman"/>
        </w:rPr>
        <w:t xml:space="preserve"> </w:t>
      </w:r>
      <w:r w:rsidR="00652CCA">
        <w:rPr>
          <w:rFonts w:cs="Times New Roman"/>
        </w:rPr>
        <w:t>The analysis is focused on the</w:t>
      </w:r>
      <w:r w:rsidR="008D7515">
        <w:rPr>
          <w:rFonts w:cs="Times New Roman"/>
        </w:rPr>
        <w:t xml:space="preserve"> period </w:t>
      </w:r>
      <w:r w:rsidR="00652CCA">
        <w:rPr>
          <w:rFonts w:cs="Times New Roman"/>
        </w:rPr>
        <w:t xml:space="preserve">(1995-2009) </w:t>
      </w:r>
      <w:r w:rsidR="008D7515">
        <w:rPr>
          <w:rFonts w:cs="Times New Roman"/>
        </w:rPr>
        <w:t>when the EU’s energy structure went through a significant shift</w:t>
      </w:r>
      <w:r w:rsidR="00FA4CE3">
        <w:rPr>
          <w:rFonts w:cs="Times New Roman"/>
        </w:rPr>
        <w:t>,</w:t>
      </w:r>
      <w:r w:rsidR="008D7515">
        <w:rPr>
          <w:rFonts w:cs="Times New Roman"/>
        </w:rPr>
        <w:t xml:space="preserve"> away from </w:t>
      </w:r>
      <w:r w:rsidR="00CA5261">
        <w:rPr>
          <w:rFonts w:cs="Times New Roman"/>
        </w:rPr>
        <w:t xml:space="preserve">the more </w:t>
      </w:r>
      <w:r w:rsidR="008D7515">
        <w:rPr>
          <w:rFonts w:cs="Times New Roman"/>
        </w:rPr>
        <w:t>carbon intensive sources</w:t>
      </w:r>
      <w:r w:rsidR="00CA5261">
        <w:rPr>
          <w:rFonts w:cs="Times New Roman"/>
        </w:rPr>
        <w:t>,</w:t>
      </w:r>
      <w:r w:rsidR="008D7515">
        <w:rPr>
          <w:rFonts w:cs="Times New Roman"/>
        </w:rPr>
        <w:t xml:space="preserve"> towards gas and renewables. </w:t>
      </w:r>
      <w:r w:rsidR="00C001FA">
        <w:rPr>
          <w:rFonts w:cs="Times New Roman"/>
        </w:rPr>
        <w:t xml:space="preserve">We estimate </w:t>
      </w:r>
      <w:r w:rsidR="00EC65D3">
        <w:rPr>
          <w:rFonts w:cs="Times New Roman"/>
        </w:rPr>
        <w:t>the</w:t>
      </w:r>
      <w:r w:rsidR="00C001FA">
        <w:rPr>
          <w:rFonts w:cs="Times New Roman"/>
        </w:rPr>
        <w:t xml:space="preserve"> n</w:t>
      </w:r>
      <w:r w:rsidR="002B2BBB">
        <w:rPr>
          <w:rFonts w:cs="Times New Roman"/>
        </w:rPr>
        <w:t xml:space="preserve">et </w:t>
      </w:r>
      <w:r w:rsidR="008913CC" w:rsidRPr="008D7515">
        <w:rPr>
          <w:rFonts w:cs="Times New Roman"/>
        </w:rPr>
        <w:t xml:space="preserve">employment </w:t>
      </w:r>
      <w:r w:rsidR="002B2BBB">
        <w:rPr>
          <w:rFonts w:cs="Times New Roman"/>
        </w:rPr>
        <w:t xml:space="preserve">generated </w:t>
      </w:r>
      <w:r w:rsidR="00C001FA">
        <w:rPr>
          <w:rFonts w:cs="Times New Roman"/>
        </w:rPr>
        <w:t xml:space="preserve">from </w:t>
      </w:r>
      <w:r w:rsidR="002B2BBB">
        <w:rPr>
          <w:rFonts w:cs="Times New Roman"/>
        </w:rPr>
        <w:t xml:space="preserve">this structural change </w:t>
      </w:r>
      <w:r w:rsidR="00CA5261">
        <w:rPr>
          <w:rFonts w:cs="Times New Roman"/>
        </w:rPr>
        <w:t>at</w:t>
      </w:r>
      <w:r w:rsidR="002B2BBB">
        <w:rPr>
          <w:rFonts w:cs="Times New Roman"/>
        </w:rPr>
        <w:t xml:space="preserve"> </w:t>
      </w:r>
      <w:r w:rsidR="00490A81" w:rsidRPr="008D7515">
        <w:rPr>
          <w:rFonts w:cs="Times New Roman"/>
        </w:rPr>
        <w:t>530</w:t>
      </w:r>
      <w:r w:rsidR="000450B5" w:rsidRPr="008D7515">
        <w:rPr>
          <w:rFonts w:cs="Times New Roman"/>
        </w:rPr>
        <w:t xml:space="preserve">,000 </w:t>
      </w:r>
      <w:r w:rsidR="00744D7D">
        <w:rPr>
          <w:rFonts w:cs="Times New Roman"/>
        </w:rPr>
        <w:t xml:space="preserve">jobs </w:t>
      </w:r>
      <w:r w:rsidR="000450B5" w:rsidRPr="008D7515">
        <w:rPr>
          <w:rFonts w:cs="Times New Roman"/>
        </w:rPr>
        <w:t>in the EU (0.24% of total employment in 2009)</w:t>
      </w:r>
      <w:r w:rsidR="001527D5" w:rsidRPr="008D7515">
        <w:rPr>
          <w:rFonts w:cs="Times New Roman"/>
        </w:rPr>
        <w:t xml:space="preserve">, of which one third </w:t>
      </w:r>
      <w:r w:rsidR="00FF013B" w:rsidRPr="008D7515">
        <w:rPr>
          <w:rFonts w:cs="Times New Roman"/>
        </w:rPr>
        <w:t>is</w:t>
      </w:r>
      <w:r w:rsidR="00116DFD" w:rsidRPr="008D7515">
        <w:rPr>
          <w:rFonts w:cs="Times New Roman"/>
        </w:rPr>
        <w:t xml:space="preserve"> </w:t>
      </w:r>
      <w:r w:rsidR="001527D5" w:rsidRPr="008D7515">
        <w:rPr>
          <w:rFonts w:cs="Times New Roman"/>
        </w:rPr>
        <w:t>due to trans-boundary effects within the EU (i.e. employment generated in one country due to the changes in another)</w:t>
      </w:r>
      <w:r w:rsidR="000450B5" w:rsidRPr="008D7515">
        <w:rPr>
          <w:rFonts w:cs="Times New Roman"/>
        </w:rPr>
        <w:t xml:space="preserve">. </w:t>
      </w:r>
      <w:r w:rsidR="00652CCA">
        <w:rPr>
          <w:rFonts w:cs="Times New Roman"/>
        </w:rPr>
        <w:t>Within the EU, t</w:t>
      </w:r>
      <w:r w:rsidR="008913CC" w:rsidRPr="008D7515">
        <w:rPr>
          <w:rFonts w:cs="Times New Roman"/>
        </w:rPr>
        <w:t xml:space="preserve">he main gainers </w:t>
      </w:r>
      <w:r w:rsidR="00F2713B">
        <w:rPr>
          <w:rFonts w:cs="Times New Roman"/>
        </w:rPr>
        <w:t>were</w:t>
      </w:r>
      <w:r w:rsidR="008913CC" w:rsidRPr="008D7515">
        <w:rPr>
          <w:rFonts w:cs="Times New Roman"/>
        </w:rPr>
        <w:t xml:space="preserve"> </w:t>
      </w:r>
      <w:r w:rsidR="0078717E" w:rsidRPr="008D7515">
        <w:rPr>
          <w:rFonts w:cs="Times New Roman"/>
        </w:rPr>
        <w:t xml:space="preserve">Poland, </w:t>
      </w:r>
      <w:r w:rsidR="00535598" w:rsidRPr="008D7515">
        <w:rPr>
          <w:rFonts w:cs="Times New Roman"/>
        </w:rPr>
        <w:t>Germany</w:t>
      </w:r>
      <w:r w:rsidR="00535598">
        <w:rPr>
          <w:rFonts w:cs="Times New Roman"/>
        </w:rPr>
        <w:t>,</w:t>
      </w:r>
      <w:r w:rsidR="00535598" w:rsidRPr="008D7515">
        <w:rPr>
          <w:rFonts w:cs="Times New Roman"/>
        </w:rPr>
        <w:t xml:space="preserve"> </w:t>
      </w:r>
      <w:r w:rsidR="0078717E" w:rsidRPr="008D7515">
        <w:rPr>
          <w:rFonts w:cs="Times New Roman"/>
        </w:rPr>
        <w:t xml:space="preserve">Hungary, </w:t>
      </w:r>
      <w:r w:rsidR="00535598" w:rsidRPr="008D7515">
        <w:rPr>
          <w:rFonts w:cs="Times New Roman"/>
        </w:rPr>
        <w:t xml:space="preserve">Italy and </w:t>
      </w:r>
      <w:r w:rsidR="0078717E" w:rsidRPr="008D7515">
        <w:rPr>
          <w:rFonts w:cs="Times New Roman"/>
        </w:rPr>
        <w:t>Spain</w:t>
      </w:r>
      <w:r w:rsidR="00652CCA">
        <w:rPr>
          <w:rFonts w:cs="Times New Roman"/>
        </w:rPr>
        <w:t>, and t</w:t>
      </w:r>
      <w:r w:rsidR="00652CCA">
        <w:t xml:space="preserve">he main losers </w:t>
      </w:r>
      <w:r w:rsidR="00FA4CE3">
        <w:t>were</w:t>
      </w:r>
      <w:r w:rsidR="00652CCA">
        <w:t xml:space="preserve"> </w:t>
      </w:r>
      <w:r w:rsidR="00652CCA" w:rsidRPr="00D00284">
        <w:rPr>
          <w:lang w:val="en-US"/>
        </w:rPr>
        <w:t>Ireland, Lithuania, France and C</w:t>
      </w:r>
      <w:r w:rsidR="00652CCA">
        <w:rPr>
          <w:lang w:val="en-US"/>
        </w:rPr>
        <w:t>z</w:t>
      </w:r>
      <w:r w:rsidR="00652CCA" w:rsidRPr="00D00284">
        <w:rPr>
          <w:lang w:val="en-US"/>
        </w:rPr>
        <w:t>e</w:t>
      </w:r>
      <w:r w:rsidR="00652CCA">
        <w:rPr>
          <w:lang w:val="en-US"/>
        </w:rPr>
        <w:t>ch</w:t>
      </w:r>
      <w:r w:rsidR="00652CCA" w:rsidRPr="00D00284">
        <w:rPr>
          <w:lang w:val="en-US"/>
        </w:rPr>
        <w:t xml:space="preserve"> Republic</w:t>
      </w:r>
      <w:r w:rsidR="00652CCA">
        <w:rPr>
          <w:lang w:val="en-US"/>
        </w:rPr>
        <w:t>.</w:t>
      </w:r>
    </w:p>
    <w:p w:rsidR="00282136" w:rsidRPr="004F03CB" w:rsidRDefault="00282136" w:rsidP="004F03CB">
      <w:pPr>
        <w:rPr>
          <w:rFonts w:cs="Times New Roman"/>
        </w:rPr>
      </w:pPr>
    </w:p>
    <w:p w:rsidR="00DB7383" w:rsidRDefault="0078717E">
      <w:pPr>
        <w:spacing w:before="0" w:after="200" w:line="276" w:lineRule="auto"/>
        <w:jc w:val="left"/>
        <w:rPr>
          <w:rFonts w:cs="Times New Roman"/>
          <w:b/>
        </w:rPr>
      </w:pPr>
      <w:r w:rsidRPr="004F03CB">
        <w:rPr>
          <w:rFonts w:cs="Times New Roman"/>
          <w:b/>
        </w:rPr>
        <w:t>Key words:</w:t>
      </w:r>
      <w:r w:rsidRPr="004F03CB">
        <w:rPr>
          <w:rFonts w:cs="Times New Roman"/>
        </w:rPr>
        <w:t xml:space="preserve"> Employment, electricity, gas, </w:t>
      </w:r>
      <w:r w:rsidR="00964B2F" w:rsidRPr="008D7515">
        <w:rPr>
          <w:rFonts w:cs="Times New Roman"/>
        </w:rPr>
        <w:t>multi-regional input-output</w:t>
      </w:r>
      <w:r w:rsidR="008913CC" w:rsidRPr="004F03CB">
        <w:rPr>
          <w:rFonts w:cs="Times New Roman"/>
          <w:b/>
        </w:rPr>
        <w:br w:type="page"/>
      </w:r>
    </w:p>
    <w:p w:rsidR="0078717E" w:rsidRPr="004F03CB" w:rsidRDefault="0078717E" w:rsidP="004F03CB">
      <w:pPr>
        <w:pStyle w:val="Heading1"/>
        <w:rPr>
          <w:rFonts w:cs="Times New Roman"/>
        </w:rPr>
      </w:pPr>
      <w:r w:rsidRPr="004F03CB">
        <w:rPr>
          <w:rFonts w:cs="Times New Roman"/>
        </w:rPr>
        <w:lastRenderedPageBreak/>
        <w:t>Introduction</w:t>
      </w:r>
    </w:p>
    <w:p w:rsidR="00A329A8" w:rsidRPr="002A7EBC" w:rsidRDefault="0078717E" w:rsidP="00530707">
      <w:pPr>
        <w:pStyle w:val="NormalWeb"/>
        <w:spacing w:beforeLines="120" w:beforeAutospacing="0" w:afterLines="120" w:afterAutospacing="0" w:line="360" w:lineRule="auto"/>
        <w:jc w:val="both"/>
        <w:rPr>
          <w:lang w:val="en-US"/>
        </w:rPr>
      </w:pPr>
      <w:r w:rsidRPr="002A7EBC">
        <w:rPr>
          <w:sz w:val="22"/>
          <w:szCs w:val="22"/>
          <w:lang w:val="en-US"/>
        </w:rPr>
        <w:t xml:space="preserve">There is a </w:t>
      </w:r>
      <w:r w:rsidRPr="00FE1238">
        <w:rPr>
          <w:sz w:val="22"/>
          <w:szCs w:val="22"/>
          <w:lang w:val="en-US"/>
        </w:rPr>
        <w:t xml:space="preserve">great deal of interest in the employment effects </w:t>
      </w:r>
      <w:r w:rsidR="00EC65D3" w:rsidRPr="00FE1238">
        <w:rPr>
          <w:sz w:val="22"/>
          <w:szCs w:val="22"/>
          <w:lang w:val="en-US"/>
        </w:rPr>
        <w:t xml:space="preserve">resulting from </w:t>
      </w:r>
      <w:r w:rsidRPr="00FE1238">
        <w:rPr>
          <w:sz w:val="22"/>
          <w:szCs w:val="22"/>
          <w:lang w:val="en-US"/>
        </w:rPr>
        <w:t>t</w:t>
      </w:r>
      <w:r w:rsidR="004315BF" w:rsidRPr="00FE1238">
        <w:rPr>
          <w:sz w:val="22"/>
          <w:szCs w:val="22"/>
          <w:lang w:val="en-US"/>
        </w:rPr>
        <w:t xml:space="preserve">he </w:t>
      </w:r>
      <w:r w:rsidR="00C001CE" w:rsidRPr="00FE1238">
        <w:rPr>
          <w:sz w:val="22"/>
          <w:szCs w:val="22"/>
          <w:lang w:val="en-US"/>
        </w:rPr>
        <w:t>transition to a</w:t>
      </w:r>
      <w:r w:rsidR="004315BF" w:rsidRPr="00FE1238">
        <w:rPr>
          <w:sz w:val="22"/>
          <w:szCs w:val="22"/>
          <w:lang w:val="en-US"/>
        </w:rPr>
        <w:t xml:space="preserve"> low carbon</w:t>
      </w:r>
      <w:r w:rsidR="00C001CE" w:rsidRPr="00FE1238">
        <w:rPr>
          <w:sz w:val="22"/>
          <w:szCs w:val="22"/>
          <w:lang w:val="en-US"/>
        </w:rPr>
        <w:t xml:space="preserve"> and sustainable economy</w:t>
      </w:r>
      <w:r w:rsidR="004315BF" w:rsidRPr="00FE1238">
        <w:rPr>
          <w:sz w:val="22"/>
          <w:szCs w:val="22"/>
          <w:lang w:val="en-US"/>
        </w:rPr>
        <w:t xml:space="preserve">. </w:t>
      </w:r>
      <w:r w:rsidR="00C001CE" w:rsidRPr="00FE1238">
        <w:rPr>
          <w:sz w:val="22"/>
          <w:szCs w:val="22"/>
          <w:lang w:val="en-US"/>
        </w:rPr>
        <w:t>The increase in</w:t>
      </w:r>
      <w:r w:rsidR="006F4BB1" w:rsidRPr="00FE1238">
        <w:rPr>
          <w:sz w:val="22"/>
          <w:szCs w:val="22"/>
          <w:lang w:val="en-US"/>
        </w:rPr>
        <w:t xml:space="preserve"> </w:t>
      </w:r>
      <w:r w:rsidR="00C001CE" w:rsidRPr="00FE1238">
        <w:rPr>
          <w:sz w:val="22"/>
          <w:szCs w:val="22"/>
          <w:lang w:val="en-US"/>
        </w:rPr>
        <w:t xml:space="preserve">unemployment following the </w:t>
      </w:r>
      <w:r w:rsidR="003C0622">
        <w:fldChar w:fldCharType="begin"/>
      </w:r>
      <w:r w:rsidR="003C0622" w:rsidRPr="00530707">
        <w:rPr>
          <w:lang w:val="en-US"/>
        </w:rPr>
        <w:instrText>HYPERLINK "https://en.wikipedia.org/wiki/Financial_crisis_of_2007%E2%80%9308" \o "Financial crisis of 2007–08"</w:instrText>
      </w:r>
      <w:r w:rsidR="003C0622">
        <w:fldChar w:fldCharType="separate"/>
      </w:r>
      <w:r w:rsidR="00C001CE" w:rsidRPr="00FE1238">
        <w:rPr>
          <w:sz w:val="22"/>
          <w:szCs w:val="22"/>
          <w:lang w:val="en-US"/>
        </w:rPr>
        <w:t>financial crisis of 2007</w:t>
      </w:r>
      <w:r w:rsidR="00964B2F">
        <w:rPr>
          <w:sz w:val="22"/>
          <w:szCs w:val="22"/>
          <w:lang w:val="en-US"/>
        </w:rPr>
        <w:t>-</w:t>
      </w:r>
      <w:r w:rsidR="00AC1982" w:rsidRPr="00FE1238">
        <w:rPr>
          <w:sz w:val="22"/>
          <w:szCs w:val="22"/>
          <w:lang w:val="en-US"/>
        </w:rPr>
        <w:t>20</w:t>
      </w:r>
      <w:r w:rsidR="00C001CE" w:rsidRPr="00FE1238">
        <w:rPr>
          <w:sz w:val="22"/>
          <w:szCs w:val="22"/>
          <w:lang w:val="en-US"/>
        </w:rPr>
        <w:t>08</w:t>
      </w:r>
      <w:r w:rsidR="003C0622">
        <w:fldChar w:fldCharType="end"/>
      </w:r>
      <w:r w:rsidR="00C001CE" w:rsidRPr="00FE1238">
        <w:rPr>
          <w:sz w:val="22"/>
          <w:szCs w:val="22"/>
          <w:lang w:val="en-US"/>
        </w:rPr>
        <w:t xml:space="preserve"> and </w:t>
      </w:r>
      <w:r w:rsidR="00714397" w:rsidRPr="00FE1238">
        <w:rPr>
          <w:sz w:val="22"/>
          <w:szCs w:val="22"/>
          <w:lang w:val="en-US"/>
        </w:rPr>
        <w:t>the declared commitment of</w:t>
      </w:r>
      <w:r w:rsidR="00714397" w:rsidRPr="002A7EBC">
        <w:rPr>
          <w:sz w:val="22"/>
          <w:szCs w:val="22"/>
          <w:lang w:val="en-US"/>
        </w:rPr>
        <w:t xml:space="preserve"> different countries to reduce </w:t>
      </w:r>
      <w:r w:rsidR="00552488" w:rsidRPr="002A7EBC">
        <w:rPr>
          <w:sz w:val="22"/>
          <w:szCs w:val="22"/>
          <w:lang w:val="en-US"/>
        </w:rPr>
        <w:t xml:space="preserve">environmental pressures </w:t>
      </w:r>
      <w:r w:rsidR="00714397" w:rsidRPr="002A7EBC">
        <w:rPr>
          <w:sz w:val="22"/>
          <w:szCs w:val="22"/>
          <w:lang w:val="en-US"/>
        </w:rPr>
        <w:t xml:space="preserve">have led </w:t>
      </w:r>
      <w:r w:rsidR="00FA4CE3">
        <w:rPr>
          <w:sz w:val="22"/>
          <w:szCs w:val="22"/>
          <w:lang w:val="en-US"/>
        </w:rPr>
        <w:t xml:space="preserve">together </w:t>
      </w:r>
      <w:r w:rsidR="00450D8D" w:rsidRPr="002A7EBC">
        <w:rPr>
          <w:sz w:val="22"/>
          <w:szCs w:val="22"/>
          <w:lang w:val="en-US"/>
        </w:rPr>
        <w:t xml:space="preserve">to </w:t>
      </w:r>
      <w:r w:rsidR="00CA5261">
        <w:rPr>
          <w:sz w:val="22"/>
          <w:szCs w:val="22"/>
          <w:lang w:val="en-US"/>
        </w:rPr>
        <w:t xml:space="preserve">the introduction of several </w:t>
      </w:r>
      <w:r w:rsidR="006F4BB1" w:rsidRPr="002A7EBC">
        <w:rPr>
          <w:sz w:val="22"/>
          <w:szCs w:val="22"/>
          <w:lang w:val="en-US"/>
        </w:rPr>
        <w:t xml:space="preserve">policies </w:t>
      </w:r>
      <w:r w:rsidR="00714397" w:rsidRPr="002A7EBC">
        <w:rPr>
          <w:sz w:val="22"/>
          <w:szCs w:val="22"/>
          <w:lang w:val="en-US"/>
        </w:rPr>
        <w:t>aimed to create "green jobs"</w:t>
      </w:r>
      <w:r w:rsidR="0049518A">
        <w:rPr>
          <w:sz w:val="22"/>
          <w:szCs w:val="22"/>
          <w:lang w:val="en-US"/>
        </w:rPr>
        <w:t xml:space="preserve"> </w:t>
      </w:r>
      <w:r w:rsidR="003C0622">
        <w:rPr>
          <w:sz w:val="22"/>
          <w:szCs w:val="22"/>
          <w:lang w:val="en-US"/>
        </w:rPr>
        <w:fldChar w:fldCharType="begin"/>
      </w:r>
      <w:r w:rsidR="00B06A88">
        <w:rPr>
          <w:sz w:val="22"/>
          <w:szCs w:val="22"/>
          <w:lang w:val="en-US"/>
        </w:rPr>
        <w:instrText xml:space="preserve"> ADDIN ZOTERO_ITEM CSL_CITATION {"citationID":"qbIn59eX","properties":{"formattedCitation":"[1], [2]","plainCitation":"[1], [2]"},"citationItems":[{"id":3685,"uris":["http://zotero.org/groups/271383/items/ZHGRFQS7"],"uri":["http://zotero.org/groups/271383/items/ZHGRFQS7"],"itemData":{"id":3685,"type":"report","title":"Green jobs: towards decent work in a sustainable, low-carbon world","publisher":"United Nations Environment Programme","publisher-place":"Nairobi, Kenya","event-place":"Nairobi, Kenya","author":[{"family":"Renner","given":"M."},{"family":"Sweeney","given":"S."},{"family":"Kubit","given":"J."}],"issued":{"date-parts":[["2008"]]}}},{"id":3686,"uris":["http://zotero.org/groups/271383/items/NRXJSJVD"],"uri":["http://zotero.org/groups/271383/items/NRXJSJVD"],"itemData":{"id":3686,"type":"report","title":"UNEP background paper on green jobs","publisher":"United Nations Environment Programme","publisher-place":"Nairobi, Kenya","event-place":"Nairobi, Kenya","author":[{"family":"UNEP","given":""}],"issued":{"date-parts":[["2008"]]}}}],"schema":"https://github.com/citation-style-language/schema/raw/master/csl-citation.json"} </w:instrText>
      </w:r>
      <w:r w:rsidR="003C0622">
        <w:rPr>
          <w:sz w:val="22"/>
          <w:szCs w:val="22"/>
          <w:lang w:val="en-US"/>
        </w:rPr>
        <w:fldChar w:fldCharType="separate"/>
      </w:r>
      <w:r w:rsidR="00B06A88" w:rsidRPr="00243A44">
        <w:rPr>
          <w:sz w:val="22"/>
          <w:lang w:val="en-US"/>
        </w:rPr>
        <w:t>[1], [2]</w:t>
      </w:r>
      <w:r w:rsidR="003C0622">
        <w:rPr>
          <w:sz w:val="22"/>
          <w:szCs w:val="22"/>
          <w:lang w:val="en-US"/>
        </w:rPr>
        <w:fldChar w:fldCharType="end"/>
      </w:r>
      <w:r w:rsidR="00714397" w:rsidRPr="002A7EBC">
        <w:rPr>
          <w:sz w:val="22"/>
          <w:szCs w:val="22"/>
          <w:lang w:val="en-US"/>
        </w:rPr>
        <w:t xml:space="preserve">. </w:t>
      </w:r>
    </w:p>
    <w:p w:rsidR="00690686" w:rsidRPr="008F15E3" w:rsidRDefault="006F4BB1" w:rsidP="00530707">
      <w:pPr>
        <w:spacing w:beforeLines="120" w:afterLines="120"/>
        <w:rPr>
          <w:rFonts w:eastAsia="Times New Roman" w:cs="Times New Roman"/>
          <w:lang w:val="en-US" w:eastAsia="es-ES"/>
        </w:rPr>
      </w:pPr>
      <w:r w:rsidRPr="002A7EBC">
        <w:rPr>
          <w:rFonts w:eastAsia="Times New Roman" w:cs="Times New Roman"/>
          <w:lang w:val="en-US" w:eastAsia="es-ES"/>
        </w:rPr>
        <w:t>As a prime example, the European Union</w:t>
      </w:r>
      <w:r w:rsidR="00B90A7E" w:rsidRPr="002A7EBC">
        <w:rPr>
          <w:rFonts w:eastAsia="Times New Roman" w:cs="Times New Roman"/>
          <w:lang w:val="en-US" w:eastAsia="es-ES"/>
        </w:rPr>
        <w:t xml:space="preserve"> (EU)</w:t>
      </w:r>
      <w:r w:rsidRPr="002A7EBC">
        <w:rPr>
          <w:rFonts w:eastAsia="Times New Roman" w:cs="Times New Roman"/>
          <w:lang w:val="en-US" w:eastAsia="es-ES"/>
        </w:rPr>
        <w:t xml:space="preserve"> has presented recently t</w:t>
      </w:r>
      <w:r w:rsidR="00AC7D3F">
        <w:rPr>
          <w:rFonts w:eastAsia="Times New Roman" w:cs="Times New Roman"/>
          <w:lang w:val="en-US" w:eastAsia="es-ES"/>
        </w:rPr>
        <w:t xml:space="preserve">he Green Employment Initiative </w:t>
      </w:r>
      <w:r w:rsidR="003C0622">
        <w:rPr>
          <w:rFonts w:eastAsia="Times New Roman" w:cs="Times New Roman"/>
          <w:lang w:val="en-US" w:eastAsia="es-ES"/>
        </w:rPr>
        <w:fldChar w:fldCharType="begin"/>
      </w:r>
      <w:r w:rsidR="004E6C97">
        <w:rPr>
          <w:rFonts w:eastAsia="Times New Roman" w:cs="Times New Roman"/>
          <w:lang w:val="en-US" w:eastAsia="es-ES"/>
        </w:rPr>
        <w:instrText xml:space="preserve"> ADDIN ZOTERO_ITEM CSL_CITATION {"citationID":"tTyyjZcY","properties":{"formattedCitation":"[3]","plainCitation":"[3]"},"citationItems":[{"id":3679,"uris":["http://zotero.org/groups/271383/items/PCGHJIMM"],"uri":["http://zotero.org/groups/271383/items/PCGHJIMM"],"itemData":{"id":3679,"type":"report","title":"20 20 by 2020. Europe's climate change opportunity","collection-title":"Communication from the Commission to the European Parliament, the Council, the European economic and social committee of the regions","publisher":"European Commission","number":"COM/2014/30","author":[{"family":"European Commission","given":""}],"issued":{"date-parts":[["2008"]]}}}],"schema":"https://github.com/citation-style-language/schema/raw/master/csl-citation.json"} </w:instrText>
      </w:r>
      <w:r w:rsidR="003C0622">
        <w:rPr>
          <w:rFonts w:eastAsia="Times New Roman" w:cs="Times New Roman"/>
          <w:lang w:val="en-US" w:eastAsia="es-ES"/>
        </w:rPr>
        <w:fldChar w:fldCharType="separate"/>
      </w:r>
      <w:r w:rsidR="004E6C97" w:rsidRPr="004E6C97">
        <w:rPr>
          <w:rFonts w:cs="Times New Roman"/>
        </w:rPr>
        <w:t>[3]</w:t>
      </w:r>
      <w:r w:rsidR="003C0622">
        <w:rPr>
          <w:rFonts w:eastAsia="Times New Roman" w:cs="Times New Roman"/>
          <w:lang w:val="en-US" w:eastAsia="es-ES"/>
        </w:rPr>
        <w:fldChar w:fldCharType="end"/>
      </w:r>
      <w:r w:rsidR="00552488" w:rsidRPr="002A7EBC">
        <w:rPr>
          <w:rFonts w:eastAsia="Times New Roman" w:cs="Times New Roman"/>
          <w:lang w:val="en-US" w:eastAsia="es-ES"/>
        </w:rPr>
        <w:t>,</w:t>
      </w:r>
      <w:r w:rsidRPr="002A7EBC">
        <w:rPr>
          <w:rFonts w:eastAsia="Times New Roman" w:cs="Times New Roman"/>
          <w:lang w:val="en-US" w:eastAsia="es-ES"/>
        </w:rPr>
        <w:t xml:space="preserve"> </w:t>
      </w:r>
      <w:r w:rsidR="00552488" w:rsidRPr="002A7EBC">
        <w:rPr>
          <w:rFonts w:eastAsia="Times New Roman" w:cs="Times New Roman"/>
          <w:lang w:val="en-US" w:eastAsia="es-ES"/>
        </w:rPr>
        <w:t xml:space="preserve">a </w:t>
      </w:r>
      <w:r w:rsidRPr="002A7EBC">
        <w:rPr>
          <w:rFonts w:eastAsia="Times New Roman" w:cs="Times New Roman"/>
          <w:lang w:val="en-US" w:eastAsia="es-ES"/>
        </w:rPr>
        <w:t xml:space="preserve">funding </w:t>
      </w:r>
      <w:r w:rsidR="00552488" w:rsidRPr="002A7EBC">
        <w:rPr>
          <w:rFonts w:eastAsia="Times New Roman" w:cs="Times New Roman"/>
          <w:lang w:val="en-US" w:eastAsia="es-ES"/>
        </w:rPr>
        <w:t xml:space="preserve">mechanism </w:t>
      </w:r>
      <w:r w:rsidRPr="002A7EBC">
        <w:rPr>
          <w:rFonts w:eastAsia="Times New Roman" w:cs="Times New Roman"/>
          <w:lang w:val="en-US" w:eastAsia="es-ES"/>
        </w:rPr>
        <w:t>“to help Member States with employment opportunities and challenges in the transition to a greener economy”</w:t>
      </w:r>
      <w:r w:rsidR="00A329A8" w:rsidRPr="002A7EBC">
        <w:rPr>
          <w:rFonts w:eastAsia="Times New Roman" w:cs="Times New Roman"/>
          <w:lang w:val="en-US" w:eastAsia="es-ES"/>
        </w:rPr>
        <w:t xml:space="preserve">. </w:t>
      </w:r>
      <w:r w:rsidR="00686369">
        <w:rPr>
          <w:rFonts w:eastAsia="Times New Roman" w:cs="Times New Roman"/>
          <w:lang w:val="en-US" w:eastAsia="es-ES"/>
        </w:rPr>
        <w:t>A</w:t>
      </w:r>
      <w:r w:rsidRPr="002A7EBC">
        <w:rPr>
          <w:rFonts w:eastAsia="Times New Roman" w:cs="Times New Roman"/>
          <w:lang w:val="en-US" w:eastAsia="es-ES"/>
        </w:rPr>
        <w:t xml:space="preserve">t the same time, </w:t>
      </w:r>
      <w:r w:rsidR="00A329A8" w:rsidRPr="002A7EBC">
        <w:rPr>
          <w:rFonts w:eastAsia="Times New Roman" w:cs="Times New Roman"/>
          <w:lang w:val="en-US" w:eastAsia="es-ES"/>
        </w:rPr>
        <w:t xml:space="preserve">the EU </w:t>
      </w:r>
      <w:r w:rsidRPr="002A7EBC">
        <w:rPr>
          <w:rFonts w:eastAsia="Times New Roman" w:cs="Times New Roman"/>
          <w:lang w:val="en-US" w:eastAsia="es-ES"/>
        </w:rPr>
        <w:t xml:space="preserve">has </w:t>
      </w:r>
      <w:r w:rsidR="00B90A7E" w:rsidRPr="002A7EBC">
        <w:rPr>
          <w:rFonts w:eastAsia="Times New Roman" w:cs="Times New Roman"/>
          <w:lang w:val="en-US" w:eastAsia="es-ES"/>
        </w:rPr>
        <w:t>adopted</w:t>
      </w:r>
      <w:r w:rsidR="00552488" w:rsidRPr="002A7EBC">
        <w:rPr>
          <w:rFonts w:eastAsia="Times New Roman" w:cs="Times New Roman"/>
          <w:lang w:val="en-US" w:eastAsia="es-ES"/>
        </w:rPr>
        <w:t xml:space="preserve"> </w:t>
      </w:r>
      <w:r w:rsidR="00B90A7E" w:rsidRPr="002A7EBC">
        <w:rPr>
          <w:rFonts w:eastAsia="Times New Roman" w:cs="Times New Roman"/>
          <w:lang w:val="en-US" w:eastAsia="es-ES"/>
        </w:rPr>
        <w:t xml:space="preserve">the Energy and Climate </w:t>
      </w:r>
      <w:r w:rsidR="00CA5261">
        <w:rPr>
          <w:rFonts w:eastAsia="Times New Roman" w:cs="Times New Roman"/>
          <w:lang w:val="en-US" w:eastAsia="es-ES"/>
        </w:rPr>
        <w:t>F</w:t>
      </w:r>
      <w:r w:rsidR="00720A23" w:rsidRPr="002A7EBC">
        <w:rPr>
          <w:rFonts w:eastAsia="Times New Roman" w:cs="Times New Roman"/>
          <w:lang w:val="en-US" w:eastAsia="es-ES"/>
        </w:rPr>
        <w:t xml:space="preserve">ramework </w:t>
      </w:r>
      <w:r w:rsidR="003C0622">
        <w:rPr>
          <w:rFonts w:eastAsia="Times New Roman" w:cs="Times New Roman"/>
          <w:lang w:val="en-US" w:eastAsia="es-ES"/>
        </w:rPr>
        <w:fldChar w:fldCharType="begin"/>
      </w:r>
      <w:r w:rsidR="004E6C97">
        <w:rPr>
          <w:rFonts w:eastAsia="Times New Roman" w:cs="Times New Roman"/>
          <w:lang w:val="en-US" w:eastAsia="es-ES"/>
        </w:rPr>
        <w:instrText xml:space="preserve"> ADDIN ZOTERO_ITEM CSL_CITATION {"citationID":"MEPuqO8C","properties":{"formattedCitation":"[4]","plainCitation":"[4]"},"citationItems":[{"id":3680,"uris":["http://zotero.org/groups/271383/items/QUZ73UKW"],"uri":["http://zotero.org/groups/271383/items/QUZ73UKW"],"itemData":{"id":3680,"type":"report","title":"A policy framework for climate and energy in the period from 2020 to 2030","collection-title":"Communication from the Commission to the European Parliament, the Council, the European economic and social committee of the regions","publisher":"European Commission","number":"COM/2014/015","author":[{"family":"European Commission","given":""}],"issued":{"date-parts":[["2014"]]}}}],"schema":"https://github.com/citation-style-language/schema/raw/master/csl-citation.json"} </w:instrText>
      </w:r>
      <w:r w:rsidR="003C0622">
        <w:rPr>
          <w:rFonts w:eastAsia="Times New Roman" w:cs="Times New Roman"/>
          <w:lang w:val="en-US" w:eastAsia="es-ES"/>
        </w:rPr>
        <w:fldChar w:fldCharType="separate"/>
      </w:r>
      <w:r w:rsidR="004E6C97" w:rsidRPr="004E6C97">
        <w:rPr>
          <w:rFonts w:cs="Times New Roman"/>
        </w:rPr>
        <w:t>[4]</w:t>
      </w:r>
      <w:r w:rsidR="003C0622">
        <w:rPr>
          <w:rFonts w:eastAsia="Times New Roman" w:cs="Times New Roman"/>
          <w:lang w:val="en-US" w:eastAsia="es-ES"/>
        </w:rPr>
        <w:fldChar w:fldCharType="end"/>
      </w:r>
      <w:r w:rsidR="00B90A7E" w:rsidRPr="002A7EBC">
        <w:rPr>
          <w:rFonts w:eastAsia="Times New Roman" w:cs="Times New Roman"/>
          <w:lang w:val="en-US" w:eastAsia="es-ES"/>
        </w:rPr>
        <w:t xml:space="preserve"> </w:t>
      </w:r>
      <w:r w:rsidR="00720A23" w:rsidRPr="002A7EBC">
        <w:rPr>
          <w:rFonts w:eastAsia="Times New Roman" w:cs="Times New Roman"/>
          <w:lang w:val="en-US" w:eastAsia="es-ES"/>
        </w:rPr>
        <w:t xml:space="preserve">for </w:t>
      </w:r>
      <w:r w:rsidR="00AC7D3F">
        <w:rPr>
          <w:rFonts w:eastAsia="Times New Roman" w:cs="Times New Roman"/>
          <w:lang w:val="en-US" w:eastAsia="es-ES"/>
        </w:rPr>
        <w:t>the year 2030 with the aim of reducing</w:t>
      </w:r>
      <w:r w:rsidR="00B2777D">
        <w:rPr>
          <w:rFonts w:eastAsia="Times New Roman" w:cs="Times New Roman"/>
          <w:lang w:val="en-US" w:eastAsia="es-ES"/>
        </w:rPr>
        <w:t xml:space="preserve"> </w:t>
      </w:r>
      <w:r w:rsidR="00720A23" w:rsidRPr="002A7EBC">
        <w:rPr>
          <w:rFonts w:eastAsia="Times New Roman" w:cs="Times New Roman"/>
          <w:lang w:val="en-US" w:eastAsia="es-ES"/>
        </w:rPr>
        <w:t>greenhouse gas emissions</w:t>
      </w:r>
      <w:r w:rsidR="00AC7D3F">
        <w:rPr>
          <w:rFonts w:eastAsia="Times New Roman" w:cs="Times New Roman"/>
          <w:lang w:val="en-US" w:eastAsia="es-ES"/>
        </w:rPr>
        <w:t xml:space="preserve"> by</w:t>
      </w:r>
      <w:r w:rsidR="00720A23" w:rsidRPr="002A7EBC">
        <w:rPr>
          <w:rFonts w:eastAsia="Times New Roman" w:cs="Times New Roman"/>
          <w:lang w:val="en-US" w:eastAsia="es-ES"/>
        </w:rPr>
        <w:t xml:space="preserve"> </w:t>
      </w:r>
      <w:r w:rsidR="00AC7D3F" w:rsidRPr="002A7EBC">
        <w:rPr>
          <w:rFonts w:eastAsia="Times New Roman" w:cs="Times New Roman"/>
          <w:lang w:val="en-US" w:eastAsia="es-ES"/>
        </w:rPr>
        <w:t xml:space="preserve">40% </w:t>
      </w:r>
      <w:r w:rsidR="00720A23" w:rsidRPr="002A7EBC">
        <w:rPr>
          <w:rFonts w:eastAsia="Times New Roman" w:cs="Times New Roman"/>
          <w:lang w:val="en-US" w:eastAsia="es-ES"/>
        </w:rPr>
        <w:t xml:space="preserve">(from 1990 levels), </w:t>
      </w:r>
      <w:r w:rsidR="008A3BCA" w:rsidRPr="002A7EBC">
        <w:rPr>
          <w:rFonts w:eastAsia="Times New Roman" w:cs="Times New Roman"/>
          <w:lang w:val="en-US" w:eastAsia="es-ES"/>
        </w:rPr>
        <w:t xml:space="preserve">a binding target (at EU level) to boost the share of </w:t>
      </w:r>
      <w:hyperlink r:id="rId8" w:history="1">
        <w:r w:rsidR="008A3BCA" w:rsidRPr="002A7EBC">
          <w:rPr>
            <w:rFonts w:eastAsia="Times New Roman" w:cs="Times New Roman"/>
            <w:lang w:eastAsia="es-ES"/>
          </w:rPr>
          <w:t>renewables</w:t>
        </w:r>
      </w:hyperlink>
      <w:r w:rsidR="008A3BCA" w:rsidRPr="002A7EBC">
        <w:rPr>
          <w:rFonts w:eastAsia="Times New Roman" w:cs="Times New Roman"/>
          <w:lang w:val="en-US" w:eastAsia="es-ES"/>
        </w:rPr>
        <w:t xml:space="preserve"> to at least 27% of EU energy consumption</w:t>
      </w:r>
      <w:r w:rsidR="00AC7D3F">
        <w:rPr>
          <w:rFonts w:eastAsia="Times New Roman" w:cs="Times New Roman"/>
          <w:lang w:val="en-US" w:eastAsia="es-ES"/>
        </w:rPr>
        <w:t>,</w:t>
      </w:r>
      <w:r w:rsidR="008A3BCA" w:rsidRPr="002A7EBC">
        <w:rPr>
          <w:rFonts w:eastAsia="Times New Roman" w:cs="Times New Roman"/>
          <w:lang w:val="en-US" w:eastAsia="es-ES"/>
        </w:rPr>
        <w:t xml:space="preserve"> and a </w:t>
      </w:r>
      <w:r w:rsidR="00720A23" w:rsidRPr="002A7EBC">
        <w:rPr>
          <w:rFonts w:eastAsia="Times New Roman" w:cs="Times New Roman"/>
          <w:lang w:val="en-US" w:eastAsia="es-ES"/>
        </w:rPr>
        <w:t>27% improvement in energy efficiency</w:t>
      </w:r>
      <w:r w:rsidR="008A3BCA" w:rsidRPr="002A7EBC">
        <w:rPr>
          <w:rFonts w:eastAsia="Times New Roman" w:cs="Times New Roman"/>
          <w:lang w:val="en-US" w:eastAsia="es-ES"/>
        </w:rPr>
        <w:t>.</w:t>
      </w:r>
      <w:r w:rsidR="00690686">
        <w:rPr>
          <w:rFonts w:eastAsia="Times New Roman" w:cs="Times New Roman"/>
          <w:lang w:val="en-US" w:eastAsia="es-ES"/>
        </w:rPr>
        <w:t xml:space="preserve"> </w:t>
      </w:r>
      <w:r w:rsidR="0068694A">
        <w:rPr>
          <w:rFonts w:eastAsia="Times New Roman" w:cs="Times New Roman"/>
          <w:lang w:val="en-US" w:eastAsia="es-ES"/>
        </w:rPr>
        <w:t>T</w:t>
      </w:r>
      <w:r w:rsidR="00176F88">
        <w:rPr>
          <w:rFonts w:eastAsia="Times New Roman" w:cs="Times New Roman"/>
          <w:lang w:val="en-US" w:eastAsia="es-ES"/>
        </w:rPr>
        <w:t>he</w:t>
      </w:r>
      <w:r w:rsidR="00690686">
        <w:rPr>
          <w:rFonts w:eastAsia="Times New Roman" w:cs="Times New Roman"/>
          <w:lang w:val="en-US" w:eastAsia="es-ES"/>
        </w:rPr>
        <w:t>se</w:t>
      </w:r>
      <w:r w:rsidR="008A3BCA" w:rsidRPr="002A7EBC">
        <w:rPr>
          <w:rFonts w:eastAsia="Times New Roman" w:cs="Times New Roman"/>
          <w:lang w:val="en-US" w:eastAsia="es-ES"/>
        </w:rPr>
        <w:t xml:space="preserve"> </w:t>
      </w:r>
      <w:r w:rsidR="00FA4CE3">
        <w:rPr>
          <w:rFonts w:eastAsia="Times New Roman" w:cs="Times New Roman"/>
          <w:lang w:val="en-US" w:eastAsia="es-ES"/>
        </w:rPr>
        <w:t xml:space="preserve">types of </w:t>
      </w:r>
      <w:r w:rsidR="008A3BCA" w:rsidRPr="002A7EBC">
        <w:rPr>
          <w:rFonts w:eastAsia="Times New Roman" w:cs="Times New Roman"/>
          <w:lang w:val="en-US" w:eastAsia="es-ES"/>
        </w:rPr>
        <w:t>policies are not new</w:t>
      </w:r>
      <w:r w:rsidR="00176F88" w:rsidRPr="002A7EBC">
        <w:rPr>
          <w:rFonts w:eastAsia="Times New Roman" w:cs="Times New Roman"/>
          <w:lang w:val="en-US" w:eastAsia="es-ES"/>
        </w:rPr>
        <w:t xml:space="preserve"> in the EU</w:t>
      </w:r>
      <w:r w:rsidR="00FA4CE3">
        <w:rPr>
          <w:rFonts w:eastAsia="Times New Roman" w:cs="Times New Roman"/>
          <w:lang w:val="en-US" w:eastAsia="es-ES"/>
        </w:rPr>
        <w:t>:</w:t>
      </w:r>
      <w:r w:rsidR="00B2777D">
        <w:rPr>
          <w:rFonts w:eastAsia="Times New Roman" w:cs="Times New Roman"/>
          <w:lang w:val="en-US" w:eastAsia="es-ES"/>
        </w:rPr>
        <w:t xml:space="preserve"> in 1997 the EU-15 already committed</w:t>
      </w:r>
      <w:r w:rsidR="00FA4CE3">
        <w:rPr>
          <w:rFonts w:eastAsia="Times New Roman" w:cs="Times New Roman"/>
          <w:lang w:val="en-US" w:eastAsia="es-ES"/>
        </w:rPr>
        <w:t>,</w:t>
      </w:r>
      <w:r w:rsidR="00B2777D">
        <w:rPr>
          <w:rFonts w:eastAsia="Times New Roman" w:cs="Times New Roman"/>
          <w:lang w:val="en-US" w:eastAsia="es-ES"/>
        </w:rPr>
        <w:t xml:space="preserve"> within the framework of the Kyoto Protocol</w:t>
      </w:r>
      <w:r w:rsidR="00FA4CE3">
        <w:rPr>
          <w:rFonts w:eastAsia="Times New Roman" w:cs="Times New Roman"/>
          <w:lang w:val="en-US" w:eastAsia="es-ES"/>
        </w:rPr>
        <w:t>,</w:t>
      </w:r>
      <w:r w:rsidR="00B2777D">
        <w:rPr>
          <w:rFonts w:eastAsia="Times New Roman" w:cs="Times New Roman"/>
          <w:lang w:val="en-US" w:eastAsia="es-ES"/>
        </w:rPr>
        <w:t xml:space="preserve"> to reduce its greenhouse gas</w:t>
      </w:r>
      <w:r w:rsidR="00F370D1">
        <w:rPr>
          <w:rFonts w:eastAsia="Times New Roman" w:cs="Times New Roman"/>
          <w:lang w:val="en-US" w:eastAsia="es-ES"/>
        </w:rPr>
        <w:t xml:space="preserve"> </w:t>
      </w:r>
      <w:r w:rsidR="00B2777D">
        <w:rPr>
          <w:rFonts w:eastAsia="Times New Roman" w:cs="Times New Roman"/>
          <w:lang w:val="en-US" w:eastAsia="es-ES"/>
        </w:rPr>
        <w:t>emissions by 8% in the period 2008-2012 with respect the year 1990</w:t>
      </w:r>
      <w:r w:rsidR="00FA4CE3">
        <w:rPr>
          <w:rFonts w:eastAsia="Times New Roman" w:cs="Times New Roman"/>
          <w:lang w:val="en-US" w:eastAsia="es-ES"/>
        </w:rPr>
        <w:t>;</w:t>
      </w:r>
      <w:r w:rsidR="00B2777D">
        <w:rPr>
          <w:rFonts w:eastAsia="Times New Roman" w:cs="Times New Roman"/>
          <w:lang w:val="en-US" w:eastAsia="es-ES"/>
        </w:rPr>
        <w:t xml:space="preserve"> and in 2008 the </w:t>
      </w:r>
      <w:r w:rsidR="00010B5B">
        <w:rPr>
          <w:rFonts w:eastAsia="Times New Roman" w:cs="Times New Roman"/>
          <w:lang w:val="en-US" w:eastAsia="es-ES"/>
        </w:rPr>
        <w:t>EU</w:t>
      </w:r>
      <w:r w:rsidR="00B2777D" w:rsidRPr="00B2777D">
        <w:rPr>
          <w:rFonts w:eastAsia="Times New Roman" w:cs="Times New Roman"/>
          <w:lang w:val="en-US" w:eastAsia="es-ES"/>
        </w:rPr>
        <w:t xml:space="preserve"> climate and energy package</w:t>
      </w:r>
      <w:r w:rsidR="00B2777D">
        <w:rPr>
          <w:rFonts w:eastAsia="Times New Roman" w:cs="Times New Roman"/>
          <w:lang w:val="en-US" w:eastAsia="es-ES"/>
        </w:rPr>
        <w:t xml:space="preserve"> </w:t>
      </w:r>
      <w:r w:rsidR="00F370D1">
        <w:rPr>
          <w:rFonts w:eastAsia="Times New Roman" w:cs="Times New Roman"/>
          <w:lang w:val="en-US" w:eastAsia="es-ES"/>
        </w:rPr>
        <w:t xml:space="preserve">agreed a reduction of at least 20% in </w:t>
      </w:r>
      <w:r w:rsidR="00E22980">
        <w:rPr>
          <w:rFonts w:eastAsia="Times New Roman" w:cs="Times New Roman"/>
          <w:lang w:val="en-US" w:eastAsia="es-ES"/>
        </w:rPr>
        <w:t>greenhouse gas emissions</w:t>
      </w:r>
      <w:r w:rsidR="00F370D1">
        <w:rPr>
          <w:rFonts w:eastAsia="Times New Roman" w:cs="Times New Roman"/>
          <w:lang w:val="en-US" w:eastAsia="es-ES"/>
        </w:rPr>
        <w:t xml:space="preserve"> by 2020 </w:t>
      </w:r>
      <w:r w:rsidR="00FA4CE3">
        <w:rPr>
          <w:rFonts w:eastAsia="Times New Roman" w:cs="Times New Roman"/>
          <w:lang w:val="en-US" w:eastAsia="es-ES"/>
        </w:rPr>
        <w:t>with</w:t>
      </w:r>
      <w:r w:rsidR="00F370D1">
        <w:rPr>
          <w:rFonts w:eastAsia="Times New Roman" w:cs="Times New Roman"/>
          <w:lang w:val="en-US" w:eastAsia="es-ES"/>
        </w:rPr>
        <w:t xml:space="preserve"> a 20% share </w:t>
      </w:r>
      <w:r w:rsidR="00FA4CE3">
        <w:rPr>
          <w:rFonts w:eastAsia="Times New Roman" w:cs="Times New Roman"/>
          <w:lang w:val="en-US" w:eastAsia="es-ES"/>
        </w:rPr>
        <w:t>for</w:t>
      </w:r>
      <w:r w:rsidR="00F370D1" w:rsidRPr="00F370D1">
        <w:rPr>
          <w:rFonts w:eastAsia="Times New Roman" w:cs="Times New Roman"/>
          <w:lang w:val="en-US" w:eastAsia="es-ES"/>
        </w:rPr>
        <w:t xml:space="preserve"> renewable energies in energy consumption</w:t>
      </w:r>
      <w:r w:rsidR="00FA4CE3">
        <w:rPr>
          <w:rFonts w:eastAsia="Times New Roman" w:cs="Times New Roman"/>
          <w:lang w:val="en-US" w:eastAsia="es-ES"/>
        </w:rPr>
        <w:t xml:space="preserve"> by that date</w:t>
      </w:r>
      <w:r w:rsidR="00F370D1">
        <w:rPr>
          <w:rFonts w:eastAsia="Times New Roman" w:cs="Times New Roman"/>
          <w:lang w:val="en-US" w:eastAsia="es-ES"/>
        </w:rPr>
        <w:t xml:space="preserve"> </w:t>
      </w:r>
      <w:r w:rsidR="003C0622">
        <w:rPr>
          <w:rFonts w:eastAsia="Times New Roman" w:cs="Times New Roman"/>
          <w:lang w:val="en-US" w:eastAsia="es-ES"/>
        </w:rPr>
        <w:fldChar w:fldCharType="begin"/>
      </w:r>
      <w:r w:rsidR="00F370D1">
        <w:rPr>
          <w:rFonts w:eastAsia="Times New Roman" w:cs="Times New Roman"/>
          <w:lang w:val="en-US" w:eastAsia="es-ES"/>
        </w:rPr>
        <w:instrText xml:space="preserve"> ADDIN ZOTERO_ITEM CSL_CITATION {"citationID":"z6B6mv95","properties":{"formattedCitation":"(European Commission 2008b, 20)","plainCitation":"(European Commission 2008b, 20)","dontUpdate":true},"citationItems":[{"id":3679,"uris":["http://zotero.org/groups/271383/items/PCGHJIMM"],"uri":["http://zotero.org/groups/271383/items/PCGHJIMM"],"itemData":{"id":3679,"type":"report","title":"20 20 by 2020. Europe's climate change opportunity","collection-title":"Communication from the Commission to the European Parliament, the Council, the European economic and social committee of the regions","publisher":"European Commission","number":"COM/2014/30","author":[{"family":"European Commission","given":""}],"issued":{"date-parts":[["2008"]]}},"locator":"20"}],"schema":"https://github.com/citation-style-language/schema/raw/master/csl-citation.json"} </w:instrText>
      </w:r>
      <w:r w:rsidR="003C0622">
        <w:rPr>
          <w:rFonts w:eastAsia="Times New Roman" w:cs="Times New Roman"/>
          <w:lang w:val="en-US" w:eastAsia="es-ES"/>
        </w:rPr>
        <w:fldChar w:fldCharType="separate"/>
      </w:r>
      <w:r w:rsidR="00F370D1">
        <w:rPr>
          <w:rFonts w:cs="Times New Roman"/>
        </w:rPr>
        <w:t>(European Commission 2008b</w:t>
      </w:r>
      <w:r w:rsidR="00F370D1" w:rsidRPr="00F370D1">
        <w:rPr>
          <w:rFonts w:cs="Times New Roman"/>
        </w:rPr>
        <w:t>)</w:t>
      </w:r>
      <w:r w:rsidR="003C0622">
        <w:rPr>
          <w:rFonts w:eastAsia="Times New Roman" w:cs="Times New Roman"/>
          <w:lang w:val="en-US" w:eastAsia="es-ES"/>
        </w:rPr>
        <w:fldChar w:fldCharType="end"/>
      </w:r>
      <w:r w:rsidR="00B2777D">
        <w:rPr>
          <w:rFonts w:eastAsia="Times New Roman" w:cs="Times New Roman"/>
          <w:lang w:val="en-US" w:eastAsia="es-ES"/>
        </w:rPr>
        <w:t xml:space="preserve">. </w:t>
      </w:r>
      <w:r w:rsidR="00F370D1">
        <w:rPr>
          <w:rFonts w:eastAsia="Times New Roman" w:cs="Times New Roman"/>
          <w:lang w:val="en-US" w:eastAsia="es-ES"/>
        </w:rPr>
        <w:t xml:space="preserve">In parallel </w:t>
      </w:r>
      <w:r w:rsidR="00FA4CE3">
        <w:rPr>
          <w:rFonts w:eastAsia="Times New Roman" w:cs="Times New Roman"/>
          <w:lang w:val="en-US" w:eastAsia="es-ES"/>
        </w:rPr>
        <w:t xml:space="preserve">with </w:t>
      </w:r>
      <w:r w:rsidR="00F370D1">
        <w:rPr>
          <w:rFonts w:eastAsia="Times New Roman" w:cs="Times New Roman"/>
          <w:lang w:val="en-US" w:eastAsia="es-ES"/>
        </w:rPr>
        <w:t xml:space="preserve">the </w:t>
      </w:r>
      <w:r w:rsidR="00CA5261">
        <w:rPr>
          <w:rFonts w:eastAsia="Times New Roman" w:cs="Times New Roman"/>
          <w:lang w:val="en-US" w:eastAsia="es-ES"/>
        </w:rPr>
        <w:t xml:space="preserve">imposition </w:t>
      </w:r>
      <w:r w:rsidR="00F370D1">
        <w:rPr>
          <w:rFonts w:eastAsia="Times New Roman" w:cs="Times New Roman"/>
          <w:lang w:val="en-US" w:eastAsia="es-ES"/>
        </w:rPr>
        <w:t xml:space="preserve">of these objectives, </w:t>
      </w:r>
      <w:r w:rsidR="00B2777D">
        <w:rPr>
          <w:rFonts w:eastAsia="Times New Roman" w:cs="Times New Roman"/>
          <w:lang w:val="en-US" w:eastAsia="es-ES"/>
        </w:rPr>
        <w:t xml:space="preserve">different instruments </w:t>
      </w:r>
      <w:r w:rsidR="00F370D1">
        <w:rPr>
          <w:rFonts w:eastAsia="Times New Roman" w:cs="Times New Roman"/>
          <w:lang w:val="en-US" w:eastAsia="es-ES"/>
        </w:rPr>
        <w:t xml:space="preserve">have been deployed </w:t>
      </w:r>
      <w:r w:rsidR="003C0622">
        <w:rPr>
          <w:rFonts w:eastAsia="Times New Roman" w:cs="Times New Roman"/>
          <w:lang w:val="en-US" w:eastAsia="es-ES"/>
        </w:rPr>
        <w:fldChar w:fldCharType="begin"/>
      </w:r>
      <w:r w:rsidR="004E6C97">
        <w:rPr>
          <w:rFonts w:eastAsia="Times New Roman" w:cs="Times New Roman"/>
          <w:lang w:val="en-US" w:eastAsia="es-ES"/>
        </w:rPr>
        <w:instrText xml:space="preserve"> ADDIN ZOTERO_ITEM CSL_CITATION {"citationID":"lKAjV6ME","properties":{"formattedCitation":"[5]","plainCitation":"[5]"},"citationItems":[{"id":3688,"uris":["http://zotero.org/groups/271383/items/SVUUMICQ"],"uri":["http://zotero.org/groups/271383/items/SVUUMICQ"],"itemData":{"id":3688,"type":"report","title":"Country Report: The European Union. Contribution to CECILIA2050 Deliverable 1.2: Review of the existing instrument mix at EU level and in selected Member States","publisher":"University College London","publisher-place":"London, UK","event-place":"London, UK","author":[{"family":"Drummond","given":"P."}],"issued":{"date-parts":[["2013"]]}}}],"schema":"https://github.com/citation-style-language/schema/raw/master/csl-citation.json"} </w:instrText>
      </w:r>
      <w:r w:rsidR="003C0622">
        <w:rPr>
          <w:rFonts w:eastAsia="Times New Roman" w:cs="Times New Roman"/>
          <w:lang w:val="en-US" w:eastAsia="es-ES"/>
        </w:rPr>
        <w:fldChar w:fldCharType="separate"/>
      </w:r>
      <w:r w:rsidR="004E6C97" w:rsidRPr="004E6C97">
        <w:rPr>
          <w:rFonts w:cs="Times New Roman"/>
        </w:rPr>
        <w:t>[5]</w:t>
      </w:r>
      <w:r w:rsidR="003C0622">
        <w:rPr>
          <w:rFonts w:eastAsia="Times New Roman" w:cs="Times New Roman"/>
          <w:lang w:val="en-US" w:eastAsia="es-ES"/>
        </w:rPr>
        <w:fldChar w:fldCharType="end"/>
      </w:r>
      <w:r w:rsidR="00B2777D">
        <w:rPr>
          <w:rFonts w:eastAsia="Times New Roman" w:cs="Times New Roman"/>
          <w:lang w:val="en-US" w:eastAsia="es-ES"/>
        </w:rPr>
        <w:t xml:space="preserve"> such as </w:t>
      </w:r>
      <w:r w:rsidR="00AC7D3F">
        <w:rPr>
          <w:rFonts w:eastAsia="Times New Roman" w:cs="Times New Roman"/>
          <w:lang w:val="en-US" w:eastAsia="es-ES"/>
        </w:rPr>
        <w:t>f</w:t>
      </w:r>
      <w:r w:rsidR="00176F88" w:rsidRPr="002A7EBC">
        <w:rPr>
          <w:rFonts w:eastAsia="Times New Roman" w:cs="Times New Roman"/>
          <w:lang w:val="en-US" w:eastAsia="es-ES"/>
        </w:rPr>
        <w:t xml:space="preserve">eed-in tariffs to support </w:t>
      </w:r>
      <w:r w:rsidR="00AC7D3F">
        <w:rPr>
          <w:rFonts w:eastAsia="Times New Roman" w:cs="Times New Roman"/>
          <w:lang w:val="en-US" w:eastAsia="es-ES"/>
        </w:rPr>
        <w:t xml:space="preserve">the </w:t>
      </w:r>
      <w:r w:rsidR="00176F88">
        <w:rPr>
          <w:rFonts w:eastAsia="Times New Roman" w:cs="Times New Roman"/>
          <w:lang w:val="en-US" w:eastAsia="es-ES"/>
        </w:rPr>
        <w:t>development</w:t>
      </w:r>
      <w:r w:rsidR="00AC7D3F">
        <w:rPr>
          <w:rFonts w:eastAsia="Times New Roman" w:cs="Times New Roman"/>
          <w:lang w:val="en-US" w:eastAsia="es-ES"/>
        </w:rPr>
        <w:t xml:space="preserve"> of</w:t>
      </w:r>
      <w:r w:rsidR="00176F88" w:rsidRPr="002A7EBC">
        <w:rPr>
          <w:rFonts w:eastAsia="Times New Roman" w:cs="Times New Roman"/>
          <w:lang w:val="en-US" w:eastAsia="es-ES"/>
        </w:rPr>
        <w:t xml:space="preserve"> </w:t>
      </w:r>
      <w:r w:rsidR="00AC7D3F">
        <w:rPr>
          <w:rFonts w:eastAsia="Times New Roman" w:cs="Times New Roman"/>
          <w:lang w:val="en-US" w:eastAsia="es-ES"/>
        </w:rPr>
        <w:t>renewables</w:t>
      </w:r>
      <w:r w:rsidR="00F370D1">
        <w:rPr>
          <w:rFonts w:eastAsia="Times New Roman" w:cs="Times New Roman"/>
          <w:lang w:val="en-US" w:eastAsia="es-ES"/>
        </w:rPr>
        <w:t>, which</w:t>
      </w:r>
      <w:r w:rsidR="00AC7D3F">
        <w:rPr>
          <w:rFonts w:eastAsia="Times New Roman" w:cs="Times New Roman"/>
          <w:lang w:val="en-US" w:eastAsia="es-ES"/>
        </w:rPr>
        <w:t xml:space="preserve"> </w:t>
      </w:r>
      <w:r w:rsidR="00176F88">
        <w:rPr>
          <w:rFonts w:eastAsia="Times New Roman" w:cs="Times New Roman"/>
          <w:lang w:val="en-US" w:eastAsia="es-ES"/>
        </w:rPr>
        <w:t>ha</w:t>
      </w:r>
      <w:r w:rsidR="00AC7D3F">
        <w:rPr>
          <w:rFonts w:eastAsia="Times New Roman" w:cs="Times New Roman"/>
          <w:lang w:val="en-US" w:eastAsia="es-ES"/>
        </w:rPr>
        <w:t>ve</w:t>
      </w:r>
      <w:r w:rsidR="00176F88">
        <w:rPr>
          <w:rFonts w:eastAsia="Times New Roman" w:cs="Times New Roman"/>
          <w:lang w:val="en-US" w:eastAsia="es-ES"/>
        </w:rPr>
        <w:t xml:space="preserve"> been in place for </w:t>
      </w:r>
      <w:r w:rsidR="0068694A">
        <w:rPr>
          <w:rFonts w:eastAsia="Times New Roman" w:cs="Times New Roman"/>
          <w:lang w:val="en-US" w:eastAsia="es-ES"/>
        </w:rPr>
        <w:t xml:space="preserve">at least </w:t>
      </w:r>
      <w:r w:rsidR="00176F88">
        <w:rPr>
          <w:rFonts w:eastAsia="Times New Roman" w:cs="Times New Roman"/>
          <w:lang w:val="en-US" w:eastAsia="es-ES"/>
        </w:rPr>
        <w:t xml:space="preserve">two decades </w:t>
      </w:r>
      <w:r w:rsidR="003C0622" w:rsidRPr="002A7EBC">
        <w:rPr>
          <w:rFonts w:eastAsia="Times New Roman" w:cs="Times New Roman"/>
          <w:lang w:val="en-US" w:eastAsia="es-ES"/>
        </w:rPr>
        <w:fldChar w:fldCharType="begin"/>
      </w:r>
      <w:r w:rsidR="004E6C97">
        <w:rPr>
          <w:rFonts w:eastAsia="Times New Roman" w:cs="Times New Roman"/>
          <w:lang w:val="en-US" w:eastAsia="es-ES"/>
        </w:rPr>
        <w:instrText xml:space="preserve"> ADDIN ZOTERO_ITEM CSL_CITATION {"citationID":"lHSZr0RB","properties":{"formattedCitation":"[6]","plainCitation":"[6]"},"citationItems":[{"id":1728,"uris":["http://zotero.org/users/1428298/items/H5MEM2PW"],"uri":["http://zotero.org/users/1428298/items/H5MEM2PW"],"itemData":{"id":1728,"type":"article-journal","title":"Assessing the strength and effectiveness of renewable electricity feed-in tariffs in European Union countries","container-title":"Energy Policy","collection-title":"Special Section: Transition Pathways to a Low Carbon Economy","page":"385-401","volume":"52","source":"ScienceDirect","abstract":"In the last two decades, feed-in tariffs (FIT) have emerged as one of the most popular policies for supporting renewable electricity (RES-E) generation. A few studies have assessed the effectiveness of RES-E policies, but most ignore policy design features and market characteristics (e.g. electricity price and production cost) that influence policy strength. We employ 1992–2008 panel data to conduct the first econometric analysis of the effectiveness of FIT policies in promoting solar photovoltaic (PV) and onshore wind power development in 26 European Union countries. We develop a new indicator for FIT strength that captures variability in tariff size, contract duration, digression rate, and electricity price and production cost to estimate the resulting return on investment. We regress this indicator on added RES-E capacity using a fixed effects specification and find that FIT policies have driven solar PV development in the EU. However, this effect is overstated without controlling for country characteristics and is concealed without accounting for policy design. We do not find robust evidence that FIT policies have driven wind power development. Overall, we show that the interaction of policy design, electricity price, and electricity production cost is a more important determinant of RES-E development than policy enactment alone.","DOI":"10.1016/j.enpol.2012.09.046","ISSN":"0301-4215","journalAbbreviation":"Energy Policy","author":[{"family":"Jenner","given":"Steffen"},{"family":"Groba","given":"Felix"},{"family":"Indvik","given":"Joe"}],"issued":{"date-parts":[["2013",1]]}}}],"schema":"https://github.com/citation-style-language/schema/raw/master/csl-citation.json"} </w:instrText>
      </w:r>
      <w:r w:rsidR="003C0622" w:rsidRPr="002A7EBC">
        <w:rPr>
          <w:rFonts w:eastAsia="Times New Roman" w:cs="Times New Roman"/>
          <w:lang w:val="en-US" w:eastAsia="es-ES"/>
        </w:rPr>
        <w:fldChar w:fldCharType="separate"/>
      </w:r>
      <w:r w:rsidR="004E6C97" w:rsidRPr="004E6C97">
        <w:rPr>
          <w:rFonts w:cs="Times New Roman"/>
        </w:rPr>
        <w:t>[6]</w:t>
      </w:r>
      <w:r w:rsidR="003C0622" w:rsidRPr="002A7EBC">
        <w:rPr>
          <w:rFonts w:eastAsia="Times New Roman" w:cs="Times New Roman"/>
          <w:lang w:val="en-US" w:eastAsia="es-ES"/>
        </w:rPr>
        <w:fldChar w:fldCharType="end"/>
      </w:r>
      <w:r w:rsidR="00F370D1">
        <w:rPr>
          <w:rFonts w:eastAsia="Times New Roman" w:cs="Times New Roman"/>
          <w:lang w:val="en-US" w:eastAsia="es-ES"/>
        </w:rPr>
        <w:t xml:space="preserve">, </w:t>
      </w:r>
      <w:r w:rsidR="00176F88" w:rsidRPr="002A7EBC">
        <w:rPr>
          <w:rFonts w:eastAsia="Times New Roman" w:cs="Times New Roman"/>
          <w:lang w:val="en-US" w:eastAsia="es-ES"/>
        </w:rPr>
        <w:t xml:space="preserve">and </w:t>
      </w:r>
      <w:r w:rsidR="008A3BCA" w:rsidRPr="002A7EBC">
        <w:rPr>
          <w:rFonts w:eastAsia="Times New Roman" w:cs="Times New Roman"/>
          <w:lang w:val="en-US" w:eastAsia="es-ES"/>
        </w:rPr>
        <w:t>the</w:t>
      </w:r>
      <w:r w:rsidR="00A329A8" w:rsidRPr="002A7EBC">
        <w:rPr>
          <w:rFonts w:eastAsia="Times New Roman" w:cs="Times New Roman"/>
          <w:lang w:val="en-US" w:eastAsia="es-ES"/>
        </w:rPr>
        <w:t xml:space="preserve"> Emission Trading Scheme</w:t>
      </w:r>
      <w:r w:rsidR="00F370D1">
        <w:rPr>
          <w:rFonts w:eastAsia="Times New Roman" w:cs="Times New Roman"/>
          <w:lang w:val="en-US" w:eastAsia="es-ES"/>
        </w:rPr>
        <w:t>, which</w:t>
      </w:r>
      <w:r w:rsidR="00A329A8" w:rsidRPr="002A7EBC">
        <w:rPr>
          <w:rFonts w:eastAsia="Times New Roman" w:cs="Times New Roman"/>
          <w:lang w:val="en-US" w:eastAsia="es-ES"/>
        </w:rPr>
        <w:t xml:space="preserve"> </w:t>
      </w:r>
      <w:r w:rsidR="00F370D1">
        <w:rPr>
          <w:rFonts w:eastAsia="Times New Roman" w:cs="Times New Roman"/>
          <w:lang w:val="en-US" w:eastAsia="es-ES"/>
        </w:rPr>
        <w:t>was launched in</w:t>
      </w:r>
      <w:r w:rsidR="00AC7D3F">
        <w:rPr>
          <w:rFonts w:eastAsia="Times New Roman" w:cs="Times New Roman"/>
          <w:lang w:val="en-US" w:eastAsia="es-ES"/>
        </w:rPr>
        <w:t xml:space="preserve"> the year 2005</w:t>
      </w:r>
      <w:r w:rsidR="00176F88">
        <w:rPr>
          <w:rFonts w:eastAsia="Times New Roman" w:cs="Times New Roman"/>
          <w:lang w:val="en-US" w:eastAsia="es-ES"/>
        </w:rPr>
        <w:t>.</w:t>
      </w:r>
    </w:p>
    <w:p w:rsidR="00D667A2" w:rsidRDefault="00C001CE" w:rsidP="00373457">
      <w:r w:rsidRPr="00E93E22">
        <w:rPr>
          <w:rFonts w:eastAsia="Times New Roman" w:cs="Times New Roman"/>
          <w:lang w:val="en-US" w:eastAsia="es-ES"/>
        </w:rPr>
        <w:t>There has been an intense debate on the quantification of the employment effects of these policies.</w:t>
      </w:r>
      <w:r w:rsidR="0068694A">
        <w:rPr>
          <w:rFonts w:eastAsia="Times New Roman" w:cs="Times New Roman"/>
          <w:lang w:val="en-US" w:eastAsia="es-ES"/>
        </w:rPr>
        <w:t xml:space="preserve"> The literature on the employment effects associated </w:t>
      </w:r>
      <w:r w:rsidR="00CA5261">
        <w:rPr>
          <w:rFonts w:eastAsia="Times New Roman" w:cs="Times New Roman"/>
          <w:lang w:val="en-US" w:eastAsia="es-ES"/>
        </w:rPr>
        <w:t>with</w:t>
      </w:r>
      <w:r w:rsidR="0068694A">
        <w:rPr>
          <w:rFonts w:eastAsia="Times New Roman" w:cs="Times New Roman"/>
          <w:lang w:val="en-US" w:eastAsia="es-ES"/>
        </w:rPr>
        <w:t xml:space="preserve"> </w:t>
      </w:r>
      <w:r w:rsidR="00CA5261">
        <w:rPr>
          <w:rFonts w:eastAsia="Times New Roman" w:cs="Times New Roman"/>
          <w:lang w:val="en-US" w:eastAsia="es-ES"/>
        </w:rPr>
        <w:t xml:space="preserve">the </w:t>
      </w:r>
      <w:r w:rsidR="0068694A">
        <w:rPr>
          <w:rFonts w:eastAsia="Times New Roman" w:cs="Times New Roman"/>
          <w:lang w:val="en-US" w:eastAsia="es-ES"/>
        </w:rPr>
        <w:t xml:space="preserve">low-carbon </w:t>
      </w:r>
      <w:r w:rsidR="00B940F2">
        <w:rPr>
          <w:rFonts w:eastAsia="Times New Roman" w:cs="Times New Roman"/>
          <w:lang w:val="en-US" w:eastAsia="es-ES"/>
        </w:rPr>
        <w:t xml:space="preserve">transition </w:t>
      </w:r>
      <w:r w:rsidR="0068694A">
        <w:rPr>
          <w:rFonts w:eastAsia="Times New Roman" w:cs="Times New Roman"/>
          <w:lang w:val="en-US" w:eastAsia="es-ES"/>
        </w:rPr>
        <w:t>and</w:t>
      </w:r>
      <w:r w:rsidR="00B940F2">
        <w:rPr>
          <w:rFonts w:eastAsia="Times New Roman" w:cs="Times New Roman"/>
          <w:lang w:val="en-US" w:eastAsia="es-ES"/>
        </w:rPr>
        <w:t>,</w:t>
      </w:r>
      <w:r w:rsidR="0068694A">
        <w:rPr>
          <w:rFonts w:eastAsia="Times New Roman" w:cs="Times New Roman"/>
          <w:lang w:val="en-US" w:eastAsia="es-ES"/>
        </w:rPr>
        <w:t xml:space="preserve"> </w:t>
      </w:r>
      <w:r w:rsidR="0043270F">
        <w:rPr>
          <w:rFonts w:eastAsia="Times New Roman" w:cs="Times New Roman"/>
          <w:lang w:val="en-US" w:eastAsia="es-ES"/>
        </w:rPr>
        <w:t>e</w:t>
      </w:r>
      <w:r w:rsidR="0068694A">
        <w:rPr>
          <w:rFonts w:eastAsia="Times New Roman" w:cs="Times New Roman"/>
          <w:lang w:val="en-US" w:eastAsia="es-ES"/>
        </w:rPr>
        <w:t>specially</w:t>
      </w:r>
      <w:r w:rsidR="00B940F2">
        <w:rPr>
          <w:rFonts w:eastAsia="Times New Roman" w:cs="Times New Roman"/>
          <w:lang w:val="en-US" w:eastAsia="es-ES"/>
        </w:rPr>
        <w:t>,</w:t>
      </w:r>
      <w:r w:rsidR="0068694A">
        <w:rPr>
          <w:rFonts w:eastAsia="Times New Roman" w:cs="Times New Roman"/>
          <w:lang w:val="en-US" w:eastAsia="es-ES"/>
        </w:rPr>
        <w:t xml:space="preserve"> </w:t>
      </w:r>
      <w:r w:rsidR="00CA5261">
        <w:rPr>
          <w:rFonts w:eastAsia="Times New Roman" w:cs="Times New Roman"/>
          <w:lang w:val="en-US" w:eastAsia="es-ES"/>
        </w:rPr>
        <w:t>with</w:t>
      </w:r>
      <w:r w:rsidR="0068694A">
        <w:rPr>
          <w:rFonts w:eastAsia="Times New Roman" w:cs="Times New Roman"/>
          <w:lang w:val="en-US" w:eastAsia="es-ES"/>
        </w:rPr>
        <w:t xml:space="preserve"> renewable energy promotion is</w:t>
      </w:r>
      <w:r w:rsidR="00B940F2">
        <w:rPr>
          <w:rFonts w:eastAsia="Times New Roman" w:cs="Times New Roman"/>
          <w:lang w:val="en-US" w:eastAsia="es-ES"/>
        </w:rPr>
        <w:t xml:space="preserve"> abundant </w:t>
      </w:r>
      <w:r w:rsidR="003C0622">
        <w:rPr>
          <w:rFonts w:eastAsia="Times New Roman" w:cs="Times New Roman"/>
          <w:lang w:val="en-US" w:eastAsia="es-ES"/>
        </w:rPr>
        <w:fldChar w:fldCharType="begin"/>
      </w:r>
      <w:r w:rsidR="004E6C97">
        <w:rPr>
          <w:rFonts w:eastAsia="Times New Roman" w:cs="Times New Roman"/>
          <w:lang w:val="en-US" w:eastAsia="es-ES"/>
        </w:rPr>
        <w:instrText xml:space="preserve"> ADDIN ZOTERO_ITEM CSL_CITATION {"citationID":"bJnQaZy0","properties":{"formattedCitation":"[7]","plainCitation":"[7]"},"citationItems":[{"id":3223,"uris":["http://zotero.org/groups/271383/items/FBNNQS89"],"uri":["http://zotero.org/groups/271383/items/FBNNQS89"],"itemData":{"id":3223,"type":"article-journal","title":"Employment factors for wind and solar energy technologies: A literature review","container-title":"Renewable and Sustainable Energy Reviews","page":"160-172","volume":"45","source":"ScienceDirect","abstract":"In this paper we present an up-to-date literature review on employment opportunities associated with the deployment of renewable energy technology. We identified approximately 70 studies and data sources published over the past decade that report analysed or observed employment impacts of renewable energy growth. These publications cover many different countries and several technology options, and present widely varying results derived from distinct methodological approaches. Our first overall conclusion is that there is clear lack of authenticity of findings in this literature, since recursive referencing abounds and relatively few studies yield truly original research. When we omit non-authentic analyses, as well as those that aggregate results in a way that does not allow us to calculate ‘employment factors’ (defined as the number of jobs or amount of work generated per unit of electricity production capacity), the total list of references is brought to 31 independent items. Of these, only 14 references provide separate estimates of the employment factors for the stages of manufacturing and installation, respectively, as opposed to employment factors for these two activities combined. A total of 23 items provide values for operation and maintenance (O&amp;amp;M) employment factors. We observe significant uncertainties in quoted figures for job creation, both across and within publications.","DOI":"10.1016/j.rser.2015.01.001","ISSN":"1364-0321","shortTitle":"Employment factors for wind and solar energy technologies","journalAbbreviation":"Renewable and Sustainable Energy Reviews","author":[{"family":"Cameron","given":"Lachlan"},{"family":"Zwaan","given":"Bob","non-dropping-particle":"van der"}],"issued":{"date-parts":[["2015",5]]}}}],"schema":"https://github.com/citation-style-language/schema/raw/master/csl-citation.json"} </w:instrText>
      </w:r>
      <w:r w:rsidR="003C0622">
        <w:rPr>
          <w:rFonts w:eastAsia="Times New Roman" w:cs="Times New Roman"/>
          <w:lang w:val="en-US" w:eastAsia="es-ES"/>
        </w:rPr>
        <w:fldChar w:fldCharType="separate"/>
      </w:r>
      <w:r w:rsidR="004E6C97" w:rsidRPr="004E6C97">
        <w:rPr>
          <w:rFonts w:cs="Times New Roman"/>
        </w:rPr>
        <w:t>[7]</w:t>
      </w:r>
      <w:r w:rsidR="003C0622">
        <w:rPr>
          <w:rFonts w:eastAsia="Times New Roman" w:cs="Times New Roman"/>
          <w:lang w:val="en-US" w:eastAsia="es-ES"/>
        </w:rPr>
        <w:fldChar w:fldCharType="end"/>
      </w:r>
      <w:r w:rsidR="00010B5B">
        <w:rPr>
          <w:rFonts w:eastAsia="Times New Roman" w:cs="Times New Roman"/>
          <w:lang w:val="en-US" w:eastAsia="es-ES"/>
        </w:rPr>
        <w:t>,</w:t>
      </w:r>
      <w:r w:rsidR="00B940F2">
        <w:rPr>
          <w:rFonts w:eastAsia="Times New Roman" w:cs="Times New Roman"/>
          <w:lang w:val="en-US" w:eastAsia="es-ES"/>
        </w:rPr>
        <w:t xml:space="preserve"> </w:t>
      </w:r>
      <w:r w:rsidR="003C0622">
        <w:rPr>
          <w:rFonts w:eastAsia="Times New Roman" w:cs="Times New Roman"/>
          <w:lang w:val="en-US" w:eastAsia="es-ES"/>
        </w:rPr>
        <w:fldChar w:fldCharType="begin"/>
      </w:r>
      <w:r w:rsidR="004E6C97">
        <w:rPr>
          <w:rFonts w:eastAsia="Times New Roman" w:cs="Times New Roman"/>
          <w:lang w:val="en-US" w:eastAsia="es-ES"/>
        </w:rPr>
        <w:instrText xml:space="preserve"> ADDIN ZOTERO_ITEM CSL_CITATION {"citationID":"HTiJu0sN","properties":{"formattedCitation":"[8]","plainCitation":"[8]"},"citationItems":[{"id":1711,"uris":["http://zotero.org/users/1428298/items/8SXB3EI8"],"uri":["http://zotero.org/users/1428298/items/8SXB3EI8"],"itemData":{"id":1711,"type":"article-journal","title":"Employment effects of renewable electricity deployment. A novel methodology","container-title":"Energy","page":"940-951","volume":"91","source":"ScienceDirect","abstract":"There has been an intense debate on the quantification of the employment effects of renewable electricity deployment in the European Union. However, most studies carried out in the past have focused on specific countries and those with a European-wide scope have not provided disaggregated results per country. Furthermore, differences between importing and exporting countries have not been considered. This paper aims to cover those gaps. It presents a novel methodology which integrates the aforementioned considerations in order to calculate the employment effects of renewable energy deployment. The methodology is useful to calculate dynamic employment factors (considering technology learning effects) and the specific capacity (based on trade effects) to which these factors should be applied. It is applied to three renewable energy technologies – photovoltaics, wind on-shore and wind off-shore- in the European Union Member States in the 2008–2012 period. The results using this novel methodology broadly confirm the figures provided in other contributions in the literature. The proposed methodology can be instrumental in assessing the socio-economic effects of policies and investment programmes targeting the deployment of renewable energy technologies.","DOI":"10.1016/j.energy.2015.08.061","ISSN":"0360-5442","journalAbbreviation":"Energy","author":[{"family":"Ortega","given":"Margarita"},{"family":"Río","given":"Pablo","dropping-particle":"del"},{"family":"Ruiz","given":"Pablo"},{"family":"Thiel","given":"Christian"}],"issued":{"date-parts":[["2015",11]]}}}],"schema":"https://github.com/citation-style-language/schema/raw/master/csl-citation.json"} </w:instrText>
      </w:r>
      <w:r w:rsidR="003C0622">
        <w:rPr>
          <w:rFonts w:eastAsia="Times New Roman" w:cs="Times New Roman"/>
          <w:lang w:val="en-US" w:eastAsia="es-ES"/>
        </w:rPr>
        <w:fldChar w:fldCharType="separate"/>
      </w:r>
      <w:r w:rsidR="004E6C97" w:rsidRPr="004E6C97">
        <w:rPr>
          <w:rFonts w:cs="Times New Roman"/>
        </w:rPr>
        <w:t>[8]</w:t>
      </w:r>
      <w:r w:rsidR="003C0622">
        <w:rPr>
          <w:rFonts w:eastAsia="Times New Roman" w:cs="Times New Roman"/>
          <w:lang w:val="en-US" w:eastAsia="es-ES"/>
        </w:rPr>
        <w:fldChar w:fldCharType="end"/>
      </w:r>
      <w:r w:rsidR="00010B5B">
        <w:rPr>
          <w:rFonts w:eastAsia="Times New Roman" w:cs="Times New Roman"/>
          <w:lang w:val="en-US" w:eastAsia="es-ES"/>
        </w:rPr>
        <w:t>.</w:t>
      </w:r>
      <w:r w:rsidR="00FD20C7">
        <w:rPr>
          <w:rFonts w:eastAsia="Times New Roman" w:cs="Times New Roman"/>
          <w:lang w:val="en-US" w:eastAsia="es-ES"/>
        </w:rPr>
        <w:t xml:space="preserve"> </w:t>
      </w:r>
      <w:r w:rsidR="00FA4CE3">
        <w:rPr>
          <w:rFonts w:eastAsia="Times New Roman" w:cs="Times New Roman"/>
          <w:lang w:val="en-US" w:eastAsia="es-ES"/>
        </w:rPr>
        <w:t>One e</w:t>
      </w:r>
      <w:proofErr w:type="spellStart"/>
      <w:r w:rsidR="00010B5B">
        <w:t>stimate</w:t>
      </w:r>
      <w:proofErr w:type="spellEnd"/>
      <w:r w:rsidR="00010B5B">
        <w:t xml:space="preserve"> </w:t>
      </w:r>
      <w:r w:rsidR="003C0622" w:rsidRPr="00927AA5">
        <w:fldChar w:fldCharType="begin"/>
      </w:r>
      <w:r w:rsidR="00D36FFD">
        <w:instrText xml:space="preserve"> ADDIN ZOTERO_ITEM CSL_CITATION {"citationID":"r8ikv91d9","properties":{"formattedCitation":"[9]","plainCitation":"[9]"},"citationItems":[{"id":3220,"uris":["http://zotero.org/groups/271383/items/4I6DEDEH"],"uri":["http://zotero.org/groups/271383/items/4I6DEDEH"],"itemData":{"id":3220,"type":"article","title":"EmployRES - The impact of renewable energy policy on economic growth and employment in the European Union, Final Report","publisher":"European Commission, DG Energy and Transport","author":[{"family":"Ragwitz","given":"M."},{"family":"Schade","given":"W."},{"family":"Breischopf","given":"B."},{"family":"Walz","given":"R."},{"family":"Helfrich","given":"N."},{"family":"Rathmann","given":"M."},{"family":"Resch","given":"G."},{"family":"Panzer","given":"C."},{"family":"Faber","given":"T."},{"family":"Haas","given":"R."},{"family":"Nathani","given":"C."},{"family":"Holzhey","given":"M."},{"family":"Konstantinaviciute","given":"I."},{"family":"Zagame","given":"P."},{"family":"Fougeyrollas","given":"A."},{"family":"Le Hir","given":"B."}],"issued":{"date-parts":[["2009"]]}}}],"schema":"https://github.com/citation-style-language/schema/raw/master/csl-citation.json"} </w:instrText>
      </w:r>
      <w:r w:rsidR="003C0622" w:rsidRPr="00927AA5">
        <w:fldChar w:fldCharType="separate"/>
      </w:r>
      <w:r w:rsidR="00D36FFD" w:rsidRPr="00D36FFD">
        <w:rPr>
          <w:rFonts w:cs="Times New Roman"/>
        </w:rPr>
        <w:t>[9]</w:t>
      </w:r>
      <w:r w:rsidR="003C0622" w:rsidRPr="00927AA5">
        <w:fldChar w:fldCharType="end"/>
      </w:r>
      <w:r w:rsidR="00927AA5">
        <w:t xml:space="preserve"> </w:t>
      </w:r>
      <w:r w:rsidR="00010B5B">
        <w:t>suggest</w:t>
      </w:r>
      <w:r w:rsidR="0078717E" w:rsidRPr="004F03CB">
        <w:t xml:space="preserve"> that policies supporting renewable sources of energy to meet the 20</w:t>
      </w:r>
      <w:r w:rsidR="004F4508">
        <w:t>%</w:t>
      </w:r>
      <w:r w:rsidR="0078717E" w:rsidRPr="004F03CB">
        <w:t xml:space="preserve"> </w:t>
      </w:r>
      <w:r w:rsidR="00FA4CE3">
        <w:t xml:space="preserve">target </w:t>
      </w:r>
      <w:r w:rsidR="0078717E" w:rsidRPr="004F03CB">
        <w:t xml:space="preserve">by 2020 would provide </w:t>
      </w:r>
      <w:r w:rsidR="004315BF" w:rsidRPr="00FF013B">
        <w:t>410,000</w:t>
      </w:r>
      <w:r w:rsidR="004B43E0">
        <w:t xml:space="preserve"> additional </w:t>
      </w:r>
      <w:r w:rsidR="004315BF" w:rsidRPr="00FF013B">
        <w:t>jobs in the EU.</w:t>
      </w:r>
      <w:r w:rsidR="004315BF">
        <w:t xml:space="preserve"> </w:t>
      </w:r>
      <w:r w:rsidR="0078717E" w:rsidRPr="004F03CB">
        <w:t xml:space="preserve">Another study by Cambridge Econometrics </w:t>
      </w:r>
      <w:r w:rsidR="003C0622">
        <w:fldChar w:fldCharType="begin"/>
      </w:r>
      <w:r w:rsidR="00D36FFD">
        <w:instrText xml:space="preserve"> ADDIN ZOTERO_ITEM CSL_CITATION {"citationID":"1vjksq58pi","properties":{"formattedCitation":"[10]","plainCitation":"[10]"},"citationItems":[{"id":3214,"uris":["http://zotero.org/groups/271383/items/HX9JE4FJ"],"uri":["http://zotero.org/groups/271383/items/HX9JE4FJ"],"itemData":{"id":3214,"type":"article","title":"Employment effects of selected scenarios from the energy roadmap 2050. Final report for the European Commission (DG Energy)","publisher":"Cambridge Econometrics","author":[{"family":"Cambridge Econometrics","given":""}],"issued":{"date-parts":[["2013"]]}}}],"schema":"https://github.com/citation-style-language/schema/raw/master/csl-citation.json"} </w:instrText>
      </w:r>
      <w:r w:rsidR="003C0622">
        <w:fldChar w:fldCharType="separate"/>
      </w:r>
      <w:r w:rsidR="00D36FFD" w:rsidRPr="00D36FFD">
        <w:rPr>
          <w:rFonts w:cs="Times New Roman"/>
        </w:rPr>
        <w:t>[10]</w:t>
      </w:r>
      <w:r w:rsidR="003C0622">
        <w:fldChar w:fldCharType="end"/>
      </w:r>
      <w:r w:rsidR="0078717E" w:rsidRPr="004F03CB">
        <w:t xml:space="preserve"> estimates that the 2050 Road </w:t>
      </w:r>
      <w:r w:rsidR="0078717E" w:rsidRPr="00ED741A">
        <w:t>Map</w:t>
      </w:r>
      <w:r w:rsidR="00ED741A" w:rsidRPr="00ED741A">
        <w:t xml:space="preserve"> </w:t>
      </w:r>
      <w:r w:rsidR="003C0622" w:rsidRPr="00ED741A">
        <w:fldChar w:fldCharType="begin"/>
      </w:r>
      <w:r w:rsidR="00D36FFD">
        <w:instrText xml:space="preserve"> ADDIN ZOTERO_ITEM CSL_CITATION {"citationID":"s26o0hp75","properties":{"formattedCitation":"[11]","plainCitation":"[11]"},"citationItems":[{"id":3216,"uris":["http://zotero.org/groups/271383/items/9A43ERU5"],"uri":["http://zotero.org/groups/271383/items/9A43ERU5"],"itemData":{"id":3216,"type":"article","title":"A Roadmap for moving to a competitive low carbon economy in 2050. Communication from the Commission to the European Parliament, the Council, the European Economic and Social Committee and the Committee of the Regions. COM(2011) 112 final","author":[{"family":"European Commission","given":""}],"issued":{"date-parts":[["2011"]]}}}],"schema":"https://github.com/citation-style-language/schema/raw/master/csl-citation.json"} </w:instrText>
      </w:r>
      <w:r w:rsidR="003C0622" w:rsidRPr="00ED741A">
        <w:fldChar w:fldCharType="separate"/>
      </w:r>
      <w:r w:rsidR="00D36FFD" w:rsidRPr="00D36FFD">
        <w:rPr>
          <w:rFonts w:cs="Times New Roman"/>
        </w:rPr>
        <w:t>[11]</w:t>
      </w:r>
      <w:r w:rsidR="003C0622" w:rsidRPr="00ED741A">
        <w:fldChar w:fldCharType="end"/>
      </w:r>
      <w:r w:rsidR="001468AE" w:rsidRPr="004F03CB">
        <w:t xml:space="preserve">, </w:t>
      </w:r>
      <w:r w:rsidR="001468AE" w:rsidRPr="00FF013B">
        <w:t>which requires a reduction in CO</w:t>
      </w:r>
      <w:r w:rsidR="001468AE" w:rsidRPr="00E05213">
        <w:rPr>
          <w:vertAlign w:val="subscript"/>
        </w:rPr>
        <w:t>2</w:t>
      </w:r>
      <w:r w:rsidR="001468AE" w:rsidRPr="00FF013B">
        <w:t xml:space="preserve"> emissions of 8</w:t>
      </w:r>
      <w:r w:rsidR="001D2C83">
        <w:t>0-90</w:t>
      </w:r>
      <w:r w:rsidR="001468AE" w:rsidRPr="00FF013B">
        <w:t>% from 1990 levels</w:t>
      </w:r>
      <w:r w:rsidR="002E62E3">
        <w:t>,</w:t>
      </w:r>
      <w:r w:rsidR="001468AE" w:rsidRPr="00FF013B">
        <w:t xml:space="preserve"> would result</w:t>
      </w:r>
      <w:r w:rsidR="00116DFD" w:rsidRPr="00FF013B">
        <w:t xml:space="preserve"> in an increase in </w:t>
      </w:r>
      <w:r w:rsidR="004F4508">
        <w:t>employment ranging from 0 to 1.5%</w:t>
      </w:r>
      <w:r w:rsidR="001468AE" w:rsidRPr="00FF013B">
        <w:t>.</w:t>
      </w:r>
      <w:r w:rsidR="008913CC" w:rsidRPr="00FF013B">
        <w:t xml:space="preserve"> </w:t>
      </w:r>
      <w:r w:rsidR="00116DFD" w:rsidRPr="00FF013B">
        <w:t>S</w:t>
      </w:r>
      <w:r w:rsidR="00C50551" w:rsidRPr="00FF013B">
        <w:t xml:space="preserve">imilar positive results emerge </w:t>
      </w:r>
      <w:r w:rsidR="00C50551" w:rsidRPr="004B43E0">
        <w:t xml:space="preserve">from more local studies in Europe </w:t>
      </w:r>
      <w:r w:rsidR="003C0622">
        <w:fldChar w:fldCharType="begin"/>
      </w:r>
      <w:r w:rsidR="00D36FFD">
        <w:instrText xml:space="preserve"> ADDIN ZOTERO_ITEM CSL_CITATION {"citationID":"Gru7pvYV","properties":{"formattedCitation":"[12]","plainCitation":"[12]"},"citationItems":[{"id":3217,"uris":["http://zotero.org/groups/271383/items/4HFP92H2"],"uri":["http://zotero.org/groups/271383/items/4HFP92H2"],"itemData":{"id":3217,"type":"article-journal","title":"The effect of renewable energy on employment. The case of Asturias (Spain)","container-title":"Renewable and Sustainable Energy Reviews","page":"732-751","volume":"12","issue":"3","source":"ScienceDirect","abstract":"Several changes are taking place in the energy sector as a result of the development of renewable energies and the implementation of new clean technologies.\n\nThe use of renewable energies offers the opportunity to diminish energy dependence, reduce the emission of CO2 and create new employment. The involvement of local agents is highly important for the future development in this field, especially in regions whose industrial mix was based on traditional energy sources. Since this is the case in the region of Asturias (Spain), in this article we focus on the expectations of employment generated by renewable energies in Asturias during the period 2006–2010. More specifically we propose ratios of job per unit of installed energy power based on the available regional information in order to forecast energy employment in Asturias. With this aim three alternative scenarios are considered according to a range of possible future renewable energy pathways, leading to baseline, optimistic and pessimistic forecasts.\n\nOnce these forecasts are computed we also analyse the emergent professional profiles and required skills related to the new jobs generated in the installation, operation and maintenance of the different renewable energy systems.","DOI":"10.1016/j.rser.2006.10.011","ISSN":"1364-0321","journalAbbreviation":"Renewable and Sustainable Energy Reviews","author":[{"family":"Moreno","given":"Blanca"},{"family":"López","given":"Ana Jesús"}],"issued":{"date-parts":[["2008",4]]}}}],"schema":"https://github.com/citation-style-language/schema/raw/master/csl-citation.json"} </w:instrText>
      </w:r>
      <w:r w:rsidR="003C0622">
        <w:fldChar w:fldCharType="separate"/>
      </w:r>
      <w:r w:rsidR="00D36FFD" w:rsidRPr="00D36FFD">
        <w:rPr>
          <w:rFonts w:cs="Times New Roman"/>
        </w:rPr>
        <w:t>[12]</w:t>
      </w:r>
      <w:r w:rsidR="003C0622">
        <w:fldChar w:fldCharType="end"/>
      </w:r>
      <w:r w:rsidR="003C0622" w:rsidRPr="004B43E0">
        <w:fldChar w:fldCharType="begin"/>
      </w:r>
      <w:r w:rsidR="00D36FFD">
        <w:instrText xml:space="preserve"> ADDIN ZOTERO_ITEM CSL_CITATION {"citationID":"1hmo773una","properties":{"formattedCitation":"[13]","plainCitation":"[13]","dontUpdate":true},"citationItems":[{"id":3217,"uris":["http://zotero.org/groups/271383/items/4HFP92H2"],"uri":["http://zotero.org/groups/271383/items/4HFP92H2"],"itemData":{"id":3217,"type":"article-journal","title":"The effect of renewable energy on employment. The case of Asturias (Spain)","container-title":"Renewable and Sustainable Energy Reviews","page":"732-751","volume":"12","issue":"3","source":"ScienceDirect","abstract":"Several changes are taking place in the energy sector as a result of the development of renewable energies and the implementation of new clean technologies.\n\nThe use of renewable energies offers the opportunity to diminish energy dependence, reduce the emission of CO2 and create new employment. The involvement of local agents is highly important for the future development in this field, especially in regions whose industrial mix was based on traditional energy sources. Since this is the case in the region of Asturias (Spain), in this article we focus on the expectations of employment generated by renewable energies in Asturias during the period 2006–2010. More specifically we propose ratios of job per unit of installed energy power based on the available regional information in order to forecast energy employment in Asturias. With this aim three alternative scenarios are considered according to a range of possible future renewable energy pathways, leading to baseline, optimistic and pessimistic forecasts.\n\nOnce these forecasts are computed we also analyse the emergent professional profiles and required skills related to the new jobs generated in the installation, operation and maintenance of the different renewable energy systems.","DOI":"10.1016/j.rser.2006.10.011","ISSN":"1364-0321","journalAbbreviation":"Renewable and Sustainable Energy Reviews","author":[{"family":"Moreno","given":"Blanca"},{"family":"López","given":"Ana Jesús"}],"issued":{"date-parts":[["2008",4]]}}}],"schema":"https://github.com/citation-style-language/schema/raw/master/csl-citation.json"} </w:instrText>
      </w:r>
      <w:r w:rsidR="003C0622" w:rsidRPr="004B43E0">
        <w:fldChar w:fldCharType="end"/>
      </w:r>
      <w:r w:rsidR="004315BF" w:rsidRPr="004B43E0">
        <w:t>.</w:t>
      </w:r>
      <w:r w:rsidR="00193D70" w:rsidRPr="004B43E0">
        <w:t xml:space="preserve"> They find slightly higher employment in </w:t>
      </w:r>
      <w:r w:rsidR="004F4508">
        <w:t>a</w:t>
      </w:r>
      <w:r w:rsidR="00193D70" w:rsidRPr="004B43E0">
        <w:t xml:space="preserve"> scenario</w:t>
      </w:r>
      <w:r w:rsidR="00010B5B">
        <w:t xml:space="preserve"> with</w:t>
      </w:r>
      <w:r w:rsidR="00193D70" w:rsidRPr="004B43E0">
        <w:t xml:space="preserve"> more renewables and less fossil fuel energy than the base case</w:t>
      </w:r>
      <w:r w:rsidR="00FF013B" w:rsidRPr="004B43E0">
        <w:t>.</w:t>
      </w:r>
      <w:r w:rsidR="004315BF" w:rsidRPr="004B43E0">
        <w:t xml:space="preserve"> </w:t>
      </w:r>
      <w:r w:rsidR="002E4370" w:rsidRPr="004B43E0">
        <w:t xml:space="preserve">Other studies assessing the potential employment impacts of </w:t>
      </w:r>
      <w:r w:rsidR="00207458" w:rsidRPr="004B43E0">
        <w:t>renewables</w:t>
      </w:r>
      <w:r w:rsidR="002E4370" w:rsidRPr="004B43E0">
        <w:t xml:space="preserve"> are</w:t>
      </w:r>
      <w:r w:rsidR="00010B5B" w:rsidRPr="00010B5B">
        <w:t xml:space="preserve"> </w:t>
      </w:r>
      <w:r w:rsidR="003C0622" w:rsidRPr="004B43E0">
        <w:fldChar w:fldCharType="begin"/>
      </w:r>
      <w:r w:rsidR="00010B5B">
        <w:instrText xml:space="preserve"> ADDIN ZOTERO_ITEM CSL_CITATION {"citationID":"1gum4b9sv","properties":{"formattedCitation":"[13]","plainCitation":"[13]"},"citationItems":[{"id":3221,"uris":["http://zotero.org/groups/271383/items/MIVN867B"],"uri":["http://zotero.org/groups/271383/items/MIVN867B"],"itemData":{"id":3221,"type":"article-journal","title":"Putting renewables and energy efficiency to work: How many jobs can the clean energy industry generate in the US?","container-title":"Energy Policy","page":"919-931","volume":"38","issue":"2","source":"ScienceDirect","abstract":"An analytical job creation model for the US power sector from 2009 to 2030 is presented. The model synthesizes data from 15 job studies covering renewable energy (RE), energy efficiency (EE), carbon capture and storage (CCS) and nuclear power. The paper employs a consistent methodology of normalizing job data to average employment per unit energy produced over plant lifetime. Job losses in the coal and natural gas industry are modeled to project net employment impacts. Benefits and drawbacks of the methodology are assessed and the resulting model is used for job projections under various renewable portfolio standards (RPS), EE, and low carbon energy scenarios We find that all non-fossil fuel technologies (renewable energy, EE, low carbon) create more jobs per unit energy than coal and natural gas. Aggressive EE measures combined with a 30% RPS target in 2030 can generate over 4 million full-time-equivalent job-years by 2030 while increasing nuclear power to 25% and CCS to 10% of overall generation in 2030 can yield an additional 500,000 job-years.","DOI":"10.1016/j.enpol.2009.10.044","ISSN":"0301-4215","shortTitle":"Putting renewables and energy efficiency to work","journalAbbreviation":"Energy Policy","author":[{"family":"Wei","given":"Max"},{"family":"Patadia","given":"Shana"},{"family":"Kammen","given":"Daniel M."}],"issued":{"date-parts":[["2010",2]]}}}],"schema":"https://github.com/citation-style-language/schema/raw/master/csl-citation.json"} </w:instrText>
      </w:r>
      <w:r w:rsidR="003C0622" w:rsidRPr="004B43E0">
        <w:fldChar w:fldCharType="separate"/>
      </w:r>
      <w:r w:rsidR="00010B5B" w:rsidRPr="00D36FFD">
        <w:rPr>
          <w:rFonts w:cs="Times New Roman"/>
        </w:rPr>
        <w:t>[13]</w:t>
      </w:r>
      <w:r w:rsidR="003C0622" w:rsidRPr="004B43E0">
        <w:fldChar w:fldCharType="end"/>
      </w:r>
      <w:r w:rsidR="00010B5B" w:rsidRPr="004B43E0">
        <w:t xml:space="preserve"> </w:t>
      </w:r>
      <w:r w:rsidR="00373457">
        <w:t xml:space="preserve"> </w:t>
      </w:r>
      <w:r w:rsidR="00010B5B">
        <w:t xml:space="preserve">for </w:t>
      </w:r>
      <w:r w:rsidR="00010B5B" w:rsidRPr="004B43E0">
        <w:t>US</w:t>
      </w:r>
      <w:r w:rsidR="00010B5B">
        <w:t>,</w:t>
      </w:r>
      <w:r w:rsidR="00010B5B" w:rsidRPr="004B43E0">
        <w:t xml:space="preserve"> </w:t>
      </w:r>
      <w:r w:rsidR="003C0622">
        <w:fldChar w:fldCharType="begin"/>
      </w:r>
      <w:r w:rsidR="00D36FFD">
        <w:instrText xml:space="preserve"> ADDIN ZOTERO_ITEM CSL_CITATION {"citationID":"MCUD0Y1o","properties":{"formattedCitation":"[14]","plainCitation":"[14]"},"citationItems":[{"id":3239,"uris":["http://zotero.org/groups/271383/items/NJWI6ZEB"],"uri":["http://zotero.org/groups/271383/items/NJWI6ZEB"],"itemData":{"id":3239,"type":"article-journal","title":"Distributional employment impacts of renewable and new energy–A case study of China","container-title":"Renewable and Sustainable Energy Reviews","page":"1155-1163","volume":"39","source":"ScienceDirect","abstract":"The main goal of this paper is to argue for the necessity and significance of studying the distributional employment impacts of renewable and new energy development (RNE). Based on the comprehensive review of the methodology and conclusions of existing literatures, this paper builds up an extended input–output model to study RNE’s distributional employment impacts on gender and personnel structure. The case study of China׳s power sector in this paper affirmed earlier doubts that RNE development will indeed aggravate the gender inequality problem and add to the level of mismatch between the structure of labor demand and supply, causing structural unemployment problems. The quantitative analysis in this paper outlined here implies that from 2011 to 2020 the development of RNE will bring about 7 million employment gains, but only 81.8% of which can be realized due to the mismatch problem. The study of China may alert other countries to be less-optimistic about RNE’s employment impacts and reaffirm the need to carry out the distributional employment impacts analysis. This paper concludes with policy suggestions such as providing suitable training and equal promotion opportunities for women, offering courses and vocational trainings to RNE-related majors, in order to reduce the structural unemployment problem and further speed up the development of RNE.","DOI":"10.1016/j.rser.2014.07.136","ISSN":"1364-0321","journalAbbreviation":"Renewable and Sustainable Energy Reviews","author":[{"family":"Cai","given":"Wenjia"},{"family":"Mu","given":"Yaqian"},{"family":"Wang","given":"Can"},{"family":"Chen","given":"Jining"}],"issued":{"date-parts":[["2014",11]]}}}],"schema":"https://github.com/citation-style-language/schema/raw/master/csl-citation.json"} </w:instrText>
      </w:r>
      <w:r w:rsidR="003C0622">
        <w:fldChar w:fldCharType="separate"/>
      </w:r>
      <w:r w:rsidR="00D36FFD" w:rsidRPr="00D36FFD">
        <w:rPr>
          <w:rFonts w:cs="Times New Roman"/>
        </w:rPr>
        <w:t>[14]</w:t>
      </w:r>
      <w:r w:rsidR="003C0622">
        <w:fldChar w:fldCharType="end"/>
      </w:r>
      <w:r w:rsidR="00373457">
        <w:t xml:space="preserve"> </w:t>
      </w:r>
      <w:r w:rsidR="002E4370" w:rsidRPr="004B43E0">
        <w:t>for China,</w:t>
      </w:r>
      <w:r w:rsidR="00373457">
        <w:t xml:space="preserve"> </w:t>
      </w:r>
      <w:r w:rsidR="003C0622">
        <w:fldChar w:fldCharType="begin"/>
      </w:r>
      <w:r w:rsidR="00D36FFD">
        <w:instrText xml:space="preserve"> ADDIN ZOTERO_ITEM CSL_CITATION {"citationID":"A6dIcmNf","properties":{"formattedCitation":"[15]","plainCitation":"[15]"},"citationItems":[{"id":3227,"uris":["http://zotero.org/groups/271383/items/VDV8CNP4"],"uri":["http://zotero.org/groups/271383/items/VDV8CNP4"],"itemData":{"id":3227,"type":"article-journal","title":"Renewable energy and employment in Germany","container-title":"Energy Policy","page":"108-117","volume":"36","issue":"1","source":"ScienceDirect","abstract":"The positive impacts of an increasing share of renewable energy on the mitigation of climate change as well as on the decrease of the dependency of energy imports are indisputable. However, one persistent problem for the German economy has been its high level of unemployment in the recent past. Therefore, any policy strategy will be measured also by its net impact on the labor market. The paper describes the results of a study that models this impact and is novel within three respects: firstly, an Input–Output-Vector for the renewable energy sector was developed based on the results of more than 1000 interviews with an extensive questionnaire, secondly gross and net effect of two different policy scenarios for Germany until 2030 were calculated and thirdly the approach varies from earlier studies by its explicit modeling of export and foreign trade effects.","DOI":"10.1016/j.enpol.2007.09.004","ISSN":"0301-4215","journalAbbreviation":"Energy Policy","author":[{"family":"Lehr","given":"Ulrike"},{"family":"Nitsch","given":"Joachim"},{"family":"Kratzat","given":"Marlene"},{"family":"Lutz","given":"Christian"},{"family":"Edler","given":"Dietmar"}],"issued":{"date-parts":[["2008",1]]}}}],"schema":"https://github.com/citation-style-language/schema/raw/master/csl-citation.json"} </w:instrText>
      </w:r>
      <w:r w:rsidR="003C0622">
        <w:fldChar w:fldCharType="separate"/>
      </w:r>
      <w:r w:rsidR="00D36FFD" w:rsidRPr="00D36FFD">
        <w:rPr>
          <w:rFonts w:cs="Times New Roman"/>
        </w:rPr>
        <w:t>[15]</w:t>
      </w:r>
      <w:r w:rsidR="003C0622">
        <w:fldChar w:fldCharType="end"/>
      </w:r>
      <w:r w:rsidR="002E4370" w:rsidRPr="004B43E0">
        <w:t xml:space="preserve"> for Germany, or</w:t>
      </w:r>
      <w:r w:rsidR="004B43E0">
        <w:t xml:space="preserve"> </w:t>
      </w:r>
      <w:r w:rsidR="003C0622">
        <w:fldChar w:fldCharType="begin"/>
      </w:r>
      <w:r w:rsidR="00D36FFD">
        <w:instrText xml:space="preserve"> ADDIN ZOTERO_ITEM CSL_CITATION {"citationID":"5PUCSsd2","properties":{"formattedCitation":"[16]","plainCitation":"[16]"},"citationItems":[{"id":3237,"uris":["http://zotero.org/groups/271383/items/7TCZM9A4"],"uri":["http://zotero.org/groups/271383/items/7TCZM9A4"],"itemData":{"id":3237,"type":"article-journal","title":"The impact of clean energy investments on the Greek economy: An input–output analysis (2010–2020)","container-title":"Energy Policy","page":"263-275","volume":"57","source":"ScienceDirect","abstract":"The aim of this paper is twofold: first, to calculate the “green” energy investments, by industrial sector, that Greece would need in order to satisfy a number of energy and environmental targets adopted in the context of the European Commission’s energy and climate change package; and second, to calculate the macro-economic impacts of these “green” investments on production and employment in the Greek economy. To this end, the input–output analysis has been exploited for estimating the direct, indirect and induced macroeconomic effects associated with the implementation of selected energy conservation measures, the promotion of renewable energy technologies, etc. Our findings show that the required investments would reach the amount of €47.9 billion, over the period 2010–2020. These investments will result in an average annual increase of the national product by €9.4 billion, creating simultaneously 108,000 full-time equivalent jobs for the entire period under consideration. The employment generated per €1 million investment is relatively higher in energy saving projects in buildings and transport in comparison with the development of RES in power generation sector.","DOI":"10.1016/j.enpol.2013.01.047","ISSN":"0301-4215","shortTitle":"The impact of clean energy investments on the Greek economy","journalAbbreviation":"Energy Policy","author":[{"family":"Markaki","given":"M."},{"family":"Belegri-Roboli","given":"A."},{"family":"Michaelides","given":"P."},{"family":"Mirasgedis","given":"S."},{"family":"Lalas","given":"D. P."}],"issued":{"date-parts":[["2013",6]]}}}],"schema":"https://github.com/citation-style-language/schema/raw/master/csl-citation.json"} </w:instrText>
      </w:r>
      <w:r w:rsidR="003C0622">
        <w:fldChar w:fldCharType="separate"/>
      </w:r>
      <w:r w:rsidR="00D36FFD" w:rsidRPr="00D36FFD">
        <w:rPr>
          <w:rFonts w:cs="Times New Roman"/>
        </w:rPr>
        <w:t>[16]</w:t>
      </w:r>
      <w:r w:rsidR="003C0622">
        <w:fldChar w:fldCharType="end"/>
      </w:r>
      <w:r w:rsidR="002E4370" w:rsidRPr="004B43E0">
        <w:t xml:space="preserve"> for Greece.</w:t>
      </w:r>
      <w:r w:rsidR="00F04254" w:rsidRPr="004B43E0">
        <w:t xml:space="preserve"> </w:t>
      </w:r>
    </w:p>
    <w:p w:rsidR="00D667A2" w:rsidRDefault="00D667A2" w:rsidP="00373457">
      <w:pPr>
        <w:rPr>
          <w:rFonts w:cs="Times New Roman"/>
        </w:rPr>
      </w:pPr>
      <w:r w:rsidRPr="00373457">
        <w:t>A</w:t>
      </w:r>
      <w:r w:rsidR="00F04254" w:rsidRPr="00373457">
        <w:t>ll the previous studies have focused on the domestic impacts</w:t>
      </w:r>
      <w:r w:rsidR="00CA5261">
        <w:rPr>
          <w:rFonts w:cs="Times New Roman"/>
        </w:rPr>
        <w:t xml:space="preserve"> i</w:t>
      </w:r>
      <w:r w:rsidR="00F04254">
        <w:rPr>
          <w:rFonts w:cs="Times New Roman"/>
        </w:rPr>
        <w:t>n a specific country or region</w:t>
      </w:r>
      <w:r w:rsidR="00C97FB0">
        <w:rPr>
          <w:rFonts w:cs="Times New Roman"/>
        </w:rPr>
        <w:t>,</w:t>
      </w:r>
      <w:r w:rsidR="00F04254">
        <w:rPr>
          <w:rFonts w:cs="Times New Roman"/>
        </w:rPr>
        <w:t xml:space="preserve"> ignoring the trans-boundary effects</w:t>
      </w:r>
      <w:r w:rsidRPr="004F03CB">
        <w:t xml:space="preserve"> due to changes in trade flows derived from the transformation in the energy sector</w:t>
      </w:r>
      <w:r>
        <w:t xml:space="preserve"> of</w:t>
      </w:r>
      <w:r w:rsidRPr="004F03CB">
        <w:t xml:space="preserve"> a specific country. This is especially relevant in an increasing globalized world, in which</w:t>
      </w:r>
      <w:r>
        <w:t xml:space="preserve"> the</w:t>
      </w:r>
      <w:r w:rsidRPr="004F03CB">
        <w:t xml:space="preserve"> </w:t>
      </w:r>
      <w:r>
        <w:t xml:space="preserve">production inputs </w:t>
      </w:r>
      <w:r w:rsidRPr="004F03CB">
        <w:t xml:space="preserve">are </w:t>
      </w:r>
      <w:r w:rsidR="00FA4CE3">
        <w:t xml:space="preserve">internationally </w:t>
      </w:r>
      <w:r w:rsidRPr="004F03CB">
        <w:t xml:space="preserve">traded. </w:t>
      </w:r>
      <w:r w:rsidR="00F04254">
        <w:rPr>
          <w:rFonts w:cs="Times New Roman"/>
        </w:rPr>
        <w:t xml:space="preserve">Moreover, most of the studies have focused </w:t>
      </w:r>
      <w:r w:rsidR="00F04254">
        <w:rPr>
          <w:rFonts w:cs="Times New Roman"/>
        </w:rPr>
        <w:lastRenderedPageBreak/>
        <w:t xml:space="preserve">on the </w:t>
      </w:r>
      <w:r w:rsidR="00F04254" w:rsidRPr="00FF013B">
        <w:rPr>
          <w:rFonts w:cs="Times New Roman"/>
          <w:i/>
        </w:rPr>
        <w:t>ex-ante</w:t>
      </w:r>
      <w:r w:rsidR="00F04254">
        <w:rPr>
          <w:rFonts w:cs="Times New Roman"/>
        </w:rPr>
        <w:t xml:space="preserve"> </w:t>
      </w:r>
      <w:r w:rsidR="00901A75">
        <w:rPr>
          <w:rFonts w:cs="Times New Roman"/>
        </w:rPr>
        <w:t>(</w:t>
      </w:r>
      <w:r w:rsidR="005D6D79">
        <w:rPr>
          <w:rFonts w:cs="Times New Roman"/>
        </w:rPr>
        <w:t>predicted</w:t>
      </w:r>
      <w:r w:rsidR="00901A75">
        <w:rPr>
          <w:rFonts w:cs="Times New Roman"/>
        </w:rPr>
        <w:t xml:space="preserve">) </w:t>
      </w:r>
      <w:r w:rsidR="00F04254">
        <w:rPr>
          <w:rFonts w:cs="Times New Roman"/>
        </w:rPr>
        <w:t>impacts of different policies</w:t>
      </w:r>
      <w:r w:rsidR="00C97FB0">
        <w:rPr>
          <w:rFonts w:cs="Times New Roman"/>
        </w:rPr>
        <w:t>,</w:t>
      </w:r>
      <w:r w:rsidR="00F04254">
        <w:rPr>
          <w:rFonts w:cs="Times New Roman"/>
        </w:rPr>
        <w:t xml:space="preserve"> rather than on the </w:t>
      </w:r>
      <w:r w:rsidR="00F04254" w:rsidRPr="00FE1238">
        <w:rPr>
          <w:rFonts w:cs="Times New Roman"/>
          <w:i/>
        </w:rPr>
        <w:t>ex-post</w:t>
      </w:r>
      <w:r w:rsidR="00F04254">
        <w:rPr>
          <w:rFonts w:cs="Times New Roman"/>
        </w:rPr>
        <w:t xml:space="preserve"> </w:t>
      </w:r>
      <w:r w:rsidR="00901A75">
        <w:rPr>
          <w:rFonts w:cs="Times New Roman"/>
        </w:rPr>
        <w:t>(</w:t>
      </w:r>
      <w:r w:rsidR="005D6D79">
        <w:rPr>
          <w:rFonts w:cs="Times New Roman"/>
        </w:rPr>
        <w:t>confirmed</w:t>
      </w:r>
      <w:r w:rsidR="00901A75">
        <w:rPr>
          <w:rFonts w:cs="Times New Roman"/>
        </w:rPr>
        <w:t xml:space="preserve">) </w:t>
      </w:r>
      <w:r w:rsidR="00F04254">
        <w:rPr>
          <w:rFonts w:cs="Times New Roman"/>
        </w:rPr>
        <w:t>results of such interventions</w:t>
      </w:r>
      <w:r w:rsidR="00C97FB0">
        <w:rPr>
          <w:rFonts w:cs="Times New Roman"/>
        </w:rPr>
        <w:t>,</w:t>
      </w:r>
      <w:r w:rsidR="00235C54">
        <w:rPr>
          <w:rFonts w:cs="Times New Roman"/>
        </w:rPr>
        <w:t xml:space="preserve"> </w:t>
      </w:r>
      <w:r w:rsidR="00C97FB0">
        <w:rPr>
          <w:rFonts w:cs="Times New Roman"/>
        </w:rPr>
        <w:t xml:space="preserve">something </w:t>
      </w:r>
      <w:r w:rsidR="00CA5261">
        <w:rPr>
          <w:rFonts w:cs="Times New Roman"/>
        </w:rPr>
        <w:t>that requires</w:t>
      </w:r>
      <w:r w:rsidR="00235C54">
        <w:rPr>
          <w:rFonts w:cs="Times New Roman"/>
        </w:rPr>
        <w:t xml:space="preserve"> them to </w:t>
      </w:r>
      <w:r w:rsidR="00CA5261">
        <w:rPr>
          <w:rFonts w:cs="Times New Roman"/>
        </w:rPr>
        <w:t xml:space="preserve">make a number of </w:t>
      </w:r>
      <w:r w:rsidR="00235C54">
        <w:rPr>
          <w:rFonts w:cs="Times New Roman"/>
        </w:rPr>
        <w:t>assumptions</w:t>
      </w:r>
      <w:r w:rsidR="00CA5261">
        <w:rPr>
          <w:rFonts w:cs="Times New Roman"/>
        </w:rPr>
        <w:t xml:space="preserve"> about the evolution of the economy</w:t>
      </w:r>
      <w:r w:rsidR="00D36FFD">
        <w:rPr>
          <w:rFonts w:cs="Times New Roman"/>
        </w:rPr>
        <w:t>.</w:t>
      </w:r>
    </w:p>
    <w:p w:rsidR="00A42602" w:rsidRPr="004F03CB" w:rsidRDefault="00F04254" w:rsidP="00FE1238">
      <w:pPr>
        <w:spacing w:before="0" w:after="0"/>
      </w:pPr>
      <w:r>
        <w:rPr>
          <w:rFonts w:cs="Times New Roman"/>
        </w:rPr>
        <w:t xml:space="preserve">In this paper we use a novel method based on a </w:t>
      </w:r>
      <w:r w:rsidR="008F15E3" w:rsidRPr="004F03CB">
        <w:t xml:space="preserve">multiregional input-output </w:t>
      </w:r>
      <w:r w:rsidR="008F15E3">
        <w:rPr>
          <w:rFonts w:cs="Times New Roman"/>
        </w:rPr>
        <w:t xml:space="preserve">model and the </w:t>
      </w:r>
      <w:r w:rsidR="009D0566">
        <w:rPr>
          <w:rFonts w:cs="Times New Roman"/>
        </w:rPr>
        <w:t>World Input-Output Database</w:t>
      </w:r>
      <w:r w:rsidR="00373457">
        <w:rPr>
          <w:rFonts w:cs="Times New Roman"/>
        </w:rPr>
        <w:t xml:space="preserve"> </w:t>
      </w:r>
      <w:r w:rsidR="003C0622">
        <w:rPr>
          <w:rFonts w:cs="Times New Roman"/>
        </w:rPr>
        <w:fldChar w:fldCharType="begin"/>
      </w:r>
      <w:r w:rsidR="00B06A88">
        <w:rPr>
          <w:rFonts w:cs="Times New Roman"/>
        </w:rPr>
        <w:instrText xml:space="preserve"> ADDIN ZOTERO_ITEM CSL_CITATION {"citationID":"qRBVvC3v","properties":{"formattedCitation":"[17], [18]","plainCitation":"[17], [18]"},"citationItems":[{"id":1102,"uris":["http://zotero.org/users/1684209/items/MF58TVXZ"],"uri":["http://zotero.org/users/1684209/items/MF58TVXZ"],"itemData":{"id":1102,"type":"article-journal","title":"The construction of world input-output tables in the WIOD project","container-title":"Economic Systems Research","page":"71-98","volume":"25","issue":"1","DOI":"10.1080/09535314.2012.761180","ISSN":"0953-5314","journalAbbreviation":"Economic Systems Research","author":[{"family":"Dietzenbacher","given":"Erik"},{"family":"Los","given":"Bart"},{"family":"Stehrer","given":"Robert"},{"family":"Timmer","given":"Marcel"},{"family":"Vries","given":"Gaaitzen","non-dropping-particle":"de"}],"issued":{"date-parts":[["2013",3,1]]}}},{"id":2508,"uris":["http://zotero.org/groups/271383/items/8ZCEGWJX"],"uri":["http://zotero.org/groups/271383/items/8ZCEGWJX"],"itemData":{"id":2508,"type":"article","title":"The World Input</w:instrText>
      </w:r>
      <w:r w:rsidR="00B06A88">
        <w:rPr>
          <w:rFonts w:ascii="Cambria Math" w:hAnsi="Cambria Math" w:cs="Cambria Math"/>
        </w:rPr>
        <w:instrText>‐</w:instrText>
      </w:r>
      <w:r w:rsidR="00B06A88">
        <w:rPr>
          <w:rFonts w:cs="Times New Roman"/>
        </w:rPr>
        <w:instrText xml:space="preserve">Output Database (WIOD): Contents, Sources and Methods","publisher":"WIOD Background document available at www.wiod.org","author":[{"family":"Timmer","given":"Marcel"}],"issued":{"date-parts":[["2012"]]}}}],"schema":"https://github.com/citation-style-language/schema/raw/master/csl-citation.json"} </w:instrText>
      </w:r>
      <w:r w:rsidR="003C0622">
        <w:rPr>
          <w:rFonts w:cs="Times New Roman"/>
        </w:rPr>
        <w:fldChar w:fldCharType="separate"/>
      </w:r>
      <w:r w:rsidR="00B06A88" w:rsidRPr="00B06A88">
        <w:rPr>
          <w:rFonts w:cs="Times New Roman"/>
        </w:rPr>
        <w:t>[17], [18]</w:t>
      </w:r>
      <w:r w:rsidR="003C0622">
        <w:rPr>
          <w:rFonts w:cs="Times New Roman"/>
        </w:rPr>
        <w:fldChar w:fldCharType="end"/>
      </w:r>
      <w:r w:rsidR="009D0566">
        <w:rPr>
          <w:rFonts w:cs="Times New Roman"/>
        </w:rPr>
        <w:t xml:space="preserve"> </w:t>
      </w:r>
      <w:r>
        <w:rPr>
          <w:rFonts w:cs="Times New Roman"/>
        </w:rPr>
        <w:t xml:space="preserve">that </w:t>
      </w:r>
      <w:r w:rsidR="008F15E3">
        <w:rPr>
          <w:rFonts w:cs="Times New Roman"/>
        </w:rPr>
        <w:t>allow</w:t>
      </w:r>
      <w:r w:rsidR="00CA5261">
        <w:rPr>
          <w:rFonts w:cs="Times New Roman"/>
        </w:rPr>
        <w:t>s</w:t>
      </w:r>
      <w:r w:rsidR="008F15E3">
        <w:rPr>
          <w:rFonts w:cs="Times New Roman"/>
        </w:rPr>
        <w:t xml:space="preserve"> us to estimate </w:t>
      </w:r>
      <w:r w:rsidR="00652CCA">
        <w:rPr>
          <w:rFonts w:cs="Times New Roman"/>
        </w:rPr>
        <w:t xml:space="preserve">for the first time </w:t>
      </w:r>
      <w:r>
        <w:rPr>
          <w:rFonts w:cs="Times New Roman"/>
        </w:rPr>
        <w:t xml:space="preserve">the domestic and foreign employment impacts due to the </w:t>
      </w:r>
      <w:r w:rsidR="008F15E3">
        <w:rPr>
          <w:rFonts w:cs="Times New Roman"/>
        </w:rPr>
        <w:t xml:space="preserve">past </w:t>
      </w:r>
      <w:r>
        <w:rPr>
          <w:rFonts w:cs="Times New Roman"/>
        </w:rPr>
        <w:t>changes in the energy sector</w:t>
      </w:r>
      <w:r w:rsidR="008F15E3">
        <w:rPr>
          <w:rFonts w:cs="Times New Roman"/>
        </w:rPr>
        <w:t xml:space="preserve"> in the EU</w:t>
      </w:r>
      <w:r>
        <w:rPr>
          <w:rFonts w:cs="Times New Roman"/>
        </w:rPr>
        <w:t>.</w:t>
      </w:r>
      <w:r w:rsidR="008F15E3">
        <w:t xml:space="preserve"> W</w:t>
      </w:r>
      <w:r w:rsidR="00A42602" w:rsidRPr="004F03CB">
        <w:t xml:space="preserve">e quantify the impacts in employment </w:t>
      </w:r>
      <w:r w:rsidR="003B2A26">
        <w:t>in the whole EU</w:t>
      </w:r>
      <w:r w:rsidR="00FF013B">
        <w:t>27</w:t>
      </w:r>
      <w:r w:rsidR="00A42602" w:rsidRPr="004F03CB">
        <w:t xml:space="preserve"> due to the changes </w:t>
      </w:r>
      <w:r w:rsidR="0031541C">
        <w:t xml:space="preserve">in the </w:t>
      </w:r>
      <w:r w:rsidR="00A42602" w:rsidRPr="004F03CB">
        <w:t>electricity</w:t>
      </w:r>
      <w:r>
        <w:t xml:space="preserve"> and</w:t>
      </w:r>
      <w:r w:rsidR="00A42602" w:rsidRPr="004F03CB">
        <w:t xml:space="preserve"> gas supply</w:t>
      </w:r>
      <w:r w:rsidR="007A62E9">
        <w:rPr>
          <w:rStyle w:val="FootnoteReference"/>
        </w:rPr>
        <w:footnoteReference w:id="1"/>
      </w:r>
      <w:r w:rsidR="00A42602" w:rsidRPr="004F03CB">
        <w:t xml:space="preserve"> </w:t>
      </w:r>
      <w:r w:rsidR="003B2A26">
        <w:t>of each of the member states</w:t>
      </w:r>
      <w:r w:rsidR="00A42602" w:rsidRPr="004F03CB">
        <w:t xml:space="preserve">. We answer the following question: what would have been the </w:t>
      </w:r>
      <w:r w:rsidR="003B2A26">
        <w:t>EU</w:t>
      </w:r>
      <w:r w:rsidR="00A42602" w:rsidRPr="004F03CB">
        <w:t xml:space="preserve"> employment in 2009 if the </w:t>
      </w:r>
      <w:r>
        <w:t>structure</w:t>
      </w:r>
      <w:r w:rsidR="00A42602" w:rsidRPr="004F03CB">
        <w:t xml:space="preserve"> of the </w:t>
      </w:r>
      <w:r w:rsidR="00446082">
        <w:rPr>
          <w:rFonts w:cs="Times New Roman"/>
        </w:rPr>
        <w:t>electricity and gas supply</w:t>
      </w:r>
      <w:r w:rsidR="00A42602" w:rsidRPr="004F03CB">
        <w:t xml:space="preserve"> sector of each EU countr</w:t>
      </w:r>
      <w:r w:rsidR="00FA4CE3">
        <w:t>y</w:t>
      </w:r>
      <w:r w:rsidR="00A42602" w:rsidRPr="004F03CB">
        <w:t xml:space="preserve"> </w:t>
      </w:r>
      <w:r w:rsidR="00CA5261">
        <w:t xml:space="preserve">had remained the same </w:t>
      </w:r>
      <w:r w:rsidR="00A42602" w:rsidRPr="004F03CB">
        <w:t>as in 1995.</w:t>
      </w:r>
      <w:r w:rsidR="005934CB" w:rsidRPr="004F03CB">
        <w:t xml:space="preserve"> We estimate the n</w:t>
      </w:r>
      <w:r w:rsidR="00A42602" w:rsidRPr="004F03CB">
        <w:t>et changes in employment</w:t>
      </w:r>
      <w:r w:rsidR="008F15E3">
        <w:t xml:space="preserve"> and</w:t>
      </w:r>
      <w:r>
        <w:t xml:space="preserve"> the </w:t>
      </w:r>
      <w:r w:rsidR="00A42602" w:rsidRPr="004F03CB">
        <w:t xml:space="preserve">gainers </w:t>
      </w:r>
      <w:r w:rsidR="00FA4CE3">
        <w:t>and</w:t>
      </w:r>
      <w:r w:rsidR="00A42602" w:rsidRPr="004F03CB">
        <w:t xml:space="preserve"> losers </w:t>
      </w:r>
      <w:r w:rsidR="00373457">
        <w:t>at the worldwide level</w:t>
      </w:r>
      <w:r w:rsidR="005934CB" w:rsidRPr="004F03CB">
        <w:t>.</w:t>
      </w:r>
    </w:p>
    <w:p w:rsidR="008913CC" w:rsidRPr="004F03CB" w:rsidRDefault="00A42602" w:rsidP="007F71E9">
      <w:r w:rsidRPr="004F03CB">
        <w:t xml:space="preserve">The </w:t>
      </w:r>
      <w:r w:rsidR="00FA4CE3">
        <w:t xml:space="preserve">rest </w:t>
      </w:r>
      <w:r w:rsidRPr="004F03CB">
        <w:t xml:space="preserve">of this </w:t>
      </w:r>
      <w:r w:rsidR="00FA4CE3">
        <w:t>paper</w:t>
      </w:r>
      <w:r w:rsidRPr="004F03CB">
        <w:t xml:space="preserve"> is organised as follows. Section 2 </w:t>
      </w:r>
      <w:r w:rsidR="005934CB" w:rsidRPr="004F03CB">
        <w:t>shows the methodology</w:t>
      </w:r>
      <w:r w:rsidR="004F03CB" w:rsidRPr="004F03CB">
        <w:t xml:space="preserve"> (model</w:t>
      </w:r>
      <w:r w:rsidR="00235C54">
        <w:t xml:space="preserve"> and data</w:t>
      </w:r>
      <w:r w:rsidR="004F03CB" w:rsidRPr="004F03CB">
        <w:t>)</w:t>
      </w:r>
      <w:r w:rsidR="005934CB" w:rsidRPr="004F03CB">
        <w:t xml:space="preserve"> and section 3 presents </w:t>
      </w:r>
      <w:r w:rsidR="008F15E3">
        <w:t xml:space="preserve">and discusses </w:t>
      </w:r>
      <w:r w:rsidR="005934CB" w:rsidRPr="004F03CB">
        <w:t xml:space="preserve">the results. </w:t>
      </w:r>
      <w:r w:rsidR="007F71E9">
        <w:t xml:space="preserve">Section </w:t>
      </w:r>
      <w:r w:rsidR="00373457">
        <w:t>4</w:t>
      </w:r>
      <w:r w:rsidR="00535598">
        <w:t xml:space="preserve"> describes the limitations of the studies and indicates directions for future research, and Section 5</w:t>
      </w:r>
      <w:r w:rsidR="007F71E9">
        <w:t xml:space="preserve"> concludes.</w:t>
      </w:r>
    </w:p>
    <w:p w:rsidR="0032037B" w:rsidRPr="004F03CB" w:rsidRDefault="009A0028" w:rsidP="004F03CB">
      <w:pPr>
        <w:pStyle w:val="Heading1"/>
        <w:rPr>
          <w:rFonts w:cs="Times New Roman"/>
        </w:rPr>
      </w:pPr>
      <w:r>
        <w:rPr>
          <w:rFonts w:cs="Times New Roman"/>
        </w:rPr>
        <w:t xml:space="preserve">Materials and </w:t>
      </w:r>
      <w:r w:rsidR="0032037B" w:rsidRPr="004F03CB">
        <w:rPr>
          <w:rFonts w:cs="Times New Roman"/>
        </w:rPr>
        <w:t>Method</w:t>
      </w:r>
      <w:r w:rsidR="004F03CB" w:rsidRPr="004F03CB">
        <w:rPr>
          <w:rFonts w:cs="Times New Roman"/>
        </w:rPr>
        <w:t>s</w:t>
      </w:r>
    </w:p>
    <w:p w:rsidR="004F03CB" w:rsidRPr="004F03CB" w:rsidRDefault="00373457" w:rsidP="004F03CB">
      <w:pPr>
        <w:rPr>
          <w:rFonts w:cs="Times New Roman"/>
        </w:rPr>
      </w:pPr>
      <w:r>
        <w:rPr>
          <w:rFonts w:cs="Times New Roman"/>
        </w:rPr>
        <w:t xml:space="preserve">Single region </w:t>
      </w:r>
      <w:r w:rsidR="00E26F71">
        <w:rPr>
          <w:rFonts w:eastAsia="Times New Roman" w:cs="Times New Roman"/>
          <w:lang w:val="en-US" w:eastAsia="es-ES"/>
        </w:rPr>
        <w:t>i</w:t>
      </w:r>
      <w:r w:rsidR="006B29DC">
        <w:rPr>
          <w:rFonts w:eastAsia="Times New Roman" w:cs="Times New Roman"/>
          <w:lang w:val="en-US" w:eastAsia="es-ES"/>
        </w:rPr>
        <w:t>nput-</w:t>
      </w:r>
      <w:r w:rsidR="00E26F71">
        <w:rPr>
          <w:rFonts w:eastAsia="Times New Roman" w:cs="Times New Roman"/>
          <w:lang w:val="en-US" w:eastAsia="es-ES"/>
        </w:rPr>
        <w:t>o</w:t>
      </w:r>
      <w:r w:rsidR="006B29DC">
        <w:rPr>
          <w:rFonts w:eastAsia="Times New Roman" w:cs="Times New Roman"/>
          <w:lang w:val="en-US" w:eastAsia="es-ES"/>
        </w:rPr>
        <w:t xml:space="preserve">utput </w:t>
      </w:r>
      <w:r w:rsidR="003A59EC">
        <w:rPr>
          <w:rFonts w:cs="Times New Roman"/>
        </w:rPr>
        <w:t xml:space="preserve">methods have been extensively used to assess the employment impacts of different energy technologies including, among others, biofuels </w:t>
      </w:r>
      <w:r w:rsidR="003C0622">
        <w:rPr>
          <w:rFonts w:cs="Times New Roman"/>
        </w:rPr>
        <w:fldChar w:fldCharType="begin"/>
      </w:r>
      <w:r w:rsidR="00B06A88">
        <w:rPr>
          <w:rFonts w:cs="Times New Roman"/>
        </w:rPr>
        <w:instrText xml:space="preserve"> ADDIN ZOTERO_ITEM CSL_CITATION {"citationID":"Q5vOTRir","properties":{"formattedCitation":"{\\rtf [19]\\uc0\\u8211{}[22]}","plainCitation":"[19]–[22]"},"citationItems":[{"id":3245,"uris":["http://zotero.org/groups/271383/items/33UK5ZE7"],"uri":["http://zotero.org/groups/271383/items/33UK5ZE7"],"itemData":{"id":3245,"type":"article-journal","title":"Analysis of socio-economic impacts of sustainable sugarcane–ethanol production by means of inter-regional Input–Output analysis: Demonstrated for Northeast Brazil","container-title":"Renewable and Sustainable Energy Reviews","page":"290-316","volume":"28","source":"ScienceDirect","abstract":"This study assesses the socio-economic impacts in terms of value added, imports and employment of sugarcane-derived bioethanol production in Northeast (NE) Brazil. An extended inter-regional Input–Output (IO) model has been developed and is used to analyse three scenarios, all projected for 2020: a business-as-usual scenario (BaU) which projects current practices, and two scenarios that consider more efficient agricultural practices and processing efficiency (scenario A) and in addition an expansion of the sector into new areas (scenario B). By 2020 in all scenarios, value added and imports increase compared to the current situation. The value added by the sugarcane–ethanol sector in the NE region is 2.8 billion US$ in the BaU scenario, almost 4 billion US$ in scenario A, and 9.4 billion US$ in scenario B. The imports in the region will grow with 4% (BaU scenario), 38% (scenario A) and 262% (scenario B). This study shows that the large reduction of employment (114,000 jobs) due to the replacement of manual harvesting by mechanical harvesting can be offset by additional production and indirect effects. The total employment in the region by 2020 grows with 10% in scenario A (around 12,500 jobs) and 126% in scenario B (around 160,000 jobs). The indirect effects of sugarcane production in the NE are large in the rest of Brazil due to the import of inputs from these regions. The use of an extended inter-regional IO model can quantify direct and indirect socio-economic effects at regional level and can provide insight in the linkages between regions. The application of the model to NE Brazil has demonstrated significant positive socio-economic impacts that can be achieved when developing and expanding the sugarcane–ethanol sector in the region under the conditions studied here, not only for the NE region itself but also for the economy of the rest of Brazil.","DOI":"10.1016/j.rser.2013.07.050","ISSN":"1364-0321","shortTitle":"Analysis of socio-economic impacts of sustainable sugarcane–ethanol production by means of inter-regional Input–Output analysis","journalAbbreviation":"Renewable and Sustainable Energy Reviews","author":[{"family":"Herreras Martínez","given":"Sara"},{"family":"Eijck","given":"Janske","non-dropping-particle":"van"},{"family":"Pereira da Cunha","given":"Marcelo"},{"family":"Guilhoto","given":"Joaquim J. M."},{"family":"Walter","given":"Arnaldo"},{"family":"Faaij","given":"Andre"}],"issued":{"date-parts":[["2013",12]]}}},{"id":3249,"uris":["http://zotero.org/groups/271383/items/XJSBR3KH"],"uri":["http://zotero.org/groups/271383/items/XJSBR3KH"],"itemData":{"id":3249,"type":"article-journal","title":"Economic and CO2 mitigation impacts of promoting biomass heating systems: An input–output study for Vorarlberg, Austria","container-title":"Energy Policy","page":"6021-6035","volume":"35","issue":"12","source":"ScienceDirect","abstract":"This paper reports on an empirical investigation about the economic and CO2 mitigation impacts of bioenergy promotion in the Austrian federal province of Vorarlberg. We study domestic value-added, employment, and fiscal effects by means of a static input–output analysis. The bioenergy systems analysed comprise biomass district heating, pellet heating, and automated wood chip heating systems, as well as logwood stoves and boilers, ceramic stoves, and buffer storage systems. The results indicate that gross economic effects are significant, regarding both investment and operation of the systems, and that the negative economic effects caused by the displacement of conventional decentralised heating systems might be in the order of 20–40%. Finally, CO2 mitigation effects are substantial, contributing already in 2004 around 35% of the 2010 CO2 mitigation target of the Land Vorarlberg for all renewable energy sources.","DOI":"10.1016/j.enpol.2007.08.023","ISSN":"0301-4215","shortTitle":"Economic and CO2 mitigation impacts of promoting biomass heating systems","journalAbbreviation":"Energy Policy","author":[{"family":"Madlener","given":"Reinhard"},{"family":"Koller","given":"Martin"}],"issued":{"date-parts":[["2007",12]]}}},{"id":3229,"uris":["http://zotero.org/groups/271383/items/JIT2FD54"],"uri":["http://zotero.org/groups/271383/items/JIT2FD54"],"itemData":{"id":3229,"type":"article-journal","title":"Employment impacts of EU biofuels policy: Combining bottom-up technology information and sectoral market simulations in an input–output framework","container-title":"Ecological Economics","page":"447-460","volume":"68","issue":"1–2","source":"ScienceDirect","abstract":"This paper analyses the employment consequences of policies aimed to support biofuels in the European Union. The promotion of biofuel use has been advocated as a means to promote the sustainable use of natural resources and to reduce greenhouse gas emissions originating from transport activities on the one hand, and to reduce dependence on imported oil and thereby increase security of the European energy supply on the other hand. The employment impacts of increasing biofuels shares are calculated by taking into account a set of elements comprising the demand for capital goods required to produce biofuels, the additional demand for agricultural feedstock, higher fuel prices or reduced household budget in the case of price subsidisation, price effects ensuing from a hypothetical world oil price reduction linked to substitution in the EU market, and price impacts on agro-food commodities. The calculations refer to scenarios for the year 2020 targets as set out by the recent Renewable Energy Roadmap. Employment effects are assessed in an input–output framework taking into account bottom-up technology information to specify biofuels activities and linked to partial equilibrium models for the agricultural and energy sectors. The simulations suggest that biofuels targets on the order of 10–15% could be achieved without adverse net employment effects.","DOI":"10.1016/j.ecolecon.2008.04.018","ISSN":"0921-8009","shortTitle":"Employment impacts of EU biofuels policy","journalAbbreviation":"Ecological Economics","author":[{"family":"Neuwahl","given":"Frederik"},{"family":"Löschel","given":"Andreas"},{"family":"Mongelli","given":"Ignazio"},{"family":"Delgado","given":"Luis"}],"issued":{"date-parts":[["2008",12,1]]}}},{"id":3241,"uris":["http://zotero.org/groups/271383/items/4MSHTB2P"],"uri":["http://zotero.org/groups/271383/items/4MSHTB2P"],"itemData":{"id":3241,"type":"article-journal","title":"Biofuels and employment effects: Implications for socio-economic development in Thailand","container-title":"Biomass and Bioenergy","collection-title":"International Conference on Lignocellulosic ethanol","page":"409-418","volume":"46","source":"ScienceDirect","abstract":"The study assesses the impacts of the biofuels production to the socio-economic development in Thailand. The four kinds of biofuels considered in the analyses are ethanol from cassava, molasses and sugarcane ethanol as well as palm biodiesel. The key elements of socio-economic development including employment generation, economic effects on GDP and trade balance are investigated based on a combination of process and input–output analysis. The results show that producing ethanol and biodiesel require about 17–20 and 10 times more workers than gasoline and diesel as per energy content, respectively. Direct employment in agriculture contributes to more than 90% of total employment. Nevertheless, there are the significant differences in the characteristics of employment in the agriculture and biofuel processing sectors. The overall impacts of ethanol production in Thailand in year 2022 are the employment generation of around 238,700–382,400 person-years, 150 M$ additional GDP, imported goods worth 1583 M$ but 2547 M$ of imports would be saved if compared to petroleum fuels. The other socio-economic aspects such as agricultural improvement and rural development due to biofuels policy in Thailand and some policy measures that need to be urgently promoted are also discussed in the study.","DOI":"10.1016/j.biombioe.2012.07.019","ISSN":"0961-9534","shortTitle":"Biofuels and employment effects","journalAbbreviation":"Biomass and Bioenergy","author":[{"family":"Silalertruksa","given":"Thapat"},{"family":"Gheewala","given":"Shabbir H."},{"family":"Hünecke","given":"Katja"},{"family":"Fritsche","given":"Uwe R."}],"issued":{"date-parts":[["2012",11]]}}}],"schema":"https://github.com/citation-style-language/schema/raw/master/csl-citation.json"} </w:instrText>
      </w:r>
      <w:r w:rsidR="003C0622">
        <w:rPr>
          <w:rFonts w:cs="Times New Roman"/>
        </w:rPr>
        <w:fldChar w:fldCharType="separate"/>
      </w:r>
      <w:r w:rsidR="00B06A88" w:rsidRPr="00E05213">
        <w:rPr>
          <w:rFonts w:cs="Times New Roman"/>
          <w:szCs w:val="24"/>
        </w:rPr>
        <w:t>[19]–[22]</w:t>
      </w:r>
      <w:r w:rsidR="003C0622">
        <w:rPr>
          <w:rFonts w:cs="Times New Roman"/>
        </w:rPr>
        <w:fldChar w:fldCharType="end"/>
      </w:r>
      <w:r w:rsidR="003A59EC">
        <w:rPr>
          <w:rFonts w:cs="Times New Roman"/>
        </w:rPr>
        <w:t xml:space="preserve">, coal-to-liquids </w:t>
      </w:r>
      <w:r w:rsidR="003C0622">
        <w:rPr>
          <w:rFonts w:cs="Times New Roman"/>
        </w:rPr>
        <w:fldChar w:fldCharType="begin"/>
      </w:r>
      <w:r w:rsidR="00D36FFD">
        <w:rPr>
          <w:rFonts w:cs="Times New Roman"/>
        </w:rPr>
        <w:instrText xml:space="preserve"> ADDIN ZOTERO_ITEM CSL_CITATION {"citationID":"19c7etu7me","properties":{"formattedCitation":"[23]","plainCitation":"[23]"},"citationItems":[{"id":3233,"uris":["http://zotero.org/groups/271383/items/CKFMXVTP"],"uri":["http://zotero.org/groups/271383/items/CKFMXVTP"],"itemData":{"id":3233,"type":"article-journal","title":"Regional economic output and employment impact of coal-to-liquids (CTL) industry in China: An input–output analysis","container-title":"Energy","collection-title":"Energy and Exergy Modelling of Advance Energy Systems","page":"259-263","volume":"46","issue":"1","source":"ScienceDirect","abstract":"This paper describes the effect of the coal-to-liquids (CTL) industry on economic output and employment in four Chinese regions. The operation of CTL projects require large amount of expense and thus can largely boost regional economy growth by expanding local output demands. However, such economic benefit has never been quantified. In this paper, we evaluate the economic effects of CTL projects in regional China by performing a multiplier analysis with the latest 2007 China regional input–output data. Our analysis shows that CTL projects can greatly boost economic output and employment in regional China. A Direct Coal to Liquid (DCL) project that produces one million tons of fuel every year can increase regional economic output by 0.78%–2.76% and employment by 1.10%–3.15% annually.","DOI":"10.1016/j.energy.2012.08.024","ISSN":"0360-5442","shortTitle":"Regional economic output and employment impact of coal-to-liquids (CTL) industry in China","journalAbbreviation":"Energy","author":[{"family":"Qi","given":"Tianyu"},{"family":"Zhou","given":"Li"},{"family":"Zhang","given":"Xiliang"},{"family":"Ren","given":"Xiangkun"}],"issued":{"date-parts":[["2012",10]]}}}],"schema":"https://github.com/citation-style-language/schema/raw/master/csl-citation.json"} </w:instrText>
      </w:r>
      <w:r w:rsidR="003C0622">
        <w:rPr>
          <w:rFonts w:cs="Times New Roman"/>
        </w:rPr>
        <w:fldChar w:fldCharType="separate"/>
      </w:r>
      <w:r w:rsidR="00D36FFD" w:rsidRPr="00D36FFD">
        <w:rPr>
          <w:rFonts w:cs="Times New Roman"/>
        </w:rPr>
        <w:t>[23]</w:t>
      </w:r>
      <w:r w:rsidR="003C0622">
        <w:rPr>
          <w:rFonts w:cs="Times New Roman"/>
        </w:rPr>
        <w:fldChar w:fldCharType="end"/>
      </w:r>
      <w:r w:rsidR="003A59EC">
        <w:rPr>
          <w:rFonts w:cs="Times New Roman"/>
        </w:rPr>
        <w:t>, geothermal</w:t>
      </w:r>
      <w:r w:rsidR="009B0EBD">
        <w:rPr>
          <w:rFonts w:cs="Times New Roman"/>
        </w:rPr>
        <w:t xml:space="preserve"> </w:t>
      </w:r>
      <w:r w:rsidR="003C0622">
        <w:rPr>
          <w:rFonts w:cs="Times New Roman"/>
        </w:rPr>
        <w:fldChar w:fldCharType="begin"/>
      </w:r>
      <w:r w:rsidR="00D36FFD">
        <w:rPr>
          <w:rFonts w:cs="Times New Roman"/>
        </w:rPr>
        <w:instrText xml:space="preserve"> ADDIN ZOTERO_ITEM CSL_CITATION {"citationID":"2dq38srufb","properties":{"formattedCitation":"[24]","plainCitation":"[24]"},"citationItems":[{"id":3671,"uris":["http://zotero.org/groups/271383/items/4E8RRM77"],"uri":["http://zotero.org/groups/271383/items/4E8RRM77"],"itemData":{"id":3671,"type":"article-journal","title":"Life cycle employment effect of geothermal power generation using an extended input–output model: the case of Japan","container-title":"Journal of Cleaner Production","page":"203-212","volume":"93","source":"ScienceDirect","abstract":"The present paper evaluates the employment impact of introducing geothermal power generation on Japanese society. An extended input–output table is created for estimating not only direct employment but also the indirect effect associated with geothermal power generation. Our originality lies in the use of published financial statements data for estimating goods and services required for the newly formed sector of geothermal power generation. This assures reliability and transparency of the geothermal power generation input structure estimation. The estimated embodied employment intensity shows that the electricity demand for geothermal energy can generate employment of 0.89 person-years per GWh through the five life-cycle stages of resource survey, manufacturing, construction, operation and maintenance, and disposal. The employment created in the operation and maintenance stage accounts for 66% of the total, indicating that geothermal power generation can generate long-term employment opportunities in service sectors. On the other hand, a large portion of the total employment for both wind and PV power generation is temporary and created in industrial sectors at the manufacturing and construction stages. The present study reveals that there is a distinctive difference in terms of employment effect of geothermal in comparison with wind and PV power generation. It is further observed that 86% of the total employment is domestic to Japan, higher than the domestic ratios of wind and PV power generation.","DOI":"10.1016/j.jclepro.2015.01.008","ISSN":"0959-6526","shortTitle":"Life cycle employment effect of geothermal power generation using an extended input–output model","journalAbbreviation":"Journal of Cleaner Production","author":[{"family":"Hienuki","given":"Shunichi"},{"family":"Kudoh","given":"Yuki"},{"family":"Hondo","given":"Hiroki"}],"issued":{"date-parts":[["2015",4,15]]}}}],"schema":"https://github.com/citation-style-language/schema/raw/master/csl-citation.json"} </w:instrText>
      </w:r>
      <w:r w:rsidR="003C0622">
        <w:rPr>
          <w:rFonts w:cs="Times New Roman"/>
        </w:rPr>
        <w:fldChar w:fldCharType="separate"/>
      </w:r>
      <w:r w:rsidR="00D36FFD" w:rsidRPr="00D36FFD">
        <w:rPr>
          <w:rFonts w:cs="Times New Roman"/>
        </w:rPr>
        <w:t>[24]</w:t>
      </w:r>
      <w:r w:rsidR="003C0622">
        <w:rPr>
          <w:rFonts w:cs="Times New Roman"/>
        </w:rPr>
        <w:fldChar w:fldCharType="end"/>
      </w:r>
      <w:r w:rsidR="003A59EC">
        <w:rPr>
          <w:rFonts w:cs="Times New Roman"/>
        </w:rPr>
        <w:t xml:space="preserve">, energy efficiency </w:t>
      </w:r>
      <w:r w:rsidR="003C0622">
        <w:rPr>
          <w:rFonts w:cs="Times New Roman"/>
        </w:rPr>
        <w:fldChar w:fldCharType="begin"/>
      </w:r>
      <w:r w:rsidR="00D36FFD">
        <w:rPr>
          <w:rFonts w:cs="Times New Roman"/>
        </w:rPr>
        <w:instrText xml:space="preserve"> ADDIN ZOTERO_ITEM CSL_CITATION {"citationID":"26d0gh56tv","properties":{"formattedCitation":"[25]","plainCitation":"[25]"},"citationItems":[{"id":3235,"uris":["http://zotero.org/groups/271383/items/XF7NIFM4"],"uri":["http://zotero.org/groups/271383/items/XF7NIFM4"],"itemData":{"id":3235,"type":"article-journal","title":"A methodological framework for assessing the employment effects associated with energy efficiency interventions in buildings","container-title":"Energy and Buildings","page":"275-286","volume":"82","source":"ScienceDirect","abstract":"The global trend toward a low carbon, sustainable economy is widely acknowledged to create a large number of jobs across many sectors of the economy. The deployment of renewable and energy efficiency projects represent a large share of the so called green jobs and help retain current levels of employment especially in countries facing the socio-economic threat of increasing unemployment rates. These effects should be taken into account during the process of energy planning, but due to difficulties in their quantification this is not always feasible. This paper utilizes the input–output analysis and the adjusted earnings gain approach for assessing the employment effects associated with the implementation of energy saving interventions in the building sector, with a view to produce results that can be easily incorporated into cost–benefit analyses. The proposed framework, which comprises four basic steps, namely identification of all the potential changes in employment due to energy efficiency interventions, quantification of these employment effects in physical terms, calculation of the net present value of the estimated employment effects and monetization, has been implemented for three energy efficiency interventions widely implemented in Greek buildings. The results of the analysis clearly show that the exploitation of energy saving technologies in the Greek building stock generates significant employment benefits, ranging between €0.11 and 0.23 million per €1 million of investment in the base case scenario and reaching the 10–24% of the energy costs savings attributed to the implementation of these interventions throughout their entire lifetime.","DOI":"10.1016/j.enbuild.2014.07.027","ISSN":"0378-7788","journalAbbreviation":"Energy and Buildings","author":[{"family":"Mirasgedis","given":"S."},{"family":"Tourkolias","given":"C."},{"family":"Pavlakis","given":"E."},{"family":"Diakoulaki","given":"D."}],"issued":{"date-parts":[["2014",10]]}}}],"schema":"https://github.com/citation-style-language/schema/raw/master/csl-citation.json"} </w:instrText>
      </w:r>
      <w:r w:rsidR="003C0622">
        <w:rPr>
          <w:rFonts w:cs="Times New Roman"/>
        </w:rPr>
        <w:fldChar w:fldCharType="separate"/>
      </w:r>
      <w:r w:rsidR="00D36FFD" w:rsidRPr="00D36FFD">
        <w:rPr>
          <w:rFonts w:cs="Times New Roman"/>
        </w:rPr>
        <w:t>[25]</w:t>
      </w:r>
      <w:r w:rsidR="003C0622">
        <w:rPr>
          <w:rFonts w:cs="Times New Roman"/>
        </w:rPr>
        <w:fldChar w:fldCharType="end"/>
      </w:r>
      <w:r w:rsidR="003A59EC">
        <w:rPr>
          <w:rFonts w:cs="Times New Roman"/>
        </w:rPr>
        <w:t>,</w:t>
      </w:r>
      <w:r w:rsidR="00FA4CE3">
        <w:rPr>
          <w:rFonts w:cs="Times New Roman"/>
        </w:rPr>
        <w:t xml:space="preserve"> and</w:t>
      </w:r>
      <w:r w:rsidR="003A59EC">
        <w:rPr>
          <w:rFonts w:cs="Times New Roman"/>
        </w:rPr>
        <w:t xml:space="preserve"> </w:t>
      </w:r>
      <w:r w:rsidR="00207458">
        <w:rPr>
          <w:rFonts w:cs="Times New Roman"/>
        </w:rPr>
        <w:t>renewables</w:t>
      </w:r>
      <w:r w:rsidR="00501C35">
        <w:rPr>
          <w:rFonts w:cs="Times New Roman"/>
        </w:rPr>
        <w:t xml:space="preserve"> </w:t>
      </w:r>
      <w:r w:rsidR="003C0622">
        <w:rPr>
          <w:rFonts w:cs="Times New Roman"/>
        </w:rPr>
        <w:fldChar w:fldCharType="begin"/>
      </w:r>
      <w:r w:rsidR="00B06A88">
        <w:rPr>
          <w:rFonts w:cs="Times New Roman"/>
        </w:rPr>
        <w:instrText xml:space="preserve"> ADDIN ZOTERO_ITEM CSL_CITATION {"citationID":"QeRfUIwf","properties":{"formattedCitation":"{\\rtf [14]\\uc0\\u8211{}[16], [26]\\uc0\\u8211{}[28]}","plainCitation":"[14]–[16], [26]–[28]"},"citationItems":[{"id":3239,"uris":["http://zotero.org/groups/271383/items/NJWI6ZEB"],"uri":["http://zotero.org/groups/271383/items/NJWI6ZEB"],"itemData":{"id":3239,"type":"article-journal","title":"Distributional employment impacts of renewable and new energy–A case study of China","container-title":"Renewable and Sustainable Energy Reviews","page":"1155-1163","volume":"39","source":"ScienceDirect","abstract":"The main goal of this paper is to argue for the necessity and significance of studying the distributional employment impacts of renewable and new energy development (RNE). Based on the comprehensive review of the methodology and conclusions of existing literatures, this paper builds up an extended input–output model to study RNE’s distributional employment impacts on gender and personnel structure. The case study of China׳s power sector in this paper affirmed earlier doubts that RNE development will indeed aggravate the gender inequality problem and add to the level of mismatch between the structure of labor demand and supply, causing structural unemployment problems. The quantitative analysis in this paper outlined here implies that from 2011 to 2020 the development of RNE will bring about 7 million employment gains, but only 81.8% of which can be realized due to the mismatch problem. The study of China may alert other countries to be less-optimistic about RNE’s employment impacts and reaffirm the need to carry out the distributional employment impacts analysis. This paper concludes with policy suggestions such as providing suitable training and equal promotion opportunities for women, offering courses and vocational trainings to RNE-related majors, in order to reduce the structural unemployment problem and further speed up the development of RNE.","DOI":"10.1016/j.rser.2014.07.136","ISSN":"1364-0321","journalAbbreviation":"Renewable and Sustainable Energy Reviews","author":[{"family":"Cai","given":"Wenjia"},{"family":"Mu","given":"Yaqian"},{"family":"Wang","given":"Can"},{"family":"Chen","given":"Jining"}],"issued":{"date-parts":[["2014",11]]}}},{"id":3227,"uris":["http://zotero.org/groups/271383/items/VDV8CNP4"],"uri":["http://zotero.org/groups/271383/items/VDV8CNP4"],"itemData":{"id":3227,"type":"article-journal","title":"Renewable energy and employment in Germany","container-title":"Energy Policy","page":"108-117","volume":"36","issue":"1","source":"ScienceDirect","abstract":"The positive impacts of an increasing share of renewable energy on the mitigation of climate change as well as on the decrease of the dependency of energy imports are indisputable. However, one persistent problem for the German economy has been its high level of unemployment in the recent past. Therefore, any policy strategy will be measured also by its net impact on the labor market. The paper describes the results of a study that models this impact and is novel within three respects: firstly, an Input–Output-Vector for the renewable energy sector was developed based on the results of more than 1000 interviews with an extensive questionnaire, secondly gross and net effect of two different policy scenarios for Germany until 2030 were calculated and thirdly the approach varies from earlier studies by its explicit modeling of export and foreign trade effects.","DOI":"10.1016/j.enpol.2007.09.004","ISSN":"0301-4215","journalAbbreviation":"Energy Policy","author":[{"family":"Lehr","given":"Ulrike"},{"family":"Nitsch","given":"Joachim"},{"family":"Kratzat","given":"Marlene"},{"family":"Lutz","given":"Christian"},{"family":"Edler","given":"Dietmar"}],"issued":{"date-parts":[["2008",1]]}}},{"id":3237,"uris":["http://zotero.org/groups/271383/items/7TCZM9A4"],"uri":["http://zotero.org/groups/271383/items/7TCZM9A4"],"itemData":{"id":3237,"type":"article-journal","title":"The impact of clean energy investments on the Greek economy: An input–output analysis (2010–2020)","container-title":"Energy Policy","page":"263-275","volume":"57","source":"ScienceDirect","abstract":"The aim of this paper is twofold: first, to calculate the “green” energy investments, by industrial sector, that Greece would need in order to satisfy a number of energy and environmental targets adopted in the context of the European Commission’s energy and climate change package; and second, to calculate the macro-economic impacts of these “green” investments on production and employment in the Greek economy. To this end, the input–output analysis has been exploited for estimating the direct, indirect and induced macroeconomic effects associated with the implementation of selected energy conservation measures, the promotion of renewable energy technologies, etc. Our findings show that the required investments would reach the amount of €47.9 billion, over the period 2010–2020. These investments will result in an average annual increase of the national product by €9.4 billion, creating simultaneously 108,000 full-time equivalent jobs for the entire period under consideration. The employment generated per €1 million investment is relatively higher in energy saving projects in buildings and transport in comparison with the development of RES in power generation sector.","DOI":"10.1016/j.enpol.2013.01.047","ISSN":"0301-4215","shortTitle":"The impact of clean energy investments on the Greek economy","journalAbbreviation":"Energy Policy","author":[{"family":"Markaki","given":"M."},{"family":"Belegri-Roboli","given":"A."},{"family":"Michaelides","given":"P."},{"family":"Mirasgedis","given":"S."},{"family":"Lalas","given":"D. P."}],"issued":{"date-parts":[["2013",6]]}}},{"id":3243,"uris":["http://zotero.org/groups/271383/items/6AH73N3K"],"uri":["http://zotero.org/groups/271383/items/6AH73N3K"],"itemData":{"id":3243,"type":"article-journal","title":"Quantification and monetization of employment benefits associated with renewable energy technologies in Greece","container-title":"Renewable and Sustainable Energy Reviews","page":"2876-2886","volume":"15","issue":"6","source":"ScienceDirect","abstract":"This paper formulates and implements an integrated approach for estimating the employment benefits associated with the exploitation of renewable energy sources (RES) in the power sector. It builds up on well-known techniques and makes all the necessary modifications in order to take into account the specific conditions of the RES market. More specific, the proposed approach exploits the input–output methodology for estimating the direct, indirect and induced employment effects associated with the energy technologies in question and the “opportunity cost of labour” approach for expressing these effects in monetary terms. This framework has been implemented to estimate the employment benefits resulting from the development of different RES technologies in Greece, taking into account both the construction and operation phases of the relative projects. The results of the analysis clearly show that the exploitation of RES in the Greek power sector presents significant employment benefits, which are at the same order of magnitude or in several cases even higher compared to the corresponding benefits attributed to the operation of fossil-fueled power plants (e.g. lignite and natural gas). Therefore, the fulfillment of the national target for increasing the penetration of RES into the Greek power sector from approximately 12% today to 40% in 2020, will contribute, apart from the significant environmental improvements, to the overall economic development and the increase of the employment.","DOI":"10.1016/j.rser.2011.02.027","ISSN":"1364-0321","journalAbbreviation":"Renewable and Sustainable Energy Reviews","author":[{"family":"Tourkolias","given":"C."},{"family":"Mirasgedis","given":"S."}],"issued":{"date-parts":[["2011",8]]}}},{"id":3703,"uris":["http://zotero.org/groups/271383/items/2SJN2JTU"],"uri":["http://zotero.org/groups/271383/items/2SJN2JTU"],"itemData":{"id":3703,"type":"article-journal","title":"Net employment effects of an extension of renewable-energy systems in the Federal Republic of Germany","container-title":"Applied Energy","page":"329-338","volume":"65","issue":"1–4","source":"ScienceDirect","abstract":"Renewable-energy potential exists in the Federal Republic of Germany to a great extent, but it is barely used as yet. A change in the power-supply structure seems to be too risky with regard to finance and the sensitive labour market. Nevertheless, an extension of renewable energy systems in the German state North-Rhine Westphalia would lead to improved employment prospects.","DOI":"10.1016/S0306-2619(99)00072-0","ISSN":"0306-2619","journalAbbreviation":"Applied Energy","author":[{"family":"Ziegelmann","given":"Arko"},{"family":"Mohr","given":"Markus"},{"family":"Unger","given":"Hermann"}],"issued":{"date-parts":[["2000",4]]}}},{"id":3225,"uris":["http://zotero.org/groups/271383/items/X77H9EJA"],"uri":["http://zotero.org/groups/271383/items/X77H9EJA"],"itemData":{"id":3225,"type":"article-journal","title":"100% Renewable energy systems, climate mitigation and economic growth","container-title":"Applied Energy","collection-title":"The 5th Dubrovnik Conference on Sustainable Development of Energy, Water and Environment Systems, held in Dubrovnik September/October 2009","page":"488-501","volume":"88","issue":"2","source":"ScienceDirect","abstract":"Greenhouse gas mitigation strategies are generally considered costly with world leaders often engaging in debate concerning the costs of mitigation and the distribution of these costs between different countries. In this paper, the analyses and results of the design of a 100% renewable energy system by the year 2050 are presented for a complete energy system including transport. Two short-term transition target years in the process towards this goal are analysed for 2015 and 2030. The energy systems are analysed and designed with hour-by-hour energy system analyses. The analyses reveal that implementing energy savings, renewable energy and more efficient conversion technologies can have positive socio-economic effects, create employment and potentially lead to large earnings on exports. If externalities such as health effects are included, even more benefits can be expected. 100% Renewable energy systems will be technically possible in the future, and may even be economically beneficial compared to the business-as-usual energy system. Hence, the current debate between leaders should reflect a combination of these two main challenges.","DOI":"10.1016/j.apenergy.2010.03.001","ISSN":"0306-2619","journalAbbreviation":"Applied Energy","author":[{"family":"Mathiesen","given":"Brian Vad"},{"family":"Lund","given":"Henrik"},{"family":"Karlsson","given":"Kenneth"}],"issued":{"date-parts":[["2011",2]]}}}],"schema":"https://github.com/citation-style-language/schema/raw/master/csl-citation.json"} </w:instrText>
      </w:r>
      <w:r w:rsidR="003C0622">
        <w:rPr>
          <w:rFonts w:cs="Times New Roman"/>
        </w:rPr>
        <w:fldChar w:fldCharType="separate"/>
      </w:r>
      <w:r w:rsidR="00B06A88" w:rsidRPr="00E05213">
        <w:rPr>
          <w:rFonts w:cs="Times New Roman"/>
          <w:szCs w:val="24"/>
        </w:rPr>
        <w:t>[14]–[16], [26]–[28]</w:t>
      </w:r>
      <w:r w:rsidR="003C0622">
        <w:rPr>
          <w:rFonts w:cs="Times New Roman"/>
        </w:rPr>
        <w:fldChar w:fldCharType="end"/>
      </w:r>
      <w:r w:rsidR="00501C35">
        <w:rPr>
          <w:rFonts w:cs="Times New Roman"/>
        </w:rPr>
        <w:t xml:space="preserve">. </w:t>
      </w:r>
      <w:r w:rsidR="00D36FFD">
        <w:rPr>
          <w:rFonts w:cs="Times New Roman"/>
        </w:rPr>
        <w:t xml:space="preserve">In addition, </w:t>
      </w:r>
      <w:r w:rsidR="00446082" w:rsidRPr="004F03CB">
        <w:t>multiregional input-output</w:t>
      </w:r>
      <w:r w:rsidR="00446082">
        <w:t xml:space="preserve"> models</w:t>
      </w:r>
      <w:r w:rsidR="00D36FFD">
        <w:rPr>
          <w:rFonts w:cs="Times New Roman"/>
        </w:rPr>
        <w:t xml:space="preserve"> have been used to assess the economic and environmental implications of low carbon transitions </w:t>
      </w:r>
      <w:r w:rsidR="003C0622">
        <w:rPr>
          <w:rFonts w:cs="Times New Roman"/>
        </w:rPr>
        <w:fldChar w:fldCharType="begin"/>
      </w:r>
      <w:r w:rsidR="00B06A88">
        <w:rPr>
          <w:rFonts w:cs="Times New Roman"/>
        </w:rPr>
        <w:instrText xml:space="preserve"> ADDIN ZOTERO_ITEM CSL_CITATION {"citationID":"GD5LZGAN","properties":{"formattedCitation":"[29], [30]","plainCitation":"[29], [30]"},"citationItems":[{"id":3048,"uris":["http://zotero.org/groups/271383/items/FHNKEKUA"],"uri":["http://zotero.org/groups/271383/items/FHNKEKUA"],"itemData":{"id":3048,"type":"article-journal","title":"Towards a Green Energy Economy? A macroeconomic-climate evaluation of Sweden’s CO2 emissions","container-title":"Applied Energy","page":"196-209","volume":"148","source":"ScienceDirect","abstract":"This paper provides a production and consumption-based empirical macroeconomic-climate assessment of Sweden’s CO2 emissions. The core methodology is based on three complementary quantitative methods, namely energy-economy-environment indicators, econometric analyses, and a multi-regional input-output (MRIO) sectoral model. Based on the latest available data (1971–2011), indicators show a sharp decarbonisation of Sweden’s energy supply mix pre-1990, and reductions or reversals in energy intensity, CO2 intensity and energy use post-1990. Reductions in energy intensity are mostly attributed to substantial increases in economic activity rather than reductions in energy use. Econometric results show that variability of CO2 emissions is best explained by CO2 intensity than any other tested variable. The MRIO model shows that the Swedish emissions trading balance is negative with both the European Union and the rest of the world (i.e. embodied CO2 emissions in imports are higher than embodied emissions in exports). Sweden’s low-carbon intensity is a critical and horizontal explanatory factor in our results.","DOI":"10.1016/j.apenergy.2015.03.029","ISSN":"0306-2619","shortTitle":"Towards a Green Energy Economy?","journalAbbreviation":"Applied Energy","author":[{"family":"Mundaca","given":"Luis"},{"family":"Román","given":"Rocio"},{"family":"Cansino","given":"José M."}],"issued":{"date-parts":[["2015",6,15]]}}},{"id":3695,"uris":["http://zotero.org/users/1684209/items/TCDUVUFS"],"uri":["http://zotero.org/users/1684209/items/TCDUVUFS"],"itemData":{"id":3695,"type":"article-journal","title":"Multiplicative decomposition of aggregate carbon intensity change using input–output analysis","container-title":"Applied Energy","page":"13-20","volume":"154","source":"ScienceDirect","abstract":"The indicator “aggregate carbon intensity”, such as that given by the ratio of a country’s CO2 emissions to its GDP, is often used by researchers and policymakers in the study of climate change or environmental performance. A better understanding of the determinants of this indicator is useful in climate policy analysis. This paper introduces four different models to calculate a country’s aggregate carbon intensity using the input–output framework. The models are developed based on different combinations of input–output models, country imports assumptions, and approaches to calculating GDP. Using the four models and multiplicative structural decomposition analysis, the determinants of the aggregate carbon intensity change of China from 2007 to 2010 are studied. The results given by the models are compared and attribution analysis on one of the determinants is conducted. The proposed procedure can be similarly applied to study changes in other aggregate intensity indicators, such as the ratio of energy consumption, water consumption or material use of a country to its GDP.","DOI":"10.1016/j.apenergy.2015.04.101","ISSN":"0306-2619","journalAbbreviation":"Applied Energy","author":[{"family":"Su","given":"Bin"},{"family":"Ang","given":"B. W."}],"issued":{"date-parts":[["2015",9,15]]}}}],"schema":"https://github.com/citation-style-language/schema/raw/master/csl-citation.json"} </w:instrText>
      </w:r>
      <w:r w:rsidR="003C0622">
        <w:rPr>
          <w:rFonts w:cs="Times New Roman"/>
        </w:rPr>
        <w:fldChar w:fldCharType="separate"/>
      </w:r>
      <w:r w:rsidR="00B06A88" w:rsidRPr="00B06A88">
        <w:rPr>
          <w:rFonts w:cs="Times New Roman"/>
        </w:rPr>
        <w:t>[29], [30]</w:t>
      </w:r>
      <w:r w:rsidR="003C0622">
        <w:rPr>
          <w:rFonts w:cs="Times New Roman"/>
        </w:rPr>
        <w:fldChar w:fldCharType="end"/>
      </w:r>
      <w:r w:rsidR="00FA4CE3">
        <w:rPr>
          <w:rFonts w:cs="Times New Roman"/>
        </w:rPr>
        <w:t>.</w:t>
      </w:r>
      <w:r w:rsidR="00D36FFD">
        <w:rPr>
          <w:rFonts w:cs="Times New Roman"/>
        </w:rPr>
        <w:t xml:space="preserve"> </w:t>
      </w:r>
      <w:r>
        <w:rPr>
          <w:rFonts w:cs="Times New Roman"/>
        </w:rPr>
        <w:t>In this</w:t>
      </w:r>
      <w:r w:rsidR="004F03CB" w:rsidRPr="004F03CB">
        <w:rPr>
          <w:rFonts w:cs="Times New Roman"/>
        </w:rPr>
        <w:t xml:space="preserve"> section</w:t>
      </w:r>
      <w:r>
        <w:rPr>
          <w:rFonts w:cs="Times New Roman"/>
        </w:rPr>
        <w:t xml:space="preserve"> we</w:t>
      </w:r>
      <w:r w:rsidR="004F03CB" w:rsidRPr="004F03CB">
        <w:rPr>
          <w:rFonts w:cs="Times New Roman"/>
        </w:rPr>
        <w:t xml:space="preserve"> </w:t>
      </w:r>
      <w:r w:rsidR="00FF013B">
        <w:rPr>
          <w:rFonts w:cs="Times New Roman"/>
        </w:rPr>
        <w:t>p</w:t>
      </w:r>
      <w:r w:rsidR="004F03CB" w:rsidRPr="004F03CB">
        <w:rPr>
          <w:rFonts w:cs="Times New Roman"/>
        </w:rPr>
        <w:t xml:space="preserve">resent </w:t>
      </w:r>
      <w:r>
        <w:rPr>
          <w:rFonts w:cs="Times New Roman"/>
        </w:rPr>
        <w:t>a</w:t>
      </w:r>
      <w:r w:rsidR="004F03CB" w:rsidRPr="004F03CB">
        <w:rPr>
          <w:rFonts w:cs="Times New Roman"/>
        </w:rPr>
        <w:t xml:space="preserve"> </w:t>
      </w:r>
      <w:r w:rsidR="00446082" w:rsidRPr="004F03CB">
        <w:t>multiregional input-output</w:t>
      </w:r>
      <w:r w:rsidR="004F03CB" w:rsidRPr="004F03CB">
        <w:rPr>
          <w:rFonts w:cs="Times New Roman"/>
        </w:rPr>
        <w:t xml:space="preserve"> model</w:t>
      </w:r>
      <w:r w:rsidR="00A262CE">
        <w:rPr>
          <w:rFonts w:cs="Times New Roman"/>
        </w:rPr>
        <w:t xml:space="preserve"> and database</w:t>
      </w:r>
      <w:r w:rsidR="004F03CB" w:rsidRPr="004F03CB">
        <w:rPr>
          <w:rFonts w:cs="Times New Roman"/>
        </w:rPr>
        <w:t xml:space="preserve"> for the calculation of the </w:t>
      </w:r>
      <w:r w:rsidR="00391A83">
        <w:rPr>
          <w:rFonts w:cs="Times New Roman"/>
        </w:rPr>
        <w:t>total</w:t>
      </w:r>
      <w:r w:rsidR="004F03CB" w:rsidRPr="004F03CB">
        <w:rPr>
          <w:rFonts w:cs="Times New Roman"/>
        </w:rPr>
        <w:t xml:space="preserve"> employment effects</w:t>
      </w:r>
      <w:r>
        <w:rPr>
          <w:rFonts w:cs="Times New Roman"/>
        </w:rPr>
        <w:t xml:space="preserve"> generated by</w:t>
      </w:r>
      <w:r w:rsidR="004F03CB" w:rsidRPr="004F03CB">
        <w:rPr>
          <w:rFonts w:cs="Times New Roman"/>
        </w:rPr>
        <w:t xml:space="preserve"> the changes in the </w:t>
      </w:r>
      <w:r w:rsidR="00446082" w:rsidRPr="004F03CB">
        <w:t>electricity</w:t>
      </w:r>
      <w:r w:rsidR="00446082">
        <w:t xml:space="preserve"> and</w:t>
      </w:r>
      <w:r w:rsidR="00446082" w:rsidRPr="004F03CB">
        <w:t xml:space="preserve"> gas supply</w:t>
      </w:r>
      <w:r w:rsidR="004F03CB" w:rsidRPr="004F03CB">
        <w:rPr>
          <w:rFonts w:cs="Times New Roman"/>
        </w:rPr>
        <w:t xml:space="preserve"> sector of the EU</w:t>
      </w:r>
      <w:r>
        <w:rPr>
          <w:rFonts w:cs="Times New Roman"/>
        </w:rPr>
        <w:t xml:space="preserve"> from a multi-regional perspective</w:t>
      </w:r>
      <w:r w:rsidR="004F03CB" w:rsidRPr="004F03CB">
        <w:rPr>
          <w:rFonts w:cs="Times New Roman"/>
        </w:rPr>
        <w:t>.</w:t>
      </w:r>
    </w:p>
    <w:p w:rsidR="004F03CB" w:rsidRPr="004F03CB" w:rsidRDefault="004F03CB" w:rsidP="004F03CB">
      <w:pPr>
        <w:pStyle w:val="Heading2"/>
        <w:rPr>
          <w:rFonts w:cs="Times New Roman"/>
        </w:rPr>
      </w:pPr>
      <w:r w:rsidRPr="004F03CB">
        <w:rPr>
          <w:rFonts w:cs="Times New Roman"/>
        </w:rPr>
        <w:t>The model</w:t>
      </w:r>
    </w:p>
    <w:p w:rsidR="00E05890" w:rsidRPr="007F71E9" w:rsidRDefault="00E05890" w:rsidP="007F71E9">
      <w:r w:rsidRPr="007F71E9">
        <w:t xml:space="preserve">The starting point for the </w:t>
      </w:r>
      <w:r w:rsidR="00A262CE">
        <w:t>construction of the model used is</w:t>
      </w:r>
      <w:r w:rsidRPr="007F71E9">
        <w:t xml:space="preserve"> </w:t>
      </w:r>
      <w:r w:rsidR="00A262CE">
        <w:t>a</w:t>
      </w:r>
      <w:r w:rsidRPr="007F71E9">
        <w:t xml:space="preserve"> </w:t>
      </w:r>
      <w:r w:rsidR="004F03CB" w:rsidRPr="007F71E9">
        <w:t xml:space="preserve">symmetric </w:t>
      </w:r>
      <w:r w:rsidR="00446082" w:rsidRPr="004F03CB">
        <w:t xml:space="preserve">multiregional input-output </w:t>
      </w:r>
      <w:r w:rsidR="00EE2F3E">
        <w:rPr>
          <w:rStyle w:val="FootnoteReference"/>
        </w:rPr>
        <w:footnoteReference w:id="2"/>
      </w:r>
      <w:r w:rsidR="004F03CB" w:rsidRPr="007F71E9">
        <w:t xml:space="preserve"> table</w:t>
      </w:r>
      <w:r w:rsidR="00A262CE">
        <w:t>.</w:t>
      </w:r>
      <w:r w:rsidR="00247023" w:rsidRPr="007F71E9">
        <w:t xml:space="preserve"> </w:t>
      </w:r>
      <w:r w:rsidRPr="007F71E9">
        <w:t>This table describes (in monetary terms) the flows of goods and services between all the individual sectors and countries</w:t>
      </w:r>
      <w:r w:rsidR="009C5F9C">
        <w:t>,</w:t>
      </w:r>
      <w:r w:rsidRPr="007F71E9">
        <w:t xml:space="preserve"> and the use of goods and services by final users. </w:t>
      </w:r>
      <w:r w:rsidR="00A262CE">
        <w:t xml:space="preserve">For the sake of </w:t>
      </w:r>
      <w:r w:rsidR="00235C54">
        <w:t>simplicity,</w:t>
      </w:r>
      <w:r w:rsidR="00A262CE">
        <w:t xml:space="preserve"> we show </w:t>
      </w:r>
      <w:r w:rsidR="00535598">
        <w:t xml:space="preserve">the </w:t>
      </w:r>
      <w:r w:rsidR="00A262CE">
        <w:t xml:space="preserve">structure of the </w:t>
      </w:r>
      <w:r w:rsidR="00446082" w:rsidRPr="004F03CB">
        <w:t>multiregional input-output</w:t>
      </w:r>
      <w:r w:rsidR="00A262CE">
        <w:t xml:space="preserve"> table for three regions, but it can be expanded for any number of regions and sectors. </w:t>
      </w:r>
      <w:r w:rsidRPr="007F71E9">
        <w:t xml:space="preserve">The three main components in the </w:t>
      </w:r>
      <w:r w:rsidR="00446082" w:rsidRPr="004F03CB">
        <w:t>multiregional input-output</w:t>
      </w:r>
      <w:r w:rsidRPr="007F71E9">
        <w:t xml:space="preserve"> table are:</w:t>
      </w:r>
    </w:p>
    <w:p w:rsidR="00E05890" w:rsidRPr="007F71E9" w:rsidRDefault="007F71E9" w:rsidP="004F03CB">
      <w:r w:rsidRPr="007F71E9">
        <w:rPr>
          <w:position w:val="-52"/>
        </w:rPr>
        <w:object w:dxaOrig="220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57.75pt" o:ole="">
            <v:imagedata r:id="rId9" o:title=""/>
          </v:shape>
          <o:OLEObject Type="Embed" ProgID="Equation.3" ShapeID="_x0000_i1025" DrawAspect="Content" ObjectID="_1586251785" r:id="rId10"/>
        </w:object>
      </w:r>
      <w:r w:rsidRPr="007F71E9">
        <w:rPr>
          <w:position w:val="-52"/>
        </w:rPr>
        <w:object w:dxaOrig="2000" w:dyaOrig="1160">
          <v:shape id="_x0000_i1026" type="#_x0000_t75" style="width:99.75pt;height:57.75pt" o:ole="">
            <v:imagedata r:id="rId11" o:title=""/>
          </v:shape>
          <o:OLEObject Type="Embed" ProgID="Equation.3" ShapeID="_x0000_i1026" DrawAspect="Content" ObjectID="_1586251786" r:id="rId12"/>
        </w:object>
      </w:r>
      <w:r w:rsidRPr="007F71E9">
        <w:rPr>
          <w:position w:val="-52"/>
        </w:rPr>
        <w:object w:dxaOrig="900" w:dyaOrig="1160">
          <v:shape id="_x0000_i1027" type="#_x0000_t75" style="width:46.5pt;height:57.75pt" o:ole="">
            <v:imagedata r:id="rId13" o:title=""/>
          </v:shape>
          <o:OLEObject Type="Embed" ProgID="Equation.3" ShapeID="_x0000_i1027" DrawAspect="Content" ObjectID="_1586251787" r:id="rId14"/>
        </w:object>
      </w:r>
    </w:p>
    <w:p w:rsidR="00E05890" w:rsidRPr="007F71E9" w:rsidRDefault="00247023" w:rsidP="007F71E9">
      <w:r w:rsidRPr="007F71E9">
        <w:t>W</w:t>
      </w:r>
      <w:r w:rsidR="00E05890" w:rsidRPr="007F71E9">
        <w:t xml:space="preserve">here </w:t>
      </w:r>
      <w:r w:rsidR="007F71E9" w:rsidRPr="007F71E9">
        <w:rPr>
          <w:position w:val="-4"/>
        </w:rPr>
        <w:object w:dxaOrig="380" w:dyaOrig="300">
          <v:shape id="_x0000_i1028" type="#_x0000_t75" style="width:20.25pt;height:15pt" o:ole="">
            <v:imagedata r:id="rId15" o:title=""/>
          </v:shape>
          <o:OLEObject Type="Embed" ProgID="Equation.3" ShapeID="_x0000_i1028" DrawAspect="Content" ObjectID="_1586251788" r:id="rId16"/>
        </w:object>
      </w:r>
      <w:r w:rsidR="00E05890" w:rsidRPr="007F71E9">
        <w:t xml:space="preserve">is the </w:t>
      </w:r>
      <w:r w:rsidR="00E05890" w:rsidRPr="009C5F9C">
        <w:t xml:space="preserve">matrix of intermediate deliveries from country r to country s, and its element </w:t>
      </w:r>
      <w:r w:rsidR="007F71E9" w:rsidRPr="009C5F9C">
        <w:rPr>
          <w:position w:val="-14"/>
        </w:rPr>
        <w:object w:dxaOrig="320" w:dyaOrig="400">
          <v:shape id="_x0000_i1029" type="#_x0000_t75" style="width:15pt;height:21pt" o:ole="">
            <v:imagedata r:id="rId17" o:title=""/>
          </v:shape>
          <o:OLEObject Type="Embed" ProgID="Equation.3" ShapeID="_x0000_i1029" DrawAspect="Content" ObjectID="_1586251789" r:id="rId18"/>
        </w:object>
      </w:r>
      <w:r w:rsidR="00E05890" w:rsidRPr="009C5F9C">
        <w:t xml:space="preserve">denotes the sales of sector </w:t>
      </w:r>
      <w:proofErr w:type="spellStart"/>
      <w:r w:rsidR="00E05890" w:rsidRPr="00D24045">
        <w:rPr>
          <w:i/>
        </w:rPr>
        <w:t>i</w:t>
      </w:r>
      <w:proofErr w:type="spellEnd"/>
      <w:r w:rsidR="00E05890" w:rsidRPr="009C5F9C">
        <w:t xml:space="preserve"> in country</w:t>
      </w:r>
      <w:r w:rsidR="00E05890" w:rsidRPr="00D24045">
        <w:rPr>
          <w:i/>
        </w:rPr>
        <w:t xml:space="preserve"> r</w:t>
      </w:r>
      <w:r w:rsidR="00E05890" w:rsidRPr="009C5F9C">
        <w:t xml:space="preserve"> to sector </w:t>
      </w:r>
      <w:r w:rsidR="00E05890" w:rsidRPr="00D24045">
        <w:rPr>
          <w:i/>
        </w:rPr>
        <w:t>j</w:t>
      </w:r>
      <w:r w:rsidR="00E05890" w:rsidRPr="009C5F9C">
        <w:t xml:space="preserve"> in country </w:t>
      </w:r>
      <w:r w:rsidR="00E05890" w:rsidRPr="00D24045">
        <w:rPr>
          <w:i/>
        </w:rPr>
        <w:t>s</w:t>
      </w:r>
      <w:r w:rsidR="00E05890" w:rsidRPr="009C5F9C">
        <w:t xml:space="preserve">; </w:t>
      </w:r>
      <w:r w:rsidR="007F71E9" w:rsidRPr="009C5F9C">
        <w:rPr>
          <w:position w:val="-4"/>
        </w:rPr>
        <w:object w:dxaOrig="320" w:dyaOrig="300">
          <v:shape id="_x0000_i1030" type="#_x0000_t75" style="width:17.25pt;height:15pt" o:ole="">
            <v:imagedata r:id="rId19" o:title=""/>
          </v:shape>
          <o:OLEObject Type="Embed" ProgID="Equation.3" ShapeID="_x0000_i1030" DrawAspect="Content" ObjectID="_1586251790" r:id="rId20"/>
        </w:object>
      </w:r>
      <w:r w:rsidR="00E05890" w:rsidRPr="009C5F9C">
        <w:t xml:space="preserve">is a column vector with final demands (i.e. private consumption, government consumption and investments) and its element </w:t>
      </w:r>
      <w:r w:rsidR="007F71E9" w:rsidRPr="009C5F9C">
        <w:rPr>
          <w:position w:val="-12"/>
        </w:rPr>
        <w:object w:dxaOrig="380" w:dyaOrig="380">
          <v:shape id="_x0000_i1031" type="#_x0000_t75" style="width:20.25pt;height:20.25pt" o:ole="">
            <v:imagedata r:id="rId21" o:title=""/>
          </v:shape>
          <o:OLEObject Type="Embed" ProgID="Equation.3" ShapeID="_x0000_i1031" DrawAspect="Content" ObjectID="_1586251791" r:id="rId22"/>
        </w:object>
      </w:r>
      <w:r w:rsidR="00E05890" w:rsidRPr="009C5F9C">
        <w:t xml:space="preserve"> indicates the final demand in country </w:t>
      </w:r>
      <w:r w:rsidR="00E05890" w:rsidRPr="00D24045">
        <w:rPr>
          <w:i/>
        </w:rPr>
        <w:t>s</w:t>
      </w:r>
      <w:r w:rsidR="00E05890" w:rsidRPr="009C5F9C">
        <w:t xml:space="preserve"> for good </w:t>
      </w:r>
      <w:proofErr w:type="spellStart"/>
      <w:r w:rsidR="00E05890" w:rsidRPr="00D24045">
        <w:rPr>
          <w:i/>
        </w:rPr>
        <w:t>i</w:t>
      </w:r>
      <w:proofErr w:type="spellEnd"/>
      <w:r w:rsidR="00E05890" w:rsidRPr="009C5F9C">
        <w:t xml:space="preserve"> produced by country </w:t>
      </w:r>
      <w:r w:rsidR="00E05890" w:rsidRPr="00D24045">
        <w:rPr>
          <w:i/>
        </w:rPr>
        <w:t>r</w:t>
      </w:r>
      <w:r w:rsidR="00E05890" w:rsidRPr="009C5F9C">
        <w:t>; an</w:t>
      </w:r>
      <w:r w:rsidR="007F71E9" w:rsidRPr="009C5F9C">
        <w:t>d</w:t>
      </w:r>
      <w:r w:rsidR="005F5BDB" w:rsidRPr="009C5F9C">
        <w:t xml:space="preserve"> </w:t>
      </w:r>
      <w:r w:rsidR="007F71E9" w:rsidRPr="009C5F9C">
        <w:rPr>
          <w:position w:val="-4"/>
        </w:rPr>
        <w:object w:dxaOrig="279" w:dyaOrig="300">
          <v:shape id="_x0000_i1032" type="#_x0000_t75" style="width:13.5pt;height:15pt" o:ole="">
            <v:imagedata r:id="rId23" o:title=""/>
          </v:shape>
          <o:OLEObject Type="Embed" ProgID="Equation.3" ShapeID="_x0000_i1032" DrawAspect="Content" ObjectID="_1586251792" r:id="rId24"/>
        </w:object>
      </w:r>
      <w:r w:rsidR="00E05890" w:rsidRPr="009C5F9C">
        <w:t xml:space="preserve">is the column vector of gross outputs in country </w:t>
      </w:r>
      <w:r w:rsidR="00E05890" w:rsidRPr="00D24045">
        <w:rPr>
          <w:i/>
        </w:rPr>
        <w:t>r</w:t>
      </w:r>
      <w:r w:rsidR="00E05890" w:rsidRPr="009C5F9C">
        <w:t xml:space="preserve">. Further, the global </w:t>
      </w:r>
      <w:r w:rsidR="00446082" w:rsidRPr="004F03CB">
        <w:t>multiregional input-output</w:t>
      </w:r>
      <w:r w:rsidR="00E05890" w:rsidRPr="007F71E9">
        <w:t xml:space="preserve"> table is extended with a vector </w:t>
      </w:r>
      <w:r w:rsidR="006E5C2D" w:rsidRPr="006E5C2D">
        <w:rPr>
          <w:position w:val="-6"/>
        </w:rPr>
        <w:object w:dxaOrig="240" w:dyaOrig="320">
          <v:shape id="_x0000_i1033" type="#_x0000_t75" style="width:11.25pt;height:15.75pt" o:ole="">
            <v:imagedata r:id="rId25" o:title=""/>
          </v:shape>
          <o:OLEObject Type="Embed" ProgID="Equation.DSMT4" ShapeID="_x0000_i1033" DrawAspect="Content" ObjectID="_1586251793" r:id="rId26"/>
        </w:object>
      </w:r>
      <w:r w:rsidR="00E05890" w:rsidRPr="007F71E9">
        <w:t xml:space="preserve"> with element </w:t>
      </w:r>
      <w:r w:rsidR="006E5C2D" w:rsidRPr="007F71E9">
        <w:rPr>
          <w:position w:val="-12"/>
        </w:rPr>
        <w:object w:dxaOrig="260" w:dyaOrig="380">
          <v:shape id="_x0000_i1034" type="#_x0000_t75" style="width:14.25pt;height:20.25pt" o:ole="">
            <v:imagedata r:id="rId27" o:title=""/>
          </v:shape>
          <o:OLEObject Type="Embed" ProgID="Equation.DSMT4" ShapeID="_x0000_i1034" DrawAspect="Content" ObjectID="_1586251794" r:id="rId28"/>
        </w:object>
      </w:r>
      <w:r w:rsidR="00E05890" w:rsidRPr="007F71E9">
        <w:t xml:space="preserve"> indicating the (national) employment by sector </w:t>
      </w:r>
      <w:proofErr w:type="spellStart"/>
      <w:r w:rsidR="00E05890" w:rsidRPr="00D24045">
        <w:rPr>
          <w:i/>
        </w:rPr>
        <w:t>i</w:t>
      </w:r>
      <w:proofErr w:type="spellEnd"/>
      <w:r w:rsidR="00E05890" w:rsidRPr="007F71E9">
        <w:t xml:space="preserve"> in country </w:t>
      </w:r>
      <w:r w:rsidR="00E05890" w:rsidRPr="00D24045">
        <w:rPr>
          <w:i/>
        </w:rPr>
        <w:t>r</w:t>
      </w:r>
      <w:r w:rsidR="00E05890" w:rsidRPr="007F71E9">
        <w:t>. We define</w:t>
      </w:r>
      <w:r w:rsidR="007F71E9">
        <w:t xml:space="preserve"> </w:t>
      </w:r>
    </w:p>
    <w:p w:rsidR="00E05890" w:rsidRPr="007F71E9" w:rsidRDefault="006E5C2D" w:rsidP="004F03CB">
      <w:r w:rsidRPr="007F71E9">
        <w:rPr>
          <w:position w:val="-52"/>
        </w:rPr>
        <w:object w:dxaOrig="840" w:dyaOrig="1160">
          <v:shape id="_x0000_i1035" type="#_x0000_t75" style="width:41.25pt;height:57.75pt" o:ole="">
            <v:imagedata r:id="rId29" o:title=""/>
          </v:shape>
          <o:OLEObject Type="Embed" ProgID="Equation.DSMT4" ShapeID="_x0000_i1035" DrawAspect="Content" ObjectID="_1586251795" r:id="rId30"/>
        </w:object>
      </w:r>
    </w:p>
    <w:p w:rsidR="00247023" w:rsidRPr="007F71E9" w:rsidRDefault="00E05890" w:rsidP="007F71E9">
      <w:r w:rsidRPr="007F71E9">
        <w:t>The relation betwe</w:t>
      </w:r>
      <w:r w:rsidR="007F71E9">
        <w:t>en</w:t>
      </w:r>
      <w:r w:rsidR="007F71E9" w:rsidRPr="007F71E9">
        <w:rPr>
          <w:position w:val="-4"/>
        </w:rPr>
        <w:object w:dxaOrig="200" w:dyaOrig="200">
          <v:shape id="_x0000_i1036" type="#_x0000_t75" style="width:11.25pt;height:11.25pt" o:ole="">
            <v:imagedata r:id="rId31" o:title=""/>
          </v:shape>
          <o:OLEObject Type="Embed" ProgID="Equation.3" ShapeID="_x0000_i1036" DrawAspect="Content" ObjectID="_1586251796" r:id="rId32"/>
        </w:object>
      </w:r>
      <w:r w:rsidRPr="007F71E9">
        <w:t xml:space="preserve">, </w:t>
      </w:r>
      <w:r w:rsidR="007F71E9" w:rsidRPr="007F71E9">
        <w:rPr>
          <w:position w:val="-4"/>
        </w:rPr>
        <w:object w:dxaOrig="240" w:dyaOrig="260">
          <v:shape id="_x0000_i1037" type="#_x0000_t75" style="width:11.25pt;height:13.5pt" o:ole="">
            <v:imagedata r:id="rId33" o:title=""/>
          </v:shape>
          <o:OLEObject Type="Embed" ProgID="Equation.3" ShapeID="_x0000_i1037" DrawAspect="Content" ObjectID="_1586251797" r:id="rId34"/>
        </w:object>
      </w:r>
      <w:r w:rsidRPr="007F71E9">
        <w:t xml:space="preserve"> and </w:t>
      </w:r>
      <w:r w:rsidR="007F71E9" w:rsidRPr="007F71E9">
        <w:rPr>
          <w:position w:val="-4"/>
        </w:rPr>
        <w:object w:dxaOrig="220" w:dyaOrig="260">
          <v:shape id="_x0000_i1038" type="#_x0000_t75" style="width:11.25pt;height:13.5pt" o:ole="">
            <v:imagedata r:id="rId35" o:title=""/>
          </v:shape>
          <o:OLEObject Type="Embed" ProgID="Equation.3" ShapeID="_x0000_i1038" DrawAspect="Content" ObjectID="_1586251798" r:id="rId36"/>
        </w:object>
      </w:r>
      <w:r w:rsidRPr="007F71E9">
        <w:t xml:space="preserve"> is defined by the accounting equation</w:t>
      </w:r>
      <w:r w:rsidR="009F369F" w:rsidRPr="007F71E9">
        <w:t>:</w:t>
      </w:r>
      <w:r w:rsidR="005F5BDB">
        <w:t xml:space="preserve"> </w:t>
      </w:r>
      <w:r w:rsidR="007F71E9" w:rsidRPr="007F71E9">
        <w:rPr>
          <w:position w:val="-4"/>
        </w:rPr>
        <w:object w:dxaOrig="1140" w:dyaOrig="260">
          <v:shape id="_x0000_i1039" type="#_x0000_t75" style="width:54.75pt;height:13.5pt" o:ole="">
            <v:imagedata r:id="rId37" o:title=""/>
          </v:shape>
          <o:OLEObject Type="Embed" ProgID="Equation.3" ShapeID="_x0000_i1039" DrawAspect="Content" ObjectID="_1586251799" r:id="rId38"/>
        </w:object>
      </w:r>
      <w:r w:rsidRPr="007F71E9">
        <w:t xml:space="preserve"> where </w:t>
      </w:r>
      <w:r w:rsidR="007F71E9" w:rsidRPr="007F71E9">
        <w:rPr>
          <w:position w:val="-4"/>
        </w:rPr>
        <w:object w:dxaOrig="139" w:dyaOrig="260">
          <v:shape id="_x0000_i1040" type="#_x0000_t75" style="width:6.75pt;height:13.5pt" o:ole="">
            <v:imagedata r:id="rId39" o:title=""/>
          </v:shape>
          <o:OLEObject Type="Embed" ProgID="Equation.3" ShapeID="_x0000_i1040" DrawAspect="Content" ObjectID="_1586251800" r:id="rId40"/>
        </w:object>
      </w:r>
      <w:r w:rsidRPr="007F71E9">
        <w:t xml:space="preserve"> is the column summation vector (i.e. a vector with ones) of appropriate length.</w:t>
      </w:r>
    </w:p>
    <w:p w:rsidR="00F52C05" w:rsidRPr="007F71E9" w:rsidRDefault="00E05890" w:rsidP="007F71E9">
      <w:r w:rsidRPr="007F71E9">
        <w:t xml:space="preserve">The </w:t>
      </w:r>
      <w:r w:rsidR="00F52C05" w:rsidRPr="007F71E9">
        <w:t>multi-regional matrix</w:t>
      </w:r>
      <w:r w:rsidRPr="007F71E9">
        <w:t xml:space="preserve"> </w:t>
      </w:r>
      <w:r w:rsidR="00F52C05" w:rsidRPr="007F71E9">
        <w:t>of</w:t>
      </w:r>
      <w:r w:rsidRPr="007F71E9">
        <w:t xml:space="preserve"> input coefficients </w:t>
      </w:r>
      <w:r w:rsidR="00F52C05" w:rsidRPr="007F71E9">
        <w:t>is</w:t>
      </w:r>
      <w:r w:rsidRPr="007F71E9">
        <w:t xml:space="preserve"> defined as</w:t>
      </w:r>
      <w:r w:rsidR="009F369F" w:rsidRPr="007F71E9">
        <w:t>:</w:t>
      </w:r>
      <w:r w:rsidR="005F5BDB">
        <w:t xml:space="preserve"> </w:t>
      </w:r>
      <w:r w:rsidR="007F71E9" w:rsidRPr="007F71E9">
        <w:rPr>
          <w:position w:val="-10"/>
        </w:rPr>
        <w:object w:dxaOrig="1100" w:dyaOrig="380">
          <v:shape id="_x0000_i1041" type="#_x0000_t75" style="width:54pt;height:20.25pt" o:ole="">
            <v:imagedata r:id="rId41" o:title=""/>
          </v:shape>
          <o:OLEObject Type="Embed" ProgID="Equation.3" ShapeID="_x0000_i1041" DrawAspect="Content" ObjectID="_1586251801" r:id="rId42"/>
        </w:object>
      </w:r>
      <w:r w:rsidRPr="007F71E9">
        <w:t xml:space="preserve">where </w:t>
      </w:r>
      <w:r w:rsidR="007F71E9" w:rsidRPr="007F71E9">
        <w:rPr>
          <w:position w:val="-10"/>
        </w:rPr>
        <w:object w:dxaOrig="499" w:dyaOrig="380">
          <v:shape id="_x0000_i1042" type="#_x0000_t75" style="width:25.5pt;height:20.25pt" o:ole="">
            <v:imagedata r:id="rId43" o:title=""/>
          </v:shape>
          <o:OLEObject Type="Embed" ProgID="Equation.3" ShapeID="_x0000_i1042" DrawAspect="Content" ObjectID="_1586251802" r:id="rId44"/>
        </w:object>
      </w:r>
      <w:r w:rsidRPr="007F71E9">
        <w:t xml:space="preserve"> denotes the inverse of the diagonal matrix of the gross output vector. </w:t>
      </w:r>
      <w:r w:rsidR="00F52C05" w:rsidRPr="007F71E9">
        <w:t xml:space="preserve">The element </w:t>
      </w:r>
      <w:r w:rsidR="007F71E9" w:rsidRPr="007F71E9">
        <w:rPr>
          <w:position w:val="-14"/>
        </w:rPr>
        <w:object w:dxaOrig="340" w:dyaOrig="400">
          <v:shape id="_x0000_i1043" type="#_x0000_t75" style="width:18.75pt;height:21pt" o:ole="">
            <v:imagedata r:id="rId45" o:title=""/>
          </v:shape>
          <o:OLEObject Type="Embed" ProgID="Equation.3" ShapeID="_x0000_i1043" DrawAspect="Content" ObjectID="_1586251803" r:id="rId46"/>
        </w:object>
      </w:r>
      <w:r w:rsidR="00F52C05" w:rsidRPr="007F71E9">
        <w:t xml:space="preserve"> of </w:t>
      </w:r>
      <w:r w:rsidR="007F71E9" w:rsidRPr="007F71E9">
        <w:rPr>
          <w:position w:val="-4"/>
        </w:rPr>
        <w:object w:dxaOrig="260" w:dyaOrig="260">
          <v:shape id="_x0000_i1044" type="#_x0000_t75" style="width:13.5pt;height:13.5pt" o:ole="">
            <v:imagedata r:id="rId47" o:title=""/>
          </v:shape>
          <o:OLEObject Type="Embed" ProgID="Equation.3" ShapeID="_x0000_i1044" DrawAspect="Content" ObjectID="_1586251804" r:id="rId48"/>
        </w:object>
      </w:r>
      <w:r w:rsidR="00F52C05" w:rsidRPr="007F71E9">
        <w:t xml:space="preserve"> denotes the inputs from sector </w:t>
      </w:r>
      <w:proofErr w:type="spellStart"/>
      <w:r w:rsidR="00F52C05" w:rsidRPr="00D24045">
        <w:rPr>
          <w:i/>
        </w:rPr>
        <w:t>i</w:t>
      </w:r>
      <w:proofErr w:type="spellEnd"/>
      <w:r w:rsidR="00F52C05" w:rsidRPr="007F71E9">
        <w:t xml:space="preserve"> of region </w:t>
      </w:r>
      <w:r w:rsidR="00F52C05" w:rsidRPr="00D24045">
        <w:rPr>
          <w:i/>
        </w:rPr>
        <w:t>r</w:t>
      </w:r>
      <w:r w:rsidR="00F52C05" w:rsidRPr="007F71E9">
        <w:t xml:space="preserve"> that are used by sector </w:t>
      </w:r>
      <w:r w:rsidR="00F52C05" w:rsidRPr="00D24045">
        <w:rPr>
          <w:i/>
        </w:rPr>
        <w:t>j</w:t>
      </w:r>
      <w:r w:rsidR="00F52C05" w:rsidRPr="007F71E9">
        <w:t xml:space="preserve"> of region </w:t>
      </w:r>
      <w:r w:rsidR="00F52C05" w:rsidRPr="00D24045">
        <w:rPr>
          <w:i/>
        </w:rPr>
        <w:t>s</w:t>
      </w:r>
      <w:r w:rsidR="00F52C05" w:rsidRPr="007F71E9">
        <w:t xml:space="preserve"> to produce one unit of output. Thus, we can define the matrix of total input coefficients as </w:t>
      </w:r>
      <w:r w:rsidR="007F71E9" w:rsidRPr="007F71E9">
        <w:rPr>
          <w:position w:val="-4"/>
        </w:rPr>
        <w:object w:dxaOrig="240" w:dyaOrig="260">
          <v:shape id="_x0000_i1045" type="#_x0000_t75" style="width:11.25pt;height:13.5pt" o:ole="">
            <v:imagedata r:id="rId49" o:title=""/>
          </v:shape>
          <o:OLEObject Type="Embed" ProgID="Equation.3" ShapeID="_x0000_i1045" DrawAspect="Content" ObjectID="_1586251805" r:id="rId50"/>
        </w:object>
      </w:r>
      <w:r w:rsidR="00F52C05" w:rsidRPr="007F71E9">
        <w:t xml:space="preserve">, where the element </w:t>
      </w:r>
      <w:r w:rsidR="007F71E9" w:rsidRPr="007F71E9">
        <w:rPr>
          <w:position w:val="-28"/>
        </w:rPr>
        <w:object w:dxaOrig="1100" w:dyaOrig="540">
          <v:shape id="_x0000_i1046" type="#_x0000_t75" style="width:58.5pt;height:27.75pt" o:ole="">
            <v:imagedata r:id="rId51" o:title=""/>
          </v:shape>
          <o:OLEObject Type="Embed" ProgID="Equation.3" ShapeID="_x0000_i1046" DrawAspect="Content" ObjectID="_1586251806" r:id="rId52"/>
        </w:object>
      </w:r>
      <w:r w:rsidR="00F52C05" w:rsidRPr="007F71E9">
        <w:t xml:space="preserve"> denotes the inputs from sector </w:t>
      </w:r>
      <w:proofErr w:type="spellStart"/>
      <w:r w:rsidR="00F52C05" w:rsidRPr="00D24045">
        <w:rPr>
          <w:i/>
        </w:rPr>
        <w:t>i</w:t>
      </w:r>
      <w:proofErr w:type="spellEnd"/>
      <w:r w:rsidR="00F52C05" w:rsidRPr="007F71E9">
        <w:t xml:space="preserve"> that are used by sector </w:t>
      </w:r>
      <w:r w:rsidR="00F52C05" w:rsidRPr="00D24045">
        <w:rPr>
          <w:i/>
        </w:rPr>
        <w:t>j</w:t>
      </w:r>
      <w:r w:rsidR="00F52C05" w:rsidRPr="007F71E9">
        <w:t xml:space="preserve"> of region </w:t>
      </w:r>
      <w:r w:rsidR="00F52C05" w:rsidRPr="00D24045">
        <w:rPr>
          <w:i/>
        </w:rPr>
        <w:t>s</w:t>
      </w:r>
      <w:r w:rsidR="00F52C05" w:rsidRPr="007F71E9">
        <w:t xml:space="preserve"> to produce one unit of output</w:t>
      </w:r>
      <w:r w:rsidR="000B1E8A" w:rsidRPr="007F71E9">
        <w:t xml:space="preserve"> (regardless </w:t>
      </w:r>
      <w:r w:rsidR="009F369F" w:rsidRPr="007F71E9">
        <w:t xml:space="preserve">of </w:t>
      </w:r>
      <w:r w:rsidR="000B1E8A" w:rsidRPr="007F71E9">
        <w:t>the origin country of those inputs).</w:t>
      </w:r>
    </w:p>
    <w:p w:rsidR="000B1E8A" w:rsidRPr="007F71E9" w:rsidRDefault="000B1E8A" w:rsidP="007F71E9">
      <w:r w:rsidRPr="007F71E9">
        <w:t>We define the intermediate trade shares matrix as</w:t>
      </w:r>
      <w:r w:rsidR="005F5BDB">
        <w:t xml:space="preserve"> </w:t>
      </w:r>
      <w:r w:rsidR="007F71E9" w:rsidRPr="007F71E9">
        <w:rPr>
          <w:position w:val="-4"/>
        </w:rPr>
        <w:object w:dxaOrig="240" w:dyaOrig="260">
          <v:shape id="_x0000_i1047" type="#_x0000_t75" style="width:11.25pt;height:13.5pt" o:ole="">
            <v:imagedata r:id="rId53" o:title=""/>
          </v:shape>
          <o:OLEObject Type="Embed" ProgID="Equation.3" ShapeID="_x0000_i1047" DrawAspect="Content" ObjectID="_1586251807" r:id="rId54"/>
        </w:object>
      </w:r>
      <w:r w:rsidRPr="007F71E9">
        <w:t xml:space="preserve">where the element </w:t>
      </w:r>
      <w:r w:rsidR="007F71E9" w:rsidRPr="007F71E9">
        <w:rPr>
          <w:position w:val="-28"/>
        </w:rPr>
        <w:object w:dxaOrig="1520" w:dyaOrig="540">
          <v:shape id="_x0000_i1048" type="#_x0000_t75" style="width:81pt;height:27.75pt" o:ole="">
            <v:imagedata r:id="rId55" o:title=""/>
          </v:shape>
          <o:OLEObject Type="Embed" ProgID="Equation.3" ShapeID="_x0000_i1048" DrawAspect="Content" ObjectID="_1586251808" r:id="rId56"/>
        </w:object>
      </w:r>
      <w:r w:rsidRPr="007F71E9">
        <w:t xml:space="preserve"> of </w:t>
      </w:r>
      <w:r w:rsidR="007F71E9" w:rsidRPr="007F71E9">
        <w:rPr>
          <w:position w:val="-4"/>
        </w:rPr>
        <w:object w:dxaOrig="240" w:dyaOrig="260">
          <v:shape id="_x0000_i1049" type="#_x0000_t75" style="width:11.25pt;height:13.5pt" o:ole="">
            <v:imagedata r:id="rId57" o:title=""/>
          </v:shape>
          <o:OLEObject Type="Embed" ProgID="Equation.3" ShapeID="_x0000_i1049" DrawAspect="Content" ObjectID="_1586251809" r:id="rId58"/>
        </w:object>
      </w:r>
      <w:r w:rsidRPr="007F71E9">
        <w:t xml:space="preserve"> denotes, for each sector </w:t>
      </w:r>
      <w:r w:rsidRPr="00D24045">
        <w:rPr>
          <w:i/>
        </w:rPr>
        <w:t>j</w:t>
      </w:r>
      <w:r w:rsidRPr="007F71E9">
        <w:t xml:space="preserve"> of country </w:t>
      </w:r>
      <w:r w:rsidRPr="00D24045">
        <w:rPr>
          <w:i/>
        </w:rPr>
        <w:t>s</w:t>
      </w:r>
      <w:r w:rsidRPr="007F71E9">
        <w:t>, the share of inputs that are produced domestically (when</w:t>
      </w:r>
      <w:r w:rsidR="007F71E9" w:rsidRPr="007F71E9">
        <w:rPr>
          <w:position w:val="-6"/>
        </w:rPr>
        <w:object w:dxaOrig="520" w:dyaOrig="220">
          <v:shape id="_x0000_i1050" type="#_x0000_t75" style="width:28.5pt;height:11.25pt" o:ole="">
            <v:imagedata r:id="rId59" o:title=""/>
          </v:shape>
          <o:OLEObject Type="Embed" ProgID="Equation.3" ShapeID="_x0000_i1050" DrawAspect="Content" ObjectID="_1586251810" r:id="rId60"/>
        </w:object>
      </w:r>
      <w:r w:rsidRPr="007F71E9">
        <w:t>) or imported (</w:t>
      </w:r>
      <w:proofErr w:type="gramStart"/>
      <w:r w:rsidRPr="007F71E9">
        <w:t xml:space="preserve">when </w:t>
      </w:r>
      <w:proofErr w:type="gramEnd"/>
      <w:r w:rsidR="007F71E9" w:rsidRPr="007F71E9">
        <w:rPr>
          <w:position w:val="-6"/>
        </w:rPr>
        <w:object w:dxaOrig="540" w:dyaOrig="240">
          <v:shape id="_x0000_i1051" type="#_x0000_t75" style="width:27.75pt;height:11.25pt" o:ole="">
            <v:imagedata r:id="rId61" o:title=""/>
          </v:shape>
          <o:OLEObject Type="Embed" ProgID="Equation.3" ShapeID="_x0000_i1051" DrawAspect="Content" ObjectID="_1586251811" r:id="rId62"/>
        </w:object>
      </w:r>
      <w:r w:rsidRPr="007F71E9">
        <w:t>).</w:t>
      </w:r>
    </w:p>
    <w:p w:rsidR="000B1E8A" w:rsidRPr="007F71E9" w:rsidRDefault="000B1E8A" w:rsidP="007F71E9">
      <w:r w:rsidRPr="007F71E9">
        <w:t>Therefore, the multi-regional matrix of input coefficients can now be expressed as</w:t>
      </w:r>
      <w:r w:rsidR="005F5BDB">
        <w:t xml:space="preserve"> </w:t>
      </w:r>
      <w:r w:rsidR="00373457" w:rsidRPr="00373457">
        <w:rPr>
          <w:position w:val="-4"/>
        </w:rPr>
        <w:object w:dxaOrig="980" w:dyaOrig="260">
          <v:shape id="_x0000_i1052" type="#_x0000_t75" style="width:48.75pt;height:13.5pt" o:ole="">
            <v:imagedata r:id="rId63" o:title=""/>
          </v:shape>
          <o:OLEObject Type="Embed" ProgID="Equation.DSMT4" ShapeID="_x0000_i1052" DrawAspect="Content" ObjectID="_1586251812" r:id="rId64"/>
        </w:object>
      </w:r>
      <w:r w:rsidR="00975B2F" w:rsidRPr="007F71E9">
        <w:t xml:space="preserve"> (where </w:t>
      </w:r>
      <w:r w:rsidR="00373457" w:rsidRPr="0084244B">
        <w:rPr>
          <w:position w:val="-4"/>
        </w:rPr>
        <w:object w:dxaOrig="160" w:dyaOrig="180">
          <v:shape id="_x0000_i1053" type="#_x0000_t75" style="width:7.5pt;height:8.25pt" o:ole="">
            <v:imagedata r:id="rId65" o:title=""/>
          </v:shape>
          <o:OLEObject Type="Embed" ProgID="Equation.DSMT4" ShapeID="_x0000_i1053" DrawAspect="Content" ObjectID="_1586251813" r:id="rId66"/>
        </w:object>
      </w:r>
      <w:r w:rsidR="00975B2F" w:rsidRPr="007F71E9">
        <w:t xml:space="preserve"> denotes the element by element multiplication, i.e. </w:t>
      </w:r>
      <w:proofErr w:type="spellStart"/>
      <w:r w:rsidR="00975B2F" w:rsidRPr="007F71E9">
        <w:t>Hadamard</w:t>
      </w:r>
      <w:proofErr w:type="spellEnd"/>
      <w:r w:rsidR="00975B2F" w:rsidRPr="007F71E9">
        <w:t xml:space="preserve"> product).</w:t>
      </w:r>
    </w:p>
    <w:p w:rsidR="00E05890" w:rsidRPr="007F71E9" w:rsidRDefault="00975B2F" w:rsidP="007F71E9">
      <w:r w:rsidRPr="007F71E9">
        <w:t>Finally</w:t>
      </w:r>
      <w:r w:rsidR="00E05890" w:rsidRPr="007F71E9">
        <w:t>, the employment coefficients are defined as</w:t>
      </w:r>
      <w:r w:rsidR="006E5C2D" w:rsidRPr="006E5C2D">
        <w:rPr>
          <w:position w:val="-16"/>
        </w:rPr>
        <w:object w:dxaOrig="1280" w:dyaOrig="480">
          <v:shape id="_x0000_i1054" type="#_x0000_t75" style="width:63pt;height:24.75pt" o:ole="">
            <v:imagedata r:id="rId67" o:title=""/>
          </v:shape>
          <o:OLEObject Type="Embed" ProgID="Equation.DSMT4" ShapeID="_x0000_i1054" DrawAspect="Content" ObjectID="_1586251814" r:id="rId68"/>
        </w:object>
      </w:r>
      <w:r w:rsidR="00247023" w:rsidRPr="007F71E9">
        <w:t>.</w:t>
      </w:r>
      <w:r w:rsidR="00E05890" w:rsidRPr="007F71E9">
        <w:t xml:space="preserve"> </w:t>
      </w:r>
      <w:r w:rsidR="00247023" w:rsidRPr="007F71E9">
        <w:t>S</w:t>
      </w:r>
      <w:r w:rsidR="00E05890" w:rsidRPr="007F71E9">
        <w:t xml:space="preserve">tacking them gives the vector </w:t>
      </w:r>
      <w:r w:rsidR="00E05890" w:rsidRPr="00535598">
        <w:rPr>
          <w:b/>
        </w:rPr>
        <w:t>e</w:t>
      </w:r>
      <w:r w:rsidR="00E05890" w:rsidRPr="007F71E9">
        <w:t xml:space="preserve">. </w:t>
      </w:r>
    </w:p>
    <w:p w:rsidR="00E05890" w:rsidRDefault="00E05890" w:rsidP="007F71E9">
      <w:r w:rsidRPr="007F71E9">
        <w:lastRenderedPageBreak/>
        <w:t>The accounting equation</w:t>
      </w:r>
      <w:r w:rsidR="007F71E9" w:rsidRPr="007F71E9">
        <w:rPr>
          <w:position w:val="-4"/>
        </w:rPr>
        <w:object w:dxaOrig="1140" w:dyaOrig="260">
          <v:shape id="_x0000_i1055" type="#_x0000_t75" style="width:54.75pt;height:13.5pt" o:ole="">
            <v:imagedata r:id="rId69" o:title=""/>
          </v:shape>
          <o:OLEObject Type="Embed" ProgID="Equation.3" ShapeID="_x0000_i1055" DrawAspect="Content" ObjectID="_1586251815" r:id="rId70"/>
        </w:object>
      </w:r>
      <w:r w:rsidR="00247023" w:rsidRPr="007F71E9">
        <w:t>,</w:t>
      </w:r>
      <w:r w:rsidRPr="007F71E9">
        <w:t xml:space="preserve"> can now be written as the standard input-output model</w:t>
      </w:r>
      <w:proofErr w:type="gramStart"/>
      <w:r w:rsidRPr="007F71E9">
        <w:t>:</w:t>
      </w:r>
      <w:r w:rsidR="007F71E9" w:rsidRPr="007F71E9">
        <w:rPr>
          <w:position w:val="-4"/>
        </w:rPr>
        <w:object w:dxaOrig="1200" w:dyaOrig="260">
          <v:shape id="_x0000_i1056" type="#_x0000_t75" style="width:60pt;height:13.5pt" o:ole="">
            <v:imagedata r:id="rId71" o:title=""/>
          </v:shape>
          <o:OLEObject Type="Embed" ProgID="Equation.3" ShapeID="_x0000_i1056" DrawAspect="Content" ObjectID="_1586251816" r:id="rId72"/>
        </w:object>
      </w:r>
      <w:r w:rsidRPr="007F71E9">
        <w:t>.</w:t>
      </w:r>
      <w:proofErr w:type="gramEnd"/>
      <w:r w:rsidRPr="007F71E9">
        <w:t xml:space="preserve"> For arbitrary final demands </w:t>
      </w:r>
      <w:r w:rsidR="007F71E9" w:rsidRPr="007F71E9">
        <w:rPr>
          <w:position w:val="-4"/>
        </w:rPr>
        <w:object w:dxaOrig="220" w:dyaOrig="260">
          <v:shape id="_x0000_i1057" type="#_x0000_t75" style="width:11.25pt;height:13.5pt" o:ole="">
            <v:imagedata r:id="rId73" o:title=""/>
          </v:shape>
          <o:OLEObject Type="Embed" ProgID="Equation.3" ShapeID="_x0000_i1057" DrawAspect="Content" ObjectID="_1586251817" r:id="rId74"/>
        </w:object>
      </w:r>
      <w:r w:rsidRPr="007F71E9">
        <w:t xml:space="preserve"> the solution to this model is given by</w:t>
      </w:r>
      <w:r w:rsidR="007F71E9" w:rsidRPr="007F71E9">
        <w:rPr>
          <w:position w:val="-4"/>
        </w:rPr>
        <w:object w:dxaOrig="840" w:dyaOrig="260">
          <v:shape id="_x0000_i1058" type="#_x0000_t75" style="width:42pt;height:13.5pt" o:ole="">
            <v:imagedata r:id="rId75" o:title=""/>
          </v:shape>
          <o:OLEObject Type="Embed" ProgID="Equation.3" ShapeID="_x0000_i1058" DrawAspect="Content" ObjectID="_1586251818" r:id="rId76"/>
        </w:object>
      </w:r>
      <w:r w:rsidRPr="007F71E9">
        <w:t xml:space="preserve">, where </w:t>
      </w:r>
      <w:r w:rsidR="00373457" w:rsidRPr="00373457">
        <w:rPr>
          <w:position w:val="-14"/>
        </w:rPr>
        <w:object w:dxaOrig="2560" w:dyaOrig="440">
          <v:shape id="_x0000_i1059" type="#_x0000_t75" style="width:127.5pt;height:23.25pt" o:ole="">
            <v:imagedata r:id="rId77" o:title=""/>
          </v:shape>
          <o:OLEObject Type="Embed" ProgID="Equation.DSMT4" ShapeID="_x0000_i1059" DrawAspect="Content" ObjectID="_1586251819" r:id="rId78"/>
        </w:object>
      </w:r>
      <w:r w:rsidR="005F1CC1" w:rsidRPr="007F71E9">
        <w:t xml:space="preserve"> denotes the Leontief inverse, and the</w:t>
      </w:r>
      <w:r w:rsidRPr="007F71E9">
        <w:t xml:space="preserve"> employment would be given by</w:t>
      </w:r>
    </w:p>
    <w:p w:rsidR="00E05890" w:rsidRPr="007F71E9" w:rsidRDefault="006E5C2D" w:rsidP="004F03CB">
      <w:r w:rsidRPr="006E5C2D">
        <w:rPr>
          <w:position w:val="-14"/>
        </w:rPr>
        <w:object w:dxaOrig="3080" w:dyaOrig="440">
          <v:shape id="_x0000_i1060" type="#_x0000_t75" style="width:153pt;height:23.25pt" o:ole="">
            <v:imagedata r:id="rId79" o:title=""/>
          </v:shape>
          <o:OLEObject Type="Embed" ProgID="Equation.DSMT4" ShapeID="_x0000_i1060" DrawAspect="Content" ObjectID="_1586251820" r:id="rId80"/>
        </w:object>
      </w:r>
      <w:bookmarkStart w:id="0" w:name="_Ref322007597"/>
      <w:bookmarkStart w:id="1" w:name="_Ref330289692"/>
      <w:r>
        <w:tab/>
      </w:r>
      <w:r>
        <w:tab/>
      </w:r>
      <w:r>
        <w:tab/>
      </w:r>
      <w:r>
        <w:tab/>
      </w:r>
      <w:r>
        <w:tab/>
      </w:r>
      <w:r>
        <w:tab/>
      </w:r>
      <w:r w:rsidR="00E05890" w:rsidRPr="007F71E9">
        <w:t>(</w:t>
      </w:r>
      <w:r w:rsidR="003C0622" w:rsidRPr="007F71E9">
        <w:fldChar w:fldCharType="begin"/>
      </w:r>
      <w:r w:rsidR="00E05890" w:rsidRPr="007F71E9">
        <w:instrText xml:space="preserve"> SEQ ( \* ARABIC </w:instrText>
      </w:r>
      <w:r w:rsidR="003C0622" w:rsidRPr="007F71E9">
        <w:fldChar w:fldCharType="separate"/>
      </w:r>
      <w:r w:rsidR="009133D0">
        <w:rPr>
          <w:noProof/>
        </w:rPr>
        <w:t>1</w:t>
      </w:r>
      <w:r w:rsidR="003C0622" w:rsidRPr="007F71E9">
        <w:fldChar w:fldCharType="end"/>
      </w:r>
      <w:bookmarkEnd w:id="0"/>
      <w:r w:rsidR="00E05890" w:rsidRPr="007F71E9">
        <w:t>)</w:t>
      </w:r>
      <w:bookmarkEnd w:id="1"/>
    </w:p>
    <w:p w:rsidR="006E5C2D" w:rsidRDefault="005F1CC1" w:rsidP="007F71E9">
      <w:r w:rsidRPr="007F71E9">
        <w:t>Previous expression</w:t>
      </w:r>
      <w:r w:rsidR="00247023" w:rsidRPr="007F71E9">
        <w:t>s</w:t>
      </w:r>
      <w:r w:rsidRPr="007F71E9">
        <w:t xml:space="preserve"> can be applied to data </w:t>
      </w:r>
      <w:r w:rsidR="00FA4CE3">
        <w:t>from</w:t>
      </w:r>
      <w:r w:rsidRPr="007F71E9">
        <w:t xml:space="preserve"> different years, thus for a specific year </w:t>
      </w:r>
      <w:r w:rsidRPr="00D24045">
        <w:rPr>
          <w:i/>
        </w:rPr>
        <w:t>t</w:t>
      </w:r>
      <w:r w:rsidRPr="007F71E9">
        <w:t xml:space="preserve">, </w:t>
      </w:r>
      <w:r w:rsidR="005733C5" w:rsidRPr="007F71E9">
        <w:t>t</w:t>
      </w:r>
      <w:r w:rsidRPr="007F71E9">
        <w:t>he employment would be given by</w:t>
      </w:r>
    </w:p>
    <w:p w:rsidR="005F1CC1" w:rsidRPr="009067C3" w:rsidRDefault="006E5C2D" w:rsidP="007F71E9">
      <w:r w:rsidRPr="006E5C2D">
        <w:rPr>
          <w:position w:val="-14"/>
        </w:rPr>
        <w:object w:dxaOrig="2260" w:dyaOrig="440">
          <v:shape id="_x0000_i1061" type="#_x0000_t75" style="width:111.75pt;height:23.25pt" o:ole="">
            <v:imagedata r:id="rId81" o:title=""/>
          </v:shape>
          <o:OLEObject Type="Embed" ProgID="Equation.DSMT4" ShapeID="_x0000_i1061" DrawAspect="Content" ObjectID="_1586251821" r:id="rId82"/>
        </w:object>
      </w:r>
      <w:r w:rsidR="00CA5261">
        <w:t xml:space="preserve"> </w:t>
      </w:r>
      <w:r>
        <w:tab/>
      </w:r>
      <w:r>
        <w:tab/>
      </w:r>
      <w:r>
        <w:tab/>
      </w:r>
      <w:r>
        <w:tab/>
      </w:r>
      <w:r w:rsidR="005F1CC1" w:rsidRPr="007F71E9">
        <w:tab/>
      </w:r>
      <w:r w:rsidR="005F1CC1" w:rsidRPr="007F71E9">
        <w:tab/>
      </w:r>
      <w:r w:rsidR="005F1CC1" w:rsidRPr="007F71E9">
        <w:tab/>
      </w:r>
      <w:bookmarkStart w:id="2" w:name="_Ref410820635"/>
      <w:r w:rsidR="005F1CC1" w:rsidRPr="009067C3">
        <w:t>(</w:t>
      </w:r>
      <w:r w:rsidR="003C0622">
        <w:fldChar w:fldCharType="begin"/>
      </w:r>
      <w:r w:rsidR="00ED741A">
        <w:instrText xml:space="preserve"> SEQ ( \* ARABIC </w:instrText>
      </w:r>
      <w:r w:rsidR="003C0622">
        <w:fldChar w:fldCharType="separate"/>
      </w:r>
      <w:r w:rsidR="009133D0">
        <w:rPr>
          <w:noProof/>
        </w:rPr>
        <w:t>2</w:t>
      </w:r>
      <w:r w:rsidR="003C0622">
        <w:fldChar w:fldCharType="end"/>
      </w:r>
      <w:bookmarkEnd w:id="2"/>
      <w:r w:rsidR="005F1CC1" w:rsidRPr="009067C3">
        <w:t>)</w:t>
      </w:r>
    </w:p>
    <w:p w:rsidR="00975B2F" w:rsidRPr="004F03CB" w:rsidRDefault="00975B2F" w:rsidP="007F71E9">
      <w:r w:rsidRPr="004F03CB">
        <w:t xml:space="preserve">Expression </w:t>
      </w:r>
      <w:r w:rsidR="003C0622">
        <w:fldChar w:fldCharType="begin"/>
      </w:r>
      <w:r w:rsidR="005F5BDB">
        <w:instrText xml:space="preserve"> REF _Ref410820635 \h </w:instrText>
      </w:r>
      <w:r w:rsidR="003C0622">
        <w:fldChar w:fldCharType="separate"/>
      </w:r>
      <w:r w:rsidR="009133D0" w:rsidRPr="009067C3">
        <w:t>(</w:t>
      </w:r>
      <w:r w:rsidR="009133D0">
        <w:rPr>
          <w:noProof/>
        </w:rPr>
        <w:t>2</w:t>
      </w:r>
      <w:r w:rsidR="003C0622">
        <w:fldChar w:fldCharType="end"/>
      </w:r>
      <w:r w:rsidR="005F5BDB">
        <w:t>)</w:t>
      </w:r>
      <w:r w:rsidRPr="004F03CB">
        <w:t xml:space="preserve"> can be used to compute the changes in employment due to the changes in the </w:t>
      </w:r>
      <w:r w:rsidR="00BA62C1">
        <w:t xml:space="preserve">input structure </w:t>
      </w:r>
      <w:r w:rsidRPr="004F03CB">
        <w:t xml:space="preserve">of a specific sector </w:t>
      </w:r>
      <w:r w:rsidRPr="004F03CB">
        <w:rPr>
          <w:i/>
        </w:rPr>
        <w:t>j</w:t>
      </w:r>
      <w:r w:rsidRPr="004F03CB">
        <w:t xml:space="preserve"> </w:t>
      </w:r>
      <w:r w:rsidR="00405111">
        <w:t>in</w:t>
      </w:r>
      <w:r w:rsidRPr="004F03CB">
        <w:t xml:space="preserve"> region </w:t>
      </w:r>
      <w:r w:rsidRPr="004F03CB">
        <w:rPr>
          <w:i/>
        </w:rPr>
        <w:t>s</w:t>
      </w:r>
      <w:r w:rsidR="005F1CC1" w:rsidRPr="004F03CB">
        <w:t xml:space="preserve"> between two years, t=0 ant t=1.</w:t>
      </w:r>
      <w:r w:rsidRPr="004F03CB">
        <w:t xml:space="preserve"> </w:t>
      </w:r>
      <w:r w:rsidR="005F1CC1" w:rsidRPr="004F03CB">
        <w:t xml:space="preserve">The idea is </w:t>
      </w:r>
      <w:r w:rsidR="009F369F" w:rsidRPr="004F03CB">
        <w:t xml:space="preserve">to </w:t>
      </w:r>
      <w:r w:rsidR="005F1CC1" w:rsidRPr="004F03CB">
        <w:t>re-calculate</w:t>
      </w:r>
      <w:r w:rsidR="00C26027">
        <w:t xml:space="preserve"> the</w:t>
      </w:r>
      <w:r w:rsidR="005F1CC1" w:rsidRPr="004F03CB">
        <w:t xml:space="preserve"> employment in the year 1, but with the </w:t>
      </w:r>
      <w:r w:rsidR="00BA62C1">
        <w:t>input structure</w:t>
      </w:r>
      <w:r w:rsidR="00BA62C1" w:rsidRPr="004F03CB" w:rsidDel="00BA62C1">
        <w:t xml:space="preserve"> </w:t>
      </w:r>
      <w:r w:rsidR="005F1CC1" w:rsidRPr="004F03CB">
        <w:t>of the year 0 (for the sector ana</w:t>
      </w:r>
      <w:r w:rsidR="009F369F" w:rsidRPr="004F03CB">
        <w:t>l</w:t>
      </w:r>
      <w:r w:rsidR="005F1CC1" w:rsidRPr="004F03CB">
        <w:t>y</w:t>
      </w:r>
      <w:r w:rsidR="00FF013B">
        <w:t>s</w:t>
      </w:r>
      <w:r w:rsidR="005F1CC1" w:rsidRPr="004F03CB">
        <w:t xml:space="preserve">ed) and all the remaining parameters constant (i.e. employment coefficients, </w:t>
      </w:r>
      <w:r w:rsidR="00BA62C1">
        <w:t xml:space="preserve">economic structure </w:t>
      </w:r>
      <w:r w:rsidR="005F1CC1" w:rsidRPr="004F03CB">
        <w:t>of other sectors, trade structure and final demand of the year t=1).</w:t>
      </w:r>
    </w:p>
    <w:p w:rsidR="00DA7AB2" w:rsidRPr="004F03CB" w:rsidRDefault="00405111" w:rsidP="007F71E9">
      <w:r>
        <w:t>A</w:t>
      </w:r>
      <w:r w:rsidR="005F1CC1" w:rsidRPr="004F03CB">
        <w:t xml:space="preserve">ssume that we want to assess the employment effects of the change in the </w:t>
      </w:r>
      <w:r w:rsidR="00BA62C1">
        <w:t xml:space="preserve">input structure </w:t>
      </w:r>
      <w:r w:rsidR="00DA7AB2" w:rsidRPr="004F03CB">
        <w:t xml:space="preserve">between the years </w:t>
      </w:r>
      <w:r w:rsidR="009067C3" w:rsidRPr="00A262CE">
        <w:rPr>
          <w:position w:val="-12"/>
        </w:rPr>
        <w:object w:dxaOrig="220" w:dyaOrig="360">
          <v:shape id="_x0000_i1062" type="#_x0000_t75" style="width:11.25pt;height:18.75pt" o:ole="">
            <v:imagedata r:id="rId83" o:title=""/>
          </v:shape>
          <o:OLEObject Type="Embed" ProgID="Equation.3" ShapeID="_x0000_i1062" DrawAspect="Content" ObjectID="_1586251822" r:id="rId84"/>
        </w:object>
      </w:r>
      <w:r w:rsidR="00A262CE">
        <w:t xml:space="preserve"> </w:t>
      </w:r>
      <w:r w:rsidR="00DA7AB2" w:rsidRPr="004F03CB">
        <w:t xml:space="preserve">and </w:t>
      </w:r>
      <w:r w:rsidR="009067C3" w:rsidRPr="00A262CE">
        <w:rPr>
          <w:position w:val="-10"/>
        </w:rPr>
        <w:object w:dxaOrig="180" w:dyaOrig="340">
          <v:shape id="_x0000_i1063" type="#_x0000_t75" style="width:8.25pt;height:17.25pt" o:ole="">
            <v:imagedata r:id="rId85" o:title=""/>
          </v:shape>
          <o:OLEObject Type="Embed" ProgID="Equation.3" ShapeID="_x0000_i1063" DrawAspect="Content" ObjectID="_1586251823" r:id="rId86"/>
        </w:object>
      </w:r>
      <w:r w:rsidR="005F1CC1" w:rsidRPr="004F03CB">
        <w:t xml:space="preserve">of </w:t>
      </w:r>
      <w:r w:rsidR="00DA7AB2" w:rsidRPr="004F03CB">
        <w:t xml:space="preserve">the </w:t>
      </w:r>
      <w:r w:rsidR="00446082" w:rsidRPr="004F03CB">
        <w:t>electricity</w:t>
      </w:r>
      <w:r w:rsidR="00446082">
        <w:t xml:space="preserve"> and</w:t>
      </w:r>
      <w:r w:rsidR="00446082" w:rsidRPr="004F03CB">
        <w:t xml:space="preserve"> gas supply</w:t>
      </w:r>
      <w:r w:rsidR="00DA7AB2" w:rsidRPr="004F03CB">
        <w:t xml:space="preserve"> sector </w:t>
      </w:r>
      <w:r w:rsidR="005F1CC1" w:rsidRPr="004F03CB">
        <w:t xml:space="preserve">in </w:t>
      </w:r>
      <w:r w:rsidR="00DA7AB2" w:rsidRPr="004F03CB">
        <w:t>two of the countries (countries 2 and 3)</w:t>
      </w:r>
      <w:r w:rsidR="005733C5" w:rsidRPr="004F03CB">
        <w:rPr>
          <w:rStyle w:val="FootnoteReference"/>
          <w:rFonts w:cs="Times New Roman"/>
        </w:rPr>
        <w:footnoteReference w:id="3"/>
      </w:r>
      <w:r w:rsidR="005F1CC1" w:rsidRPr="004F03CB">
        <w:t xml:space="preserve">. </w:t>
      </w:r>
      <w:r w:rsidR="00DA7AB2" w:rsidRPr="004F03CB">
        <w:t xml:space="preserve">The </w:t>
      </w:r>
      <w:r w:rsidR="00BA62C1">
        <w:t xml:space="preserve">input </w:t>
      </w:r>
      <w:r w:rsidR="00DA7AB2" w:rsidRPr="004F03CB">
        <w:t xml:space="preserve">matrices for the years </w:t>
      </w:r>
      <w:r w:rsidR="00A262CE" w:rsidRPr="00A262CE">
        <w:rPr>
          <w:position w:val="-12"/>
        </w:rPr>
        <w:object w:dxaOrig="220" w:dyaOrig="360">
          <v:shape id="_x0000_i1064" type="#_x0000_t75" style="width:11.25pt;height:18.75pt" o:ole="">
            <v:imagedata r:id="rId87" o:title=""/>
          </v:shape>
          <o:OLEObject Type="Embed" ProgID="Equation.3" ShapeID="_x0000_i1064" DrawAspect="Content" ObjectID="_1586251824" r:id="rId88"/>
        </w:object>
      </w:r>
      <w:r w:rsidR="00A262CE">
        <w:t xml:space="preserve"> </w:t>
      </w:r>
      <w:r w:rsidR="00DA7AB2" w:rsidRPr="004F03CB">
        <w:t xml:space="preserve">and </w:t>
      </w:r>
      <w:r w:rsidR="00A262CE" w:rsidRPr="00A262CE">
        <w:rPr>
          <w:position w:val="-10"/>
        </w:rPr>
        <w:object w:dxaOrig="180" w:dyaOrig="340">
          <v:shape id="_x0000_i1065" type="#_x0000_t75" style="width:8.25pt;height:17.25pt" o:ole="">
            <v:imagedata r:id="rId89" o:title=""/>
          </v:shape>
          <o:OLEObject Type="Embed" ProgID="Equation.3" ShapeID="_x0000_i1065" DrawAspect="Content" ObjectID="_1586251825" r:id="rId90"/>
        </w:object>
      </w:r>
      <w:r w:rsidR="00A262CE">
        <w:t xml:space="preserve"> </w:t>
      </w:r>
      <w:r w:rsidR="00DA7AB2" w:rsidRPr="004F03CB">
        <w:t xml:space="preserve">are denoted by </w:t>
      </w:r>
      <w:r w:rsidR="009067C3" w:rsidRPr="00A262CE">
        <w:rPr>
          <w:position w:val="-14"/>
        </w:rPr>
        <w:object w:dxaOrig="360" w:dyaOrig="380">
          <v:shape id="_x0000_i1066" type="#_x0000_t75" style="width:18.75pt;height:18.75pt" o:ole="">
            <v:imagedata r:id="rId91" o:title=""/>
          </v:shape>
          <o:OLEObject Type="Embed" ProgID="Equation.3" ShapeID="_x0000_i1066" DrawAspect="Content" ObjectID="_1586251826" r:id="rId92"/>
        </w:object>
      </w:r>
      <w:r w:rsidR="00DA7AB2" w:rsidRPr="004F03CB">
        <w:t>and</w:t>
      </w:r>
      <w:r w:rsidR="009067C3" w:rsidRPr="00A262CE">
        <w:rPr>
          <w:position w:val="-14"/>
        </w:rPr>
        <w:object w:dxaOrig="360" w:dyaOrig="380">
          <v:shape id="_x0000_i1067" type="#_x0000_t75" style="width:18.75pt;height:18.75pt" o:ole="">
            <v:imagedata r:id="rId93" o:title=""/>
          </v:shape>
          <o:OLEObject Type="Embed" ProgID="Equation.3" ShapeID="_x0000_i1067" DrawAspect="Content" ObjectID="_1586251827" r:id="rId94"/>
        </w:object>
      </w:r>
      <w:r w:rsidR="00394FAF" w:rsidRPr="004F03CB">
        <w:t>,</w:t>
      </w:r>
      <w:r w:rsidR="00DA7AB2" w:rsidRPr="004F03CB">
        <w:t xml:space="preserve"> </w:t>
      </w:r>
      <w:r w:rsidR="00394FAF" w:rsidRPr="004F03CB">
        <w:t xml:space="preserve">where the element </w:t>
      </w:r>
      <w:r w:rsidR="00394FAF" w:rsidRPr="004F03CB">
        <w:rPr>
          <w:position w:val="-14"/>
        </w:rPr>
        <w:object w:dxaOrig="360" w:dyaOrig="400">
          <v:shape id="_x0000_i1068" type="#_x0000_t75" style="width:20.25pt;height:21pt" o:ole="">
            <v:imagedata r:id="rId95" o:title=""/>
          </v:shape>
          <o:OLEObject Type="Embed" ProgID="Equation.3" ShapeID="_x0000_i1068" DrawAspect="Content" ObjectID="_1586251828" r:id="rId96"/>
        </w:object>
      </w:r>
      <w:r w:rsidR="00394FAF" w:rsidRPr="004F03CB">
        <w:t xml:space="preserve"> denotes the inputs from sector </w:t>
      </w:r>
      <w:proofErr w:type="spellStart"/>
      <w:r w:rsidR="00394FAF" w:rsidRPr="004F03CB">
        <w:rPr>
          <w:i/>
        </w:rPr>
        <w:t>i</w:t>
      </w:r>
      <w:proofErr w:type="spellEnd"/>
      <w:r w:rsidR="00394FAF" w:rsidRPr="004F03CB">
        <w:t xml:space="preserve"> that are used by sector </w:t>
      </w:r>
      <w:r w:rsidR="00394FAF" w:rsidRPr="004F03CB">
        <w:rPr>
          <w:i/>
        </w:rPr>
        <w:t>j</w:t>
      </w:r>
      <w:r w:rsidR="00394FAF" w:rsidRPr="004F03CB">
        <w:t xml:space="preserve"> of region </w:t>
      </w:r>
      <w:r w:rsidR="00394FAF" w:rsidRPr="004F03CB">
        <w:rPr>
          <w:i/>
        </w:rPr>
        <w:t>s</w:t>
      </w:r>
      <w:r w:rsidR="00394FAF" w:rsidRPr="004F03CB">
        <w:t xml:space="preserve"> to produce one unit of output, in the</w:t>
      </w:r>
      <w:r w:rsidR="005733C5" w:rsidRPr="004F03CB">
        <w:t xml:space="preserve"> year</w:t>
      </w:r>
      <w:r w:rsidR="009067C3" w:rsidRPr="009067C3">
        <w:rPr>
          <w:position w:val="-6"/>
        </w:rPr>
        <w:object w:dxaOrig="139" w:dyaOrig="240">
          <v:shape id="_x0000_i1069" type="#_x0000_t75" style="width:6.75pt;height:11.25pt" o:ole="">
            <v:imagedata r:id="rId97" o:title=""/>
          </v:shape>
          <o:OLEObject Type="Embed" ProgID="Equation.3" ShapeID="_x0000_i1069" DrawAspect="Content" ObjectID="_1586251829" r:id="rId98"/>
        </w:object>
      </w:r>
      <w:r w:rsidR="005733C5" w:rsidRPr="004F03CB">
        <w:t>. Thus</w:t>
      </w:r>
      <w:r w:rsidR="00394FAF" w:rsidRPr="004F03CB">
        <w:t>, for countries 2 and</w:t>
      </w:r>
      <w:r w:rsidR="005733C5" w:rsidRPr="004F03CB">
        <w:t xml:space="preserve"> 3</w:t>
      </w:r>
      <w:r w:rsidR="00394FAF" w:rsidRPr="004F03CB">
        <w:t>,</w:t>
      </w:r>
      <w:r w:rsidR="00DA7AB2" w:rsidRPr="004F03CB">
        <w:t xml:space="preserve"> the technology of</w:t>
      </w:r>
      <w:r w:rsidR="00446082">
        <w:t xml:space="preserve"> the</w:t>
      </w:r>
      <w:r w:rsidR="00446082" w:rsidRPr="00446082">
        <w:t xml:space="preserve"> </w:t>
      </w:r>
      <w:r w:rsidR="00446082" w:rsidRPr="004F03CB">
        <w:t>electricity</w:t>
      </w:r>
      <w:r w:rsidR="00446082">
        <w:t xml:space="preserve"> and</w:t>
      </w:r>
      <w:r w:rsidR="00446082" w:rsidRPr="004F03CB">
        <w:t xml:space="preserve"> gas supply</w:t>
      </w:r>
      <w:r w:rsidR="00DA7AB2" w:rsidRPr="004F03CB">
        <w:t xml:space="preserve"> sector in the year </w:t>
      </w:r>
      <w:r w:rsidR="00DA7AB2" w:rsidRPr="004F03CB">
        <w:rPr>
          <w:i/>
        </w:rPr>
        <w:t>t</w:t>
      </w:r>
      <w:r w:rsidR="00DA7AB2" w:rsidRPr="004F03CB">
        <w:t xml:space="preserve"> is defined as </w:t>
      </w:r>
      <w:r w:rsidR="00A262CE" w:rsidRPr="004F03CB">
        <w:rPr>
          <w:position w:val="-14"/>
        </w:rPr>
        <w:object w:dxaOrig="639" w:dyaOrig="400">
          <v:shape id="_x0000_i1070" type="#_x0000_t75" style="width:32.25pt;height:21pt" o:ole="">
            <v:imagedata r:id="rId99" o:title=""/>
          </v:shape>
          <o:OLEObject Type="Embed" ProgID="Equation.3" ShapeID="_x0000_i1070" DrawAspect="Content" ObjectID="_1586251830" r:id="rId100"/>
        </w:object>
      </w:r>
      <w:r w:rsidR="00DA7AB2" w:rsidRPr="004F03CB">
        <w:t xml:space="preserve"> and </w:t>
      </w:r>
      <w:r w:rsidR="00CB0A0A" w:rsidRPr="004F03CB">
        <w:rPr>
          <w:position w:val="-14"/>
        </w:rPr>
        <w:object w:dxaOrig="620" w:dyaOrig="400">
          <v:shape id="_x0000_i1071" type="#_x0000_t75" style="width:36pt;height:21.75pt" o:ole="">
            <v:imagedata r:id="rId101" o:title=""/>
          </v:shape>
          <o:OLEObject Type="Embed" ProgID="Equation.DSMT4" ShapeID="_x0000_i1071" DrawAspect="Content" ObjectID="_1586251831" r:id="rId102"/>
        </w:object>
      </w:r>
      <w:r w:rsidR="00CB0A0A">
        <w:t xml:space="preserve"> </w:t>
      </w:r>
      <w:r w:rsidR="00CB0A0A" w:rsidRPr="004F03CB">
        <w:t xml:space="preserve">(for all </w:t>
      </w:r>
      <w:proofErr w:type="spellStart"/>
      <w:r w:rsidR="00CB0A0A" w:rsidRPr="00CB0A0A">
        <w:rPr>
          <w:i/>
        </w:rPr>
        <w:t>i</w:t>
      </w:r>
      <w:proofErr w:type="spellEnd"/>
      <w:r w:rsidR="00CB0A0A" w:rsidRPr="004F03CB">
        <w:t>)</w:t>
      </w:r>
      <w:r w:rsidR="00DA7AB2" w:rsidRPr="004F03CB">
        <w:t xml:space="preserve">. Thus, </w:t>
      </w:r>
      <w:r w:rsidR="00394FAF" w:rsidRPr="004F03CB">
        <w:t>replacing</w:t>
      </w:r>
      <w:r w:rsidR="00DA7AB2" w:rsidRPr="004F03CB">
        <w:t xml:space="preserve"> in </w:t>
      </w:r>
      <w:r w:rsidR="009067C3" w:rsidRPr="00A262CE">
        <w:rPr>
          <w:position w:val="-14"/>
        </w:rPr>
        <w:object w:dxaOrig="360" w:dyaOrig="380">
          <v:shape id="_x0000_i1072" type="#_x0000_t75" style="width:21.75pt;height:21.75pt" o:ole="">
            <v:imagedata r:id="rId103" o:title=""/>
          </v:shape>
          <o:OLEObject Type="Embed" ProgID="Equation.3" ShapeID="_x0000_i1072" DrawAspect="Content" ObjectID="_1586251832" r:id="rId104"/>
        </w:object>
      </w:r>
      <w:r w:rsidR="00394FAF" w:rsidRPr="004F03CB">
        <w:t xml:space="preserve"> the elements </w:t>
      </w:r>
      <w:r w:rsidR="00CB0A0A" w:rsidRPr="004F03CB">
        <w:rPr>
          <w:position w:val="-14"/>
        </w:rPr>
        <w:object w:dxaOrig="660" w:dyaOrig="400">
          <v:shape id="_x0000_i1073" type="#_x0000_t75" style="width:36pt;height:21.75pt" o:ole="">
            <v:imagedata r:id="rId105" o:title=""/>
          </v:shape>
          <o:OLEObject Type="Embed" ProgID="Equation.DSMT4" ShapeID="_x0000_i1073" DrawAspect="Content" ObjectID="_1586251833" r:id="rId106"/>
        </w:object>
      </w:r>
      <w:r w:rsidR="00394FAF" w:rsidRPr="004F03CB">
        <w:t xml:space="preserve"> by </w:t>
      </w:r>
      <w:r w:rsidR="009067C3" w:rsidRPr="004F03CB">
        <w:rPr>
          <w:position w:val="-14"/>
        </w:rPr>
        <w:object w:dxaOrig="700" w:dyaOrig="400">
          <v:shape id="_x0000_i1074" type="#_x0000_t75" style="width:36pt;height:21.75pt" o:ole="">
            <v:imagedata r:id="rId107" o:title=""/>
          </v:shape>
          <o:OLEObject Type="Embed" ProgID="Equation.3" ShapeID="_x0000_i1074" DrawAspect="Content" ObjectID="_1586251834" r:id="rId108"/>
        </w:object>
      </w:r>
      <w:r w:rsidR="00394FAF" w:rsidRPr="004F03CB">
        <w:t xml:space="preserve"> and </w:t>
      </w:r>
      <w:r w:rsidR="009067C3" w:rsidRPr="004F03CB">
        <w:rPr>
          <w:position w:val="-14"/>
        </w:rPr>
        <w:object w:dxaOrig="660" w:dyaOrig="400">
          <v:shape id="_x0000_i1075" type="#_x0000_t75" style="width:36pt;height:21.75pt" o:ole="">
            <v:imagedata r:id="rId109" o:title=""/>
          </v:shape>
          <o:OLEObject Type="Embed" ProgID="Equation.3" ShapeID="_x0000_i1075" DrawAspect="Content" ObjectID="_1586251835" r:id="rId110"/>
        </w:object>
      </w:r>
      <w:r w:rsidR="00394FAF" w:rsidRPr="004F03CB">
        <w:t xml:space="preserve"> by </w:t>
      </w:r>
      <w:r w:rsidR="009067C3" w:rsidRPr="004F03CB">
        <w:rPr>
          <w:position w:val="-14"/>
        </w:rPr>
        <w:object w:dxaOrig="680" w:dyaOrig="400">
          <v:shape id="_x0000_i1076" type="#_x0000_t75" style="width:36pt;height:21.75pt" o:ole="">
            <v:imagedata r:id="rId111" o:title=""/>
          </v:shape>
          <o:OLEObject Type="Embed" ProgID="Equation.3" ShapeID="_x0000_i1076" DrawAspect="Content" ObjectID="_1586251836" r:id="rId112"/>
        </w:object>
      </w:r>
      <w:r w:rsidR="00394FAF" w:rsidRPr="004F03CB">
        <w:t xml:space="preserve"> (for all </w:t>
      </w:r>
      <w:proofErr w:type="spellStart"/>
      <w:r w:rsidR="00394FAF" w:rsidRPr="00CB0A0A">
        <w:rPr>
          <w:i/>
        </w:rPr>
        <w:t>i</w:t>
      </w:r>
      <w:proofErr w:type="spellEnd"/>
      <w:r w:rsidR="00394FAF" w:rsidRPr="004F03CB">
        <w:t xml:space="preserve">) </w:t>
      </w:r>
      <w:r>
        <w:t xml:space="preserve">gives </w:t>
      </w:r>
      <w:r w:rsidR="00394FAF" w:rsidRPr="004F03CB">
        <w:t>a new matrix</w:t>
      </w:r>
      <w:r w:rsidR="009067C3" w:rsidRPr="009067C3">
        <w:rPr>
          <w:position w:val="-14"/>
        </w:rPr>
        <w:object w:dxaOrig="480" w:dyaOrig="420">
          <v:shape id="_x0000_i1077" type="#_x0000_t75" style="width:21.75pt;height:21.75pt" o:ole="">
            <v:imagedata r:id="rId113" o:title=""/>
          </v:shape>
          <o:OLEObject Type="Embed" ProgID="Equation.3" ShapeID="_x0000_i1077" DrawAspect="Content" ObjectID="_1586251837" r:id="rId114"/>
        </w:object>
      </w:r>
      <w:r w:rsidR="00394FAF" w:rsidRPr="004F03CB">
        <w:t>, representing the</w:t>
      </w:r>
      <w:r w:rsidR="00373457">
        <w:t xml:space="preserve"> input</w:t>
      </w:r>
      <w:r w:rsidR="00394FAF" w:rsidRPr="004F03CB">
        <w:t xml:space="preserve"> </w:t>
      </w:r>
      <w:r w:rsidR="00373457">
        <w:t>structure</w:t>
      </w:r>
      <w:r w:rsidR="00394FAF" w:rsidRPr="004F03CB">
        <w:t xml:space="preserve"> of the year </w:t>
      </w:r>
      <w:r w:rsidR="009067C3" w:rsidRPr="00A262CE">
        <w:rPr>
          <w:position w:val="-12"/>
        </w:rPr>
        <w:object w:dxaOrig="220" w:dyaOrig="360">
          <v:shape id="_x0000_i1078" type="#_x0000_t75" style="width:14.25pt;height:21.75pt" o:ole="">
            <v:imagedata r:id="rId87" o:title=""/>
          </v:shape>
          <o:OLEObject Type="Embed" ProgID="Equation.3" ShapeID="_x0000_i1078" DrawAspect="Content" ObjectID="_1586251838" r:id="rId115"/>
        </w:object>
      </w:r>
      <w:r w:rsidR="00394FAF" w:rsidRPr="004F03CB">
        <w:t>for</w:t>
      </w:r>
      <w:r w:rsidR="00446082">
        <w:t xml:space="preserve"> the</w:t>
      </w:r>
      <w:r w:rsidR="00446082" w:rsidRPr="00446082">
        <w:t xml:space="preserve"> </w:t>
      </w:r>
      <w:r w:rsidR="00446082" w:rsidRPr="004F03CB">
        <w:t>electricity</w:t>
      </w:r>
      <w:r w:rsidR="00446082">
        <w:t xml:space="preserve"> and</w:t>
      </w:r>
      <w:r w:rsidR="00446082" w:rsidRPr="004F03CB">
        <w:t xml:space="preserve"> gas supply</w:t>
      </w:r>
      <w:r w:rsidR="00394FAF" w:rsidRPr="004F03CB">
        <w:t xml:space="preserve"> sector in country 2 and 3, and for all the other sectors and countries the technology of the year </w:t>
      </w:r>
      <w:r w:rsidR="009067C3" w:rsidRPr="00A262CE">
        <w:rPr>
          <w:position w:val="-10"/>
        </w:rPr>
        <w:object w:dxaOrig="180" w:dyaOrig="340">
          <v:shape id="_x0000_i1079" type="#_x0000_t75" style="width:7.5pt;height:14.25pt" o:ole="">
            <v:imagedata r:id="rId89" o:title=""/>
          </v:shape>
          <o:OLEObject Type="Embed" ProgID="Equation.3" ShapeID="_x0000_i1079" DrawAspect="Content" ObjectID="_1586251839" r:id="rId116"/>
        </w:object>
      </w:r>
      <w:r w:rsidR="00394FAF" w:rsidRPr="004F03CB">
        <w:t>.</w:t>
      </w:r>
    </w:p>
    <w:p w:rsidR="00394FAF" w:rsidRDefault="00394FAF" w:rsidP="007F71E9">
      <w:r w:rsidRPr="004F03CB">
        <w:t>Thus the change in the employment</w:t>
      </w:r>
      <w:r w:rsidR="008B0742">
        <w:t xml:space="preserve"> of the three regions</w:t>
      </w:r>
      <w:r w:rsidRPr="004F03CB">
        <w:t xml:space="preserve"> due to the change in the </w:t>
      </w:r>
      <w:r w:rsidR="00446082" w:rsidRPr="004F03CB">
        <w:t>electricity</w:t>
      </w:r>
      <w:r w:rsidR="00446082">
        <w:t xml:space="preserve"> and</w:t>
      </w:r>
      <w:r w:rsidR="00446082" w:rsidRPr="004F03CB">
        <w:t xml:space="preserve"> gas supply</w:t>
      </w:r>
      <w:r w:rsidRPr="004F03CB">
        <w:t xml:space="preserve"> of countries 2 and 3 can be calculated as</w:t>
      </w:r>
    </w:p>
    <w:p w:rsidR="009067C3" w:rsidRPr="009067C3" w:rsidRDefault="006E5C2D" w:rsidP="009067C3">
      <w:r w:rsidRPr="006E5C2D">
        <w:rPr>
          <w:position w:val="-18"/>
        </w:rPr>
        <w:object w:dxaOrig="4880" w:dyaOrig="540">
          <v:shape id="_x0000_i1080" type="#_x0000_t75" style="width:244.5pt;height:28.5pt" o:ole="">
            <v:imagedata r:id="rId117" o:title=""/>
          </v:shape>
          <o:OLEObject Type="Embed" ProgID="Equation.DSMT4" ShapeID="_x0000_i1080" DrawAspect="Content" ObjectID="_1586251840" r:id="rId118"/>
        </w:object>
      </w:r>
      <w:bookmarkStart w:id="3" w:name="_Ref411420072"/>
      <w:r>
        <w:tab/>
      </w:r>
      <w:r>
        <w:tab/>
      </w:r>
      <w:r>
        <w:tab/>
      </w:r>
      <w:r w:rsidR="00D043D7">
        <w:tab/>
      </w:r>
      <w:r w:rsidR="009067C3" w:rsidRPr="009067C3">
        <w:t>(</w:t>
      </w:r>
      <w:r w:rsidR="003C0622">
        <w:fldChar w:fldCharType="begin"/>
      </w:r>
      <w:r w:rsidR="00ED741A">
        <w:instrText xml:space="preserve"> SEQ ( \* ARABIC </w:instrText>
      </w:r>
      <w:r w:rsidR="003C0622">
        <w:fldChar w:fldCharType="separate"/>
      </w:r>
      <w:r w:rsidR="009133D0">
        <w:rPr>
          <w:noProof/>
        </w:rPr>
        <w:t>3</w:t>
      </w:r>
      <w:r w:rsidR="003C0622">
        <w:rPr>
          <w:noProof/>
        </w:rPr>
        <w:fldChar w:fldCharType="end"/>
      </w:r>
      <w:r w:rsidR="009067C3" w:rsidRPr="009067C3">
        <w:t>)</w:t>
      </w:r>
      <w:bookmarkEnd w:id="3"/>
    </w:p>
    <w:p w:rsidR="005F1CC1" w:rsidRPr="004F03CB" w:rsidRDefault="005F1CC1" w:rsidP="007F71E9"/>
    <w:p w:rsidR="00A262CE" w:rsidRPr="004F03CB" w:rsidRDefault="00A262CE" w:rsidP="00A262CE">
      <w:pPr>
        <w:pStyle w:val="Heading2"/>
      </w:pPr>
      <w:r w:rsidRPr="004F03CB">
        <w:lastRenderedPageBreak/>
        <w:t>The database</w:t>
      </w:r>
    </w:p>
    <w:p w:rsidR="00A262CE" w:rsidRPr="007F71E9" w:rsidRDefault="00A262CE" w:rsidP="00A262CE">
      <w:r w:rsidRPr="007F71E9">
        <w:t>We use data fr</w:t>
      </w:r>
      <w:r>
        <w:t>o</w:t>
      </w:r>
      <w:r w:rsidRPr="007F71E9">
        <w:t>m the</w:t>
      </w:r>
      <w:r w:rsidR="00535598">
        <w:t xml:space="preserve"> European Commission FP7-funded</w:t>
      </w:r>
      <w:r w:rsidR="00196B21">
        <w:t xml:space="preserve"> </w:t>
      </w:r>
      <w:r w:rsidR="00196B21">
        <w:rPr>
          <w:rFonts w:cs="Times New Roman"/>
        </w:rPr>
        <w:t>World Input-Output Database</w:t>
      </w:r>
      <w:r w:rsidR="00EC7698">
        <w:t xml:space="preserve"> </w:t>
      </w:r>
      <w:r w:rsidR="003C0622">
        <w:fldChar w:fldCharType="begin"/>
      </w:r>
      <w:r w:rsidR="00B06A88">
        <w:instrText xml:space="preserve"> ADDIN ZOTERO_ITEM CSL_CITATION {"citationID":"15bhdavep5","properties":{"formattedCitation":"[17], [18]","plainCitation":"[17], [18]"},"citationItems":[{"id":1102,"uris":["http://zotero.org/users/1684209/items/MF58TVXZ"],"uri":["http://zotero.org/users/1684209/items/MF58TVXZ"],"itemData":{"id":1102,"type":"article-journal","title":"The construction of world input-output tables in the WIOD project","container-title":"Economic Systems Research","page":"71-98","volume":"25","issue":"1","DOI":"10.1080/09535314.2012.761180","ISSN":"0953-5314","journalAbbreviation":"Economic Systems Research","author":[{"family":"Dietzenbacher","given":"Erik"},{"family":"Los","given":"Bart"},{"family":"Stehrer","given":"Robert"},{"family":"Timmer","given":"Marcel"},{"family":"Vries","given":"Gaaitzen","non-dropping-particle":"de"}],"issued":{"date-parts":[["2013",3,1]]}}},{"id":2508,"uris":["http://zotero.org/groups/271383/items/8ZCEGWJX"],"uri":["http://zotero.org/groups/271383/items/8ZCEGWJX"],"itemData":{"id":2508,"type":"article","title":"The World Input</w:instrText>
      </w:r>
      <w:r w:rsidR="00B06A88">
        <w:rPr>
          <w:rFonts w:ascii="Cambria Math" w:hAnsi="Cambria Math" w:cs="Cambria Math"/>
        </w:rPr>
        <w:instrText>‐</w:instrText>
      </w:r>
      <w:r w:rsidR="00B06A88">
        <w:instrText xml:space="preserve">Output Database (WIOD): Contents, Sources and Methods","publisher":"WIOD Background document available at www.wiod.org","author":[{"family":"Timmer","given":"Marcel"}],"issued":{"date-parts":[["2012"]]}}}],"schema":"https://github.com/citation-style-language/schema/raw/master/csl-citation.json"} </w:instrText>
      </w:r>
      <w:r w:rsidR="003C0622">
        <w:fldChar w:fldCharType="separate"/>
      </w:r>
      <w:r w:rsidR="00B06A88" w:rsidRPr="00B06A88">
        <w:rPr>
          <w:rFonts w:cs="Times New Roman"/>
        </w:rPr>
        <w:t>[17], [18]</w:t>
      </w:r>
      <w:r w:rsidR="003C0622">
        <w:fldChar w:fldCharType="end"/>
      </w:r>
      <w:r w:rsidRPr="007F71E9">
        <w:t>. This database comprises a set of harmonis</w:t>
      </w:r>
      <w:r w:rsidR="00D24045">
        <w:t xml:space="preserve">ed symmetric </w:t>
      </w:r>
      <w:r w:rsidR="00E26F71">
        <w:rPr>
          <w:rFonts w:eastAsia="Times New Roman" w:cs="Times New Roman"/>
          <w:lang w:val="en-US" w:eastAsia="es-ES"/>
        </w:rPr>
        <w:t>i</w:t>
      </w:r>
      <w:r w:rsidR="006B29DC">
        <w:rPr>
          <w:rFonts w:eastAsia="Times New Roman" w:cs="Times New Roman"/>
          <w:lang w:val="en-US" w:eastAsia="es-ES"/>
        </w:rPr>
        <w:t>nput-</w:t>
      </w:r>
      <w:r w:rsidR="00E26F71">
        <w:rPr>
          <w:rFonts w:eastAsia="Times New Roman" w:cs="Times New Roman"/>
          <w:lang w:val="en-US" w:eastAsia="es-ES"/>
        </w:rPr>
        <w:t>o</w:t>
      </w:r>
      <w:r w:rsidR="006B29DC">
        <w:rPr>
          <w:rFonts w:eastAsia="Times New Roman" w:cs="Times New Roman"/>
          <w:lang w:val="en-US" w:eastAsia="es-ES"/>
        </w:rPr>
        <w:t>utput</w:t>
      </w:r>
      <w:r w:rsidRPr="007F71E9">
        <w:t xml:space="preserve"> tables</w:t>
      </w:r>
      <w:r w:rsidR="00706222">
        <w:t xml:space="preserve">, </w:t>
      </w:r>
      <w:r w:rsidRPr="007F71E9">
        <w:t xml:space="preserve">valued at current and previous year prices. The </w:t>
      </w:r>
      <w:r w:rsidR="00196B21">
        <w:rPr>
          <w:rFonts w:cs="Times New Roman"/>
        </w:rPr>
        <w:t>World Input-Output Database</w:t>
      </w:r>
      <w:r w:rsidRPr="007F71E9">
        <w:t xml:space="preserve"> distinguishes between 35 industries, spans the period 1995</w:t>
      </w:r>
      <w:r w:rsidR="009067C3">
        <w:t xml:space="preserve"> (</w:t>
      </w:r>
      <w:r w:rsidR="009067C3" w:rsidRPr="00A262CE">
        <w:rPr>
          <w:position w:val="-12"/>
        </w:rPr>
        <w:object w:dxaOrig="220" w:dyaOrig="360">
          <v:shape id="_x0000_i1081" type="#_x0000_t75" style="width:14.25pt;height:21.75pt" o:ole="">
            <v:imagedata r:id="rId87" o:title=""/>
          </v:shape>
          <o:OLEObject Type="Embed" ProgID="Equation.3" ShapeID="_x0000_i1081" DrawAspect="Content" ObjectID="_1586251841" r:id="rId119"/>
        </w:object>
      </w:r>
      <w:r w:rsidR="009067C3">
        <w:t>)</w:t>
      </w:r>
      <w:r w:rsidRPr="007F71E9">
        <w:t xml:space="preserve"> to 2009 </w:t>
      </w:r>
      <w:r w:rsidR="009067C3">
        <w:t>(</w:t>
      </w:r>
      <w:r w:rsidR="009067C3" w:rsidRPr="00A262CE">
        <w:rPr>
          <w:position w:val="-10"/>
        </w:rPr>
        <w:object w:dxaOrig="180" w:dyaOrig="340">
          <v:shape id="_x0000_i1082" type="#_x0000_t75" style="width:7.5pt;height:14.25pt" o:ole="">
            <v:imagedata r:id="rId89" o:title=""/>
          </v:shape>
          <o:OLEObject Type="Embed" ProgID="Equation.3" ShapeID="_x0000_i1082" DrawAspect="Content" ObjectID="_1586251842" r:id="rId120"/>
        </w:object>
      </w:r>
      <w:r w:rsidR="009067C3">
        <w:t xml:space="preserve">) </w:t>
      </w:r>
      <w:r w:rsidRPr="007F71E9">
        <w:t>and covers 41 regions: 27 EU Member States</w:t>
      </w:r>
      <w:r w:rsidR="00FF013B">
        <w:t>,</w:t>
      </w:r>
      <w:r w:rsidRPr="007F71E9">
        <w:t xml:space="preserve"> 13 other major countries in the world and the Rest of the World as an aggregated region. It also includes data on international trade and satellite accounts related to various environmental and socio-economic indicators, including the figures for employment by sector and country that we have used in this paper. The </w:t>
      </w:r>
      <w:r w:rsidR="00196B21">
        <w:rPr>
          <w:rFonts w:cs="Times New Roman"/>
        </w:rPr>
        <w:t>World Input-Output Database</w:t>
      </w:r>
      <w:r w:rsidRPr="007F71E9">
        <w:t xml:space="preserve"> does not report employment figures for the Rest of the World. We estimate these figures using data from the International Labour Organization and the labour productivity of the </w:t>
      </w:r>
      <w:r w:rsidR="00196B21">
        <w:rPr>
          <w:rFonts w:cs="Times New Roman"/>
        </w:rPr>
        <w:t>World Input-Output Database</w:t>
      </w:r>
      <w:r w:rsidRPr="007F71E9">
        <w:t xml:space="preserve"> countries.</w:t>
      </w:r>
    </w:p>
    <w:p w:rsidR="00DB66BB" w:rsidRPr="009B2134" w:rsidRDefault="009067C3" w:rsidP="007F71E9">
      <w:r w:rsidRPr="009B2134">
        <w:t xml:space="preserve">In order to </w:t>
      </w:r>
      <w:r w:rsidR="00D043D7">
        <w:t>use</w:t>
      </w:r>
      <w:r w:rsidRPr="009B2134">
        <w:t xml:space="preserve"> expression </w:t>
      </w:r>
      <w:fldSimple w:instr=" REF _Ref411420072 \h  \* MERGEFORMAT ">
        <w:r w:rsidR="009133D0" w:rsidRPr="009067C3">
          <w:t>(</w:t>
        </w:r>
        <w:r w:rsidR="009133D0">
          <w:rPr>
            <w:noProof/>
          </w:rPr>
          <w:t>3</w:t>
        </w:r>
        <w:r w:rsidR="009133D0" w:rsidRPr="009067C3">
          <w:rPr>
            <w:noProof/>
          </w:rPr>
          <w:t>)</w:t>
        </w:r>
      </w:fldSimple>
      <w:r w:rsidRPr="009B2134">
        <w:t xml:space="preserve"> to calculate the change in the employment </w:t>
      </w:r>
      <w:r w:rsidR="00405111">
        <w:t>resulting from</w:t>
      </w:r>
      <w:r w:rsidRPr="009B2134">
        <w:t xml:space="preserve"> the change in the </w:t>
      </w:r>
      <w:r w:rsidR="00446082" w:rsidRPr="004F03CB">
        <w:t>electricity</w:t>
      </w:r>
      <w:r w:rsidR="00446082">
        <w:t xml:space="preserve"> and</w:t>
      </w:r>
      <w:r w:rsidR="00446082" w:rsidRPr="004F03CB">
        <w:t xml:space="preserve"> gas supply</w:t>
      </w:r>
      <w:r w:rsidR="00446082">
        <w:t xml:space="preserve"> </w:t>
      </w:r>
      <w:r w:rsidR="00D043D7">
        <w:t>sector technologies</w:t>
      </w:r>
      <w:r w:rsidR="00D24045">
        <w:t>,</w:t>
      </w:r>
      <w:r w:rsidRPr="009B2134">
        <w:t xml:space="preserve"> we proceed as follows. First the </w:t>
      </w:r>
      <w:r w:rsidR="00446082" w:rsidRPr="004F03CB">
        <w:t>multiregional input-output</w:t>
      </w:r>
      <w:r w:rsidRPr="009B2134">
        <w:t xml:space="preserve"> tables in current and previous year prices</w:t>
      </w:r>
      <w:r w:rsidR="00FF013B">
        <w:t xml:space="preserve"> are used</w:t>
      </w:r>
      <w:r w:rsidRPr="009B2134">
        <w:t xml:space="preserve"> to express the table of 1995 in 2009 prices. This step is necessary in order to </w:t>
      </w:r>
      <w:r w:rsidR="00B03984" w:rsidRPr="009B2134">
        <w:t>keep the effects of changes in prices out of the analysis</w:t>
      </w:r>
      <w:r w:rsidR="003B2A26">
        <w:t xml:space="preserve"> </w:t>
      </w:r>
      <w:r w:rsidR="003C0622">
        <w:fldChar w:fldCharType="begin"/>
      </w:r>
      <w:r w:rsidR="008B017B">
        <w:instrText xml:space="preserve"> ADDIN ZOTERO_ITEM CSL_CITATION {"citationID":"1ekfaq8ku","properties":{"formattedCitation":"[31]","plainCitation":"[31]"},"citationItems":[{"id":2871,"uris":["http://zotero.org/groups/271383/items/KS37FA3S"],"uri":["http://zotero.org/groups/271383/items/KS37FA3S"],"itemData":{"id":2871,"type":"article-journal","title":"Drivers of the Growth in Global Greenhouse Gas Emissions","container-title":"Environmental Science &amp; Technology","page":"5388-5394","volume":"48","issue":"10","source":"ACS Publications","abstract":"Greenhouse gas emissions increased by 8.9 Gigatons CO2 equivalent (Gt) in the period 1995?2008. A phenomenon that has received due attention is the upsurge of emission transfers via international trade. A question that has remained unanswered is whether trade changes have affected global emissions. For each of five factors (one of which is trade changes) in 40 countries we quantify its contribution to the growth in global emissions. We find that the changes in the levels of consumption per capita have led to an enormous growth in emissions (+14.0 Gt). This effect was partly offset by the changes in technology (?8.4 Gt). Smaller effects are found for population growth (+4.2 Gt) and changes in the composition of the consumption (?1.5 Gt). Changes in the trade structure had a very moderate effect on global emissions (+0.6 Gt). Looking at the geographical distribution, changes in the emerging economies (Brazil, Russia, India, Indonesia and China) have caused 44% of emission growth whereas the increase in their national emissions accounted for 59% of emission growth. This means that 15% (1.4 Gt) of all extra GHG emissions between 1995 and 2008 have been emitted in emerging countries but were caused by changes in other countries.","DOI":"10.1021/es5005347","ISSN":"0013-936X","journalAbbreviation":"Environ. Sci. Technol.","author":[{"family":"Arto","given":"Iñaki"},{"family":"Dietzenbacher","given":"Erik"}],"issued":{"date-parts":[["2014",5,20]]}}}],"schema":"https://github.com/citation-style-language/schema/raw/master/csl-citation.json"} </w:instrText>
      </w:r>
      <w:r w:rsidR="003C0622">
        <w:fldChar w:fldCharType="separate"/>
      </w:r>
      <w:r w:rsidR="008B017B" w:rsidRPr="008B017B">
        <w:rPr>
          <w:rFonts w:cs="Times New Roman"/>
        </w:rPr>
        <w:t>[31]</w:t>
      </w:r>
      <w:r w:rsidR="003C0622">
        <w:fldChar w:fldCharType="end"/>
      </w:r>
      <w:r w:rsidR="00B03984" w:rsidRPr="009B2134">
        <w:t xml:space="preserve">. </w:t>
      </w:r>
      <w:r w:rsidR="00405111">
        <w:t>When</w:t>
      </w:r>
      <w:r w:rsidR="00DB66BB" w:rsidRPr="009B2134">
        <w:t xml:space="preserve"> </w:t>
      </w:r>
      <w:r w:rsidR="006F5D26" w:rsidRPr="009B2134">
        <w:t>checking the deflators of the gross</w:t>
      </w:r>
      <w:r w:rsidR="003B2A26">
        <w:t xml:space="preserve"> </w:t>
      </w:r>
      <w:r w:rsidR="006F5D26" w:rsidRPr="009B2134">
        <w:t>ou</w:t>
      </w:r>
      <w:r w:rsidR="003B2A26">
        <w:t>t</w:t>
      </w:r>
      <w:r w:rsidR="006F5D26" w:rsidRPr="009B2134">
        <w:t xml:space="preserve">put in the socioeconomic accounts of </w:t>
      </w:r>
      <w:r w:rsidR="00196B21">
        <w:t xml:space="preserve">the </w:t>
      </w:r>
      <w:r w:rsidR="00196B21">
        <w:rPr>
          <w:rFonts w:cs="Times New Roman"/>
        </w:rPr>
        <w:t>World Input-Output Database</w:t>
      </w:r>
      <w:r w:rsidR="00DB66BB" w:rsidRPr="009B2134">
        <w:t xml:space="preserve"> we found </w:t>
      </w:r>
      <w:r w:rsidR="006F5D26" w:rsidRPr="009B2134">
        <w:t>that the</w:t>
      </w:r>
      <w:r w:rsidR="00DB66BB" w:rsidRPr="009B2134">
        <w:t xml:space="preserve"> figures for Bulgaria and Romania </w:t>
      </w:r>
      <w:r w:rsidR="006F5D26" w:rsidRPr="009B2134">
        <w:t>were not consistent with EUR</w:t>
      </w:r>
      <w:r w:rsidR="00CB0A0A">
        <w:t>O</w:t>
      </w:r>
      <w:r w:rsidR="006F5D26" w:rsidRPr="009B2134">
        <w:t>STA</w:t>
      </w:r>
      <w:r w:rsidR="00CB0A0A">
        <w:t>T</w:t>
      </w:r>
      <w:r w:rsidR="006F5D26" w:rsidRPr="009B2134">
        <w:t xml:space="preserve"> data and </w:t>
      </w:r>
      <w:r w:rsidR="00405111">
        <w:t xml:space="preserve">so </w:t>
      </w:r>
      <w:r w:rsidR="006F5D26" w:rsidRPr="009B2134">
        <w:t xml:space="preserve">we decided to </w:t>
      </w:r>
      <w:r w:rsidR="00DB66BB" w:rsidRPr="009B2134">
        <w:t>keep these two countries out of the analysis.</w:t>
      </w:r>
      <w:r w:rsidR="006F5D26" w:rsidRPr="009B2134">
        <w:t xml:space="preserve"> </w:t>
      </w:r>
      <w:r w:rsidR="003B2A26" w:rsidRPr="009B2134">
        <w:t>Therefore</w:t>
      </w:r>
      <w:r w:rsidR="006F5D26" w:rsidRPr="009B2134">
        <w:t xml:space="preserve"> </w:t>
      </w:r>
      <w:r w:rsidR="00FF013B">
        <w:t xml:space="preserve">the </w:t>
      </w:r>
      <w:r w:rsidR="006F5D26" w:rsidRPr="009B2134">
        <w:t xml:space="preserve">analysis </w:t>
      </w:r>
      <w:r w:rsidR="00FF013B">
        <w:t xml:space="preserve">was limited </w:t>
      </w:r>
      <w:r w:rsidR="006F5D26" w:rsidRPr="009B2134">
        <w:t xml:space="preserve">to the changes in the </w:t>
      </w:r>
      <w:r w:rsidR="00446082" w:rsidRPr="004F03CB">
        <w:t>electricity</w:t>
      </w:r>
      <w:r w:rsidR="00446082">
        <w:t xml:space="preserve"> and</w:t>
      </w:r>
      <w:r w:rsidR="00446082" w:rsidRPr="004F03CB">
        <w:t xml:space="preserve"> gas supply</w:t>
      </w:r>
      <w:r w:rsidR="006F5D26" w:rsidRPr="009B2134">
        <w:t xml:space="preserve"> sector of the remaining 25 member states</w:t>
      </w:r>
      <w:r w:rsidR="00134ECB">
        <w:t>,</w:t>
      </w:r>
      <w:r w:rsidR="006F5D26" w:rsidRPr="009B2134">
        <w:t xml:space="preserve"> which</w:t>
      </w:r>
      <w:r w:rsidR="00D043D7">
        <w:t>,</w:t>
      </w:r>
      <w:r w:rsidR="006F5D26" w:rsidRPr="009B2134">
        <w:t xml:space="preserve"> in 2009</w:t>
      </w:r>
      <w:r w:rsidR="00D043D7">
        <w:t>,</w:t>
      </w:r>
      <w:r w:rsidR="006F5D26" w:rsidRPr="009B2134">
        <w:t xml:space="preserve"> represent</w:t>
      </w:r>
      <w:r w:rsidR="00D043D7">
        <w:t>ed</w:t>
      </w:r>
      <w:r w:rsidR="006F5D26" w:rsidRPr="009B2134">
        <w:t xml:space="preserve"> more than 98% of the EU GDP and 97% of the total primary energy supply.</w:t>
      </w:r>
    </w:p>
    <w:p w:rsidR="00A262CE" w:rsidRPr="009B2134" w:rsidRDefault="00FF013B" w:rsidP="007F71E9">
      <w:r>
        <w:t xml:space="preserve">Given </w:t>
      </w:r>
      <w:r w:rsidR="00B03984" w:rsidRPr="009B2134">
        <w:t xml:space="preserve">the </w:t>
      </w:r>
      <w:r w:rsidR="00446082" w:rsidRPr="004F03CB">
        <w:t>multiregional input-output</w:t>
      </w:r>
      <w:r w:rsidR="00446082">
        <w:t xml:space="preserve"> tables</w:t>
      </w:r>
      <w:r w:rsidR="00B03984" w:rsidRPr="009B2134">
        <w:t xml:space="preserve"> of 1995 in 2009 prices</w:t>
      </w:r>
      <w:r w:rsidR="00E63B6A">
        <w:t>,</w:t>
      </w:r>
      <w:r w:rsidR="00B03984" w:rsidRPr="009B2134">
        <w:t xml:space="preserve"> we calculated, for the </w:t>
      </w:r>
      <w:r w:rsidR="009B2134" w:rsidRPr="009B2134">
        <w:t xml:space="preserve">(25) </w:t>
      </w:r>
      <w:r w:rsidR="00B03984" w:rsidRPr="009B2134">
        <w:t xml:space="preserve">EU countries, </w:t>
      </w:r>
      <w:r w:rsidR="00405111">
        <w:t xml:space="preserve">all </w:t>
      </w:r>
      <w:r w:rsidR="00B03984" w:rsidRPr="009B2134">
        <w:t xml:space="preserve">the technical coefficients of the </w:t>
      </w:r>
      <w:r w:rsidR="00446082" w:rsidRPr="004F03CB">
        <w:t>electricity</w:t>
      </w:r>
      <w:r w:rsidR="00446082">
        <w:t xml:space="preserve"> and</w:t>
      </w:r>
      <w:r w:rsidR="00446082" w:rsidRPr="004F03CB">
        <w:t xml:space="preserve"> gas supply</w:t>
      </w:r>
      <w:r w:rsidR="00446082">
        <w:t xml:space="preserve"> </w:t>
      </w:r>
      <w:r w:rsidR="00B03984" w:rsidRPr="009B2134">
        <w:t>sector (sector 17</w:t>
      </w:r>
      <w:r w:rsidR="00706222">
        <w:rPr>
          <w:rStyle w:val="FootnoteReference"/>
        </w:rPr>
        <w:footnoteReference w:id="4"/>
      </w:r>
      <w:r w:rsidR="00706222">
        <w:t xml:space="preserve"> </w:t>
      </w:r>
      <w:r w:rsidR="00B03984" w:rsidRPr="009B2134">
        <w:t xml:space="preserve">in </w:t>
      </w:r>
      <w:r w:rsidR="00196B21">
        <w:t xml:space="preserve">the </w:t>
      </w:r>
      <w:r w:rsidR="00196B21">
        <w:rPr>
          <w:rFonts w:cs="Times New Roman"/>
        </w:rPr>
        <w:t>World Input-Output Database</w:t>
      </w:r>
      <w:r w:rsidR="00B03984" w:rsidRPr="009B2134">
        <w:t xml:space="preserve">) for the year 1995 at 2009 prices. Then, we replaced </w:t>
      </w:r>
      <w:r w:rsidR="00DB66BB" w:rsidRPr="009B2134">
        <w:t xml:space="preserve">the </w:t>
      </w:r>
      <w:r w:rsidR="00B03984" w:rsidRPr="009B2134">
        <w:t xml:space="preserve">total technical </w:t>
      </w:r>
      <w:r w:rsidR="00DB66BB" w:rsidRPr="009B2134">
        <w:t>coefficients</w:t>
      </w:r>
      <w:r w:rsidR="00B03984" w:rsidRPr="009B2134">
        <w:t xml:space="preserve"> of the </w:t>
      </w:r>
      <w:r w:rsidR="00446082" w:rsidRPr="004F03CB">
        <w:t>electricity</w:t>
      </w:r>
      <w:r w:rsidR="00446082">
        <w:t xml:space="preserve"> and</w:t>
      </w:r>
      <w:r w:rsidR="00446082" w:rsidRPr="004F03CB">
        <w:t xml:space="preserve"> gas supply</w:t>
      </w:r>
      <w:r w:rsidR="00446082">
        <w:t xml:space="preserve"> </w:t>
      </w:r>
      <w:r w:rsidR="00B03984" w:rsidRPr="009B2134">
        <w:t xml:space="preserve">of the EU countries </w:t>
      </w:r>
      <w:r w:rsidR="00DB66BB" w:rsidRPr="009B2134">
        <w:t xml:space="preserve">in 2009 </w:t>
      </w:r>
      <w:r w:rsidR="00B03984" w:rsidRPr="009B2134">
        <w:t xml:space="preserve">by these </w:t>
      </w:r>
      <w:r w:rsidR="00DB66BB" w:rsidRPr="009B2134">
        <w:t>total coefficients</w:t>
      </w:r>
      <w:r w:rsidR="009B2134" w:rsidRPr="009B2134">
        <w:t xml:space="preserve"> of 1995 at 2009 prices</w:t>
      </w:r>
      <w:r w:rsidR="00DB66BB" w:rsidRPr="009B2134">
        <w:t xml:space="preserve">, which results in the </w:t>
      </w:r>
      <w:r w:rsidR="00B03984" w:rsidRPr="009B2134">
        <w:rPr>
          <w:position w:val="-14"/>
        </w:rPr>
        <w:object w:dxaOrig="480" w:dyaOrig="420">
          <v:shape id="_x0000_i1083" type="#_x0000_t75" style="width:21.75pt;height:21.75pt" o:ole="">
            <v:imagedata r:id="rId113" o:title=""/>
          </v:shape>
          <o:OLEObject Type="Embed" ProgID="Equation.3" ShapeID="_x0000_i1083" DrawAspect="Content" ObjectID="_1586251843" r:id="rId121"/>
        </w:object>
      </w:r>
      <w:r w:rsidR="00B03984" w:rsidRPr="009B2134">
        <w:t xml:space="preserve"> </w:t>
      </w:r>
      <w:r w:rsidR="00DB66BB" w:rsidRPr="009B2134">
        <w:t xml:space="preserve">expression </w:t>
      </w:r>
      <w:fldSimple w:instr=" REF _Ref411420072 \h  \* MERGEFORMAT ">
        <w:r w:rsidR="009133D0" w:rsidRPr="009067C3">
          <w:t>(</w:t>
        </w:r>
        <w:r w:rsidR="009133D0">
          <w:rPr>
            <w:noProof/>
          </w:rPr>
          <w:t>3</w:t>
        </w:r>
        <w:r w:rsidR="009133D0" w:rsidRPr="009067C3">
          <w:rPr>
            <w:noProof/>
          </w:rPr>
          <w:t>)</w:t>
        </w:r>
      </w:fldSimple>
      <w:r w:rsidR="00B03984" w:rsidRPr="009B2134">
        <w:t xml:space="preserve">. </w:t>
      </w:r>
    </w:p>
    <w:p w:rsidR="00247023" w:rsidRPr="004F03CB" w:rsidRDefault="00247023" w:rsidP="004F03CB">
      <w:pPr>
        <w:pStyle w:val="Heading1"/>
        <w:rPr>
          <w:rFonts w:cs="Times New Roman"/>
        </w:rPr>
      </w:pPr>
      <w:r w:rsidRPr="004F03CB">
        <w:rPr>
          <w:rFonts w:cs="Times New Roman"/>
        </w:rPr>
        <w:t>Results</w:t>
      </w:r>
      <w:r w:rsidR="00933F44">
        <w:rPr>
          <w:rFonts w:cs="Times New Roman"/>
        </w:rPr>
        <w:t xml:space="preserve"> and discussion</w:t>
      </w:r>
    </w:p>
    <w:p w:rsidR="00187827" w:rsidRDefault="004315BF" w:rsidP="004F03CB">
      <w:pPr>
        <w:spacing w:after="0"/>
        <w:rPr>
          <w:rFonts w:cs="Times New Roman"/>
        </w:rPr>
      </w:pPr>
      <w:r>
        <w:rPr>
          <w:rFonts w:cs="Times New Roman"/>
        </w:rPr>
        <w:t>During the period 1995-2009 the energy system of the EU suffered a series of transformation</w:t>
      </w:r>
      <w:r w:rsidR="007B12DE">
        <w:rPr>
          <w:rFonts w:cs="Times New Roman"/>
        </w:rPr>
        <w:t>s</w:t>
      </w:r>
      <w:r>
        <w:rPr>
          <w:rFonts w:cs="Times New Roman"/>
        </w:rPr>
        <w:t xml:space="preserve">, </w:t>
      </w:r>
      <w:r w:rsidR="00187827">
        <w:rPr>
          <w:rFonts w:cs="Times New Roman"/>
        </w:rPr>
        <w:t xml:space="preserve">characterized by an increase in the share </w:t>
      </w:r>
      <w:r w:rsidR="00FF013B">
        <w:rPr>
          <w:rFonts w:cs="Times New Roman"/>
        </w:rPr>
        <w:t xml:space="preserve">of </w:t>
      </w:r>
      <w:r w:rsidR="00187827">
        <w:rPr>
          <w:rFonts w:cs="Times New Roman"/>
        </w:rPr>
        <w:t>renewa</w:t>
      </w:r>
      <w:r w:rsidR="00FF013B">
        <w:rPr>
          <w:rFonts w:cs="Times New Roman"/>
        </w:rPr>
        <w:t>b</w:t>
      </w:r>
      <w:r w:rsidR="00187827">
        <w:rPr>
          <w:rFonts w:cs="Times New Roman"/>
        </w:rPr>
        <w:t>l</w:t>
      </w:r>
      <w:r w:rsidR="00FF013B">
        <w:rPr>
          <w:rFonts w:cs="Times New Roman"/>
        </w:rPr>
        <w:t>e</w:t>
      </w:r>
      <w:r w:rsidR="00187827">
        <w:rPr>
          <w:rFonts w:cs="Times New Roman"/>
        </w:rPr>
        <w:t xml:space="preserve">s and gas in the total primary energy supply </w:t>
      </w:r>
      <w:r w:rsidR="00187827">
        <w:rPr>
          <w:rFonts w:cs="Times New Roman"/>
        </w:rPr>
        <w:lastRenderedPageBreak/>
        <w:t xml:space="preserve">and, </w:t>
      </w:r>
      <w:r w:rsidR="0043270F">
        <w:rPr>
          <w:rFonts w:cs="Times New Roman"/>
        </w:rPr>
        <w:t>e</w:t>
      </w:r>
      <w:r w:rsidR="00187827">
        <w:rPr>
          <w:rFonts w:cs="Times New Roman"/>
        </w:rPr>
        <w:t xml:space="preserve">specially, in the electricity </w:t>
      </w:r>
      <w:r w:rsidR="008106FA">
        <w:rPr>
          <w:rFonts w:cs="Times New Roman"/>
        </w:rPr>
        <w:t xml:space="preserve">and heat input </w:t>
      </w:r>
      <w:r w:rsidR="00187827">
        <w:rPr>
          <w:rFonts w:cs="Times New Roman"/>
        </w:rPr>
        <w:t>mix</w:t>
      </w:r>
      <w:r w:rsidR="00A91DDB">
        <w:rPr>
          <w:rFonts w:cs="Times New Roman"/>
        </w:rPr>
        <w:t xml:space="preserve"> (</w:t>
      </w:r>
      <w:r w:rsidR="003C0622">
        <w:rPr>
          <w:rFonts w:cs="Times New Roman"/>
        </w:rPr>
        <w:fldChar w:fldCharType="begin"/>
      </w:r>
      <w:r w:rsidR="00A91DDB">
        <w:rPr>
          <w:rFonts w:cs="Times New Roman"/>
        </w:rPr>
        <w:instrText xml:space="preserve"> REF _Ref411354358 \h </w:instrText>
      </w:r>
      <w:r w:rsidR="003C0622">
        <w:rPr>
          <w:rFonts w:cs="Times New Roman"/>
        </w:rPr>
      </w:r>
      <w:r w:rsidR="003C0622">
        <w:rPr>
          <w:rFonts w:cs="Times New Roman"/>
        </w:rPr>
        <w:fldChar w:fldCharType="separate"/>
      </w:r>
      <w:r w:rsidR="009133D0">
        <w:t xml:space="preserve">Figure </w:t>
      </w:r>
      <w:r w:rsidR="009133D0">
        <w:rPr>
          <w:noProof/>
        </w:rPr>
        <w:t>1</w:t>
      </w:r>
      <w:r w:rsidR="003C0622">
        <w:rPr>
          <w:rFonts w:cs="Times New Roman"/>
        </w:rPr>
        <w:fldChar w:fldCharType="end"/>
      </w:r>
      <w:r w:rsidR="00A91DDB">
        <w:rPr>
          <w:rFonts w:cs="Times New Roman"/>
        </w:rPr>
        <w:t>a and b)</w:t>
      </w:r>
      <w:r>
        <w:rPr>
          <w:rFonts w:cs="Times New Roman"/>
        </w:rPr>
        <w:t>.</w:t>
      </w:r>
      <w:r>
        <w:rPr>
          <w:rStyle w:val="FootnoteReference"/>
          <w:rFonts w:cs="Times New Roman"/>
        </w:rPr>
        <w:footnoteReference w:id="5"/>
      </w:r>
      <w:r>
        <w:rPr>
          <w:rFonts w:cs="Times New Roman"/>
        </w:rPr>
        <w:t xml:space="preserve"> </w:t>
      </w:r>
      <w:r w:rsidR="00784D42">
        <w:rPr>
          <w:rFonts w:cs="Times New Roman"/>
        </w:rPr>
        <w:t xml:space="preserve">According to the energy balances of the International Energy Agency </w:t>
      </w:r>
      <w:r w:rsidR="003C0622" w:rsidRPr="003B2A26">
        <w:rPr>
          <w:rFonts w:cs="Times New Roman"/>
        </w:rPr>
        <w:fldChar w:fldCharType="begin"/>
      </w:r>
      <w:r w:rsidR="00AC5F4C">
        <w:rPr>
          <w:rFonts w:cs="Times New Roman"/>
        </w:rPr>
        <w:instrText xml:space="preserve"> ADDIN ZOTERO_ITEM CSL_CITATION {"citationID":"br59a0quv","properties":{"formattedCitation":"[32]","plainCitation":"[32]"},"citationItems":[{"id":2874,"uris":["http://zotero.org/groups/271383/items/9XNI93H3"],"uri":["http://zotero.org/groups/271383/items/9XNI93H3"],"itemData":{"id":2874,"type":"webpage","URL":"http://www.iea.org","author":[{"family":"International Energy Agency","given":""}],"issued":{"date-parts":[["2014"]]}}}],"schema":"https://github.com/citation-style-language/schema/raw/master/csl-citation.json"} </w:instrText>
      </w:r>
      <w:r w:rsidR="003C0622" w:rsidRPr="003B2A26">
        <w:rPr>
          <w:rFonts w:cs="Times New Roman"/>
        </w:rPr>
        <w:fldChar w:fldCharType="separate"/>
      </w:r>
      <w:r w:rsidR="008B017B" w:rsidRPr="008B017B">
        <w:rPr>
          <w:rFonts w:cs="Times New Roman"/>
        </w:rPr>
        <w:t>[32]</w:t>
      </w:r>
      <w:r w:rsidR="003C0622" w:rsidRPr="003B2A26">
        <w:rPr>
          <w:rFonts w:cs="Times New Roman"/>
        </w:rPr>
        <w:fldChar w:fldCharType="end"/>
      </w:r>
      <w:r w:rsidR="00784D42">
        <w:rPr>
          <w:rFonts w:cs="Times New Roman"/>
        </w:rPr>
        <w:t xml:space="preserve">, </w:t>
      </w:r>
      <w:r w:rsidR="00187827">
        <w:rPr>
          <w:rFonts w:cs="Times New Roman"/>
        </w:rPr>
        <w:t xml:space="preserve">the contribution of gas to the total energy supply </w:t>
      </w:r>
      <w:r w:rsidR="00706222">
        <w:rPr>
          <w:rFonts w:cs="Times New Roman"/>
        </w:rPr>
        <w:t xml:space="preserve">in the </w:t>
      </w:r>
      <w:r w:rsidR="008B0742">
        <w:rPr>
          <w:rFonts w:cs="Times New Roman"/>
        </w:rPr>
        <w:t>EU</w:t>
      </w:r>
      <w:r w:rsidR="00706222">
        <w:rPr>
          <w:rFonts w:cs="Times New Roman"/>
        </w:rPr>
        <w:t xml:space="preserve">27 </w:t>
      </w:r>
      <w:r w:rsidR="00187827">
        <w:rPr>
          <w:rFonts w:cs="Times New Roman"/>
        </w:rPr>
        <w:t>increased from 20% in 1995 to 25%</w:t>
      </w:r>
      <w:r w:rsidR="007B12DE">
        <w:rPr>
          <w:rFonts w:cs="Times New Roman"/>
        </w:rPr>
        <w:t xml:space="preserve"> in 2009</w:t>
      </w:r>
      <w:r w:rsidR="00187827">
        <w:rPr>
          <w:rFonts w:cs="Times New Roman"/>
        </w:rPr>
        <w:t>, while renewa</w:t>
      </w:r>
      <w:r w:rsidR="00FF013B">
        <w:rPr>
          <w:rFonts w:cs="Times New Roman"/>
        </w:rPr>
        <w:t>b</w:t>
      </w:r>
      <w:r w:rsidR="00187827">
        <w:rPr>
          <w:rFonts w:cs="Times New Roman"/>
        </w:rPr>
        <w:t>l</w:t>
      </w:r>
      <w:r w:rsidR="00FF013B">
        <w:rPr>
          <w:rFonts w:cs="Times New Roman"/>
        </w:rPr>
        <w:t>e</w:t>
      </w:r>
      <w:r w:rsidR="00187827">
        <w:rPr>
          <w:rFonts w:cs="Times New Roman"/>
        </w:rPr>
        <w:t xml:space="preserve">s </w:t>
      </w:r>
      <w:r w:rsidR="00FF013B">
        <w:rPr>
          <w:rFonts w:cs="Times New Roman"/>
        </w:rPr>
        <w:t xml:space="preserve">went up </w:t>
      </w:r>
      <w:r w:rsidR="00187827">
        <w:rPr>
          <w:rFonts w:cs="Times New Roman"/>
        </w:rPr>
        <w:t>from 5% to 10%</w:t>
      </w:r>
      <w:r w:rsidR="007A62E9">
        <w:rPr>
          <w:rFonts w:cs="Times New Roman"/>
        </w:rPr>
        <w:t xml:space="preserve"> (</w:t>
      </w:r>
      <w:r w:rsidR="003C0622">
        <w:rPr>
          <w:rFonts w:cs="Times New Roman"/>
        </w:rPr>
        <w:fldChar w:fldCharType="begin"/>
      </w:r>
      <w:r w:rsidR="007A62E9">
        <w:rPr>
          <w:rFonts w:cs="Times New Roman"/>
        </w:rPr>
        <w:instrText xml:space="preserve"> REF _Ref411354358 \h </w:instrText>
      </w:r>
      <w:r w:rsidR="003C0622">
        <w:rPr>
          <w:rFonts w:cs="Times New Roman"/>
        </w:rPr>
      </w:r>
      <w:r w:rsidR="003C0622">
        <w:rPr>
          <w:rFonts w:cs="Times New Roman"/>
        </w:rPr>
        <w:fldChar w:fldCharType="separate"/>
      </w:r>
      <w:r w:rsidR="009133D0">
        <w:t xml:space="preserve">Figure </w:t>
      </w:r>
      <w:r w:rsidR="009133D0">
        <w:rPr>
          <w:noProof/>
        </w:rPr>
        <w:t>1</w:t>
      </w:r>
      <w:r w:rsidR="003C0622">
        <w:rPr>
          <w:rFonts w:cs="Times New Roman"/>
        </w:rPr>
        <w:fldChar w:fldCharType="end"/>
      </w:r>
      <w:r w:rsidR="007A62E9">
        <w:rPr>
          <w:rFonts w:cs="Times New Roman"/>
        </w:rPr>
        <w:t>a).</w:t>
      </w:r>
      <w:r w:rsidR="00187827">
        <w:rPr>
          <w:rFonts w:cs="Times New Roman"/>
        </w:rPr>
        <w:t xml:space="preserve"> On the contrary, coal reduced its share in the </w:t>
      </w:r>
      <w:r w:rsidR="00F07F39">
        <w:rPr>
          <w:rFonts w:cs="Times New Roman"/>
        </w:rPr>
        <w:t xml:space="preserve">total primary energy supply </w:t>
      </w:r>
      <w:r w:rsidR="00187827">
        <w:rPr>
          <w:rFonts w:cs="Times New Roman"/>
        </w:rPr>
        <w:t xml:space="preserve">from 22% in 1995 to </w:t>
      </w:r>
      <w:r w:rsidR="007A62E9">
        <w:rPr>
          <w:rFonts w:cs="Times New Roman"/>
        </w:rPr>
        <w:t xml:space="preserve">16% in </w:t>
      </w:r>
      <w:r w:rsidR="00187827">
        <w:rPr>
          <w:rFonts w:cs="Times New Roman"/>
        </w:rPr>
        <w:t>2009</w:t>
      </w:r>
      <w:r w:rsidR="007B12DE">
        <w:rPr>
          <w:rFonts w:cs="Times New Roman"/>
        </w:rPr>
        <w:t>,</w:t>
      </w:r>
      <w:r w:rsidR="00187827">
        <w:rPr>
          <w:rFonts w:cs="Times New Roman"/>
        </w:rPr>
        <w:t xml:space="preserve"> an</w:t>
      </w:r>
      <w:r w:rsidR="007A62E9">
        <w:rPr>
          <w:rFonts w:cs="Times New Roman"/>
        </w:rPr>
        <w:t>d</w:t>
      </w:r>
      <w:r w:rsidR="00187827">
        <w:rPr>
          <w:rFonts w:cs="Times New Roman"/>
        </w:rPr>
        <w:t xml:space="preserve"> oil, although </w:t>
      </w:r>
      <w:r w:rsidR="002218F8">
        <w:rPr>
          <w:rFonts w:cs="Times New Roman"/>
        </w:rPr>
        <w:t xml:space="preserve">remaining </w:t>
      </w:r>
      <w:r w:rsidR="00187827">
        <w:rPr>
          <w:rFonts w:cs="Times New Roman"/>
        </w:rPr>
        <w:t xml:space="preserve">the main component of the </w:t>
      </w:r>
      <w:r w:rsidR="00F07F39">
        <w:rPr>
          <w:rFonts w:cs="Times New Roman"/>
        </w:rPr>
        <w:t>total primary energy supply</w:t>
      </w:r>
      <w:r w:rsidR="00187827">
        <w:rPr>
          <w:rFonts w:cs="Times New Roman"/>
        </w:rPr>
        <w:t xml:space="preserve">, reduced its </w:t>
      </w:r>
      <w:r w:rsidR="007A62E9">
        <w:rPr>
          <w:rFonts w:cs="Times New Roman"/>
        </w:rPr>
        <w:t xml:space="preserve">contribution </w:t>
      </w:r>
      <w:r w:rsidR="007B12DE">
        <w:rPr>
          <w:rFonts w:cs="Times New Roman"/>
        </w:rPr>
        <w:t xml:space="preserve">to the energy mix </w:t>
      </w:r>
      <w:r w:rsidR="007A62E9">
        <w:rPr>
          <w:rFonts w:cs="Times New Roman"/>
        </w:rPr>
        <w:t xml:space="preserve">form 38% to 35%. The share of nuclear energy in the </w:t>
      </w:r>
      <w:r w:rsidR="00F07F39">
        <w:rPr>
          <w:rFonts w:cs="Times New Roman"/>
        </w:rPr>
        <w:t xml:space="preserve">total primary energy supply </w:t>
      </w:r>
      <w:r w:rsidR="007A62E9">
        <w:rPr>
          <w:rFonts w:cs="Times New Roman"/>
        </w:rPr>
        <w:t>remained constant (14% in both years).</w:t>
      </w:r>
    </w:p>
    <w:p w:rsidR="00E81563" w:rsidRDefault="007A62E9" w:rsidP="00FF013B">
      <w:pPr>
        <w:spacing w:before="0" w:after="0"/>
        <w:rPr>
          <w:rFonts w:cs="Times New Roman"/>
        </w:rPr>
      </w:pPr>
      <w:r>
        <w:rPr>
          <w:rFonts w:cs="Times New Roman"/>
        </w:rPr>
        <w:t>In the case of the electricity mix (</w:t>
      </w:r>
      <w:r w:rsidR="003C0622">
        <w:rPr>
          <w:rFonts w:cs="Times New Roman"/>
        </w:rPr>
        <w:fldChar w:fldCharType="begin"/>
      </w:r>
      <w:r>
        <w:rPr>
          <w:rFonts w:cs="Times New Roman"/>
        </w:rPr>
        <w:instrText xml:space="preserve"> REF _Ref411354358 \h </w:instrText>
      </w:r>
      <w:r w:rsidR="003C0622">
        <w:rPr>
          <w:rFonts w:cs="Times New Roman"/>
        </w:rPr>
      </w:r>
      <w:r w:rsidR="003C0622">
        <w:rPr>
          <w:rFonts w:cs="Times New Roman"/>
        </w:rPr>
        <w:fldChar w:fldCharType="separate"/>
      </w:r>
      <w:r w:rsidR="009133D0">
        <w:t xml:space="preserve">Figure </w:t>
      </w:r>
      <w:r w:rsidR="009133D0">
        <w:rPr>
          <w:noProof/>
        </w:rPr>
        <w:t>1</w:t>
      </w:r>
      <w:r w:rsidR="003C0622">
        <w:rPr>
          <w:rFonts w:cs="Times New Roman"/>
        </w:rPr>
        <w:fldChar w:fldCharType="end"/>
      </w:r>
      <w:r>
        <w:rPr>
          <w:rFonts w:cs="Times New Roman"/>
        </w:rPr>
        <w:t>b), t</w:t>
      </w:r>
      <w:r w:rsidR="004315BF">
        <w:rPr>
          <w:rFonts w:cs="Times New Roman"/>
        </w:rPr>
        <w:t xml:space="preserve">he share of gas and </w:t>
      </w:r>
      <w:r w:rsidR="00207458">
        <w:rPr>
          <w:rFonts w:cs="Times New Roman"/>
        </w:rPr>
        <w:t>renewables</w:t>
      </w:r>
      <w:r w:rsidR="004315BF">
        <w:rPr>
          <w:rFonts w:cs="Times New Roman"/>
        </w:rPr>
        <w:t xml:space="preserve"> increased </w:t>
      </w:r>
      <w:r w:rsidR="00A91DDB">
        <w:rPr>
          <w:rFonts w:cs="Times New Roman"/>
        </w:rPr>
        <w:t>notably</w:t>
      </w:r>
      <w:r w:rsidR="00FF013B">
        <w:rPr>
          <w:rFonts w:cs="Times New Roman"/>
        </w:rPr>
        <w:t>,</w:t>
      </w:r>
      <w:r w:rsidR="00A91DDB">
        <w:rPr>
          <w:rFonts w:cs="Times New Roman"/>
        </w:rPr>
        <w:t xml:space="preserve"> from 11% and 13% respectively in 1995 to 24% and 19% in 2009. In 2009 nuclear energy was still the main source for heat and power generation in the </w:t>
      </w:r>
      <w:r w:rsidR="0031541C">
        <w:rPr>
          <w:rFonts w:cs="Times New Roman"/>
        </w:rPr>
        <w:t>EU</w:t>
      </w:r>
      <w:r w:rsidR="00A91DDB">
        <w:rPr>
          <w:rFonts w:cs="Times New Roman"/>
        </w:rPr>
        <w:t xml:space="preserve"> (28%), </w:t>
      </w:r>
      <w:r w:rsidR="00FF013B">
        <w:rPr>
          <w:rFonts w:cs="Times New Roman"/>
        </w:rPr>
        <w:t xml:space="preserve">but </w:t>
      </w:r>
      <w:r w:rsidR="00A91DDB">
        <w:rPr>
          <w:rFonts w:cs="Times New Roman"/>
        </w:rPr>
        <w:t>show</w:t>
      </w:r>
      <w:r w:rsidR="002218F8">
        <w:rPr>
          <w:rFonts w:cs="Times New Roman"/>
        </w:rPr>
        <w:t>ed</w:t>
      </w:r>
      <w:r w:rsidR="00A91DDB">
        <w:rPr>
          <w:rFonts w:cs="Times New Roman"/>
        </w:rPr>
        <w:t xml:space="preserve"> a decline with respect the levels of 1995 (32%). Coal fuelled technologies reduced their contribution to the mix from 35% in 1995 to 26% in 2009 and the share of oil decreased fr</w:t>
      </w:r>
      <w:r w:rsidR="00706222">
        <w:rPr>
          <w:rFonts w:cs="Times New Roman"/>
        </w:rPr>
        <w:t>o</w:t>
      </w:r>
      <w:r w:rsidR="00A91DDB">
        <w:rPr>
          <w:rFonts w:cs="Times New Roman"/>
        </w:rPr>
        <w:t>m 9% to 3%</w:t>
      </w:r>
      <w:r w:rsidR="00D9502B">
        <w:rPr>
          <w:rFonts w:cs="Times New Roman"/>
        </w:rPr>
        <w:t xml:space="preserve">. In parallel, the transformation efficiency, measured as the quotient between the electricity and heat </w:t>
      </w:r>
      <w:r w:rsidR="005B5B04">
        <w:rPr>
          <w:rFonts w:cs="Times New Roman"/>
        </w:rPr>
        <w:t>generation</w:t>
      </w:r>
      <w:r w:rsidR="00D9502B">
        <w:rPr>
          <w:rFonts w:cs="Times New Roman"/>
        </w:rPr>
        <w:t xml:space="preserve"> divided by t</w:t>
      </w:r>
      <w:r w:rsidR="005B5B04">
        <w:rPr>
          <w:rFonts w:cs="Times New Roman"/>
        </w:rPr>
        <w:t>he energy inputs, increased by 3 percentage points, from 37% to 40%</w:t>
      </w:r>
      <w:r w:rsidR="00A91DDB">
        <w:rPr>
          <w:rFonts w:cs="Times New Roman"/>
        </w:rPr>
        <w:t xml:space="preserve"> (</w:t>
      </w:r>
      <w:r w:rsidR="003C0622">
        <w:rPr>
          <w:rFonts w:cs="Times New Roman"/>
        </w:rPr>
        <w:fldChar w:fldCharType="begin"/>
      </w:r>
      <w:r w:rsidR="00A91DDB">
        <w:rPr>
          <w:rFonts w:cs="Times New Roman"/>
        </w:rPr>
        <w:instrText xml:space="preserve"> REF _Ref411354358 \h </w:instrText>
      </w:r>
      <w:r w:rsidR="003C0622">
        <w:rPr>
          <w:rFonts w:cs="Times New Roman"/>
        </w:rPr>
      </w:r>
      <w:r w:rsidR="003C0622">
        <w:rPr>
          <w:rFonts w:cs="Times New Roman"/>
        </w:rPr>
        <w:fldChar w:fldCharType="separate"/>
      </w:r>
      <w:r w:rsidR="009133D0">
        <w:t xml:space="preserve">Figure </w:t>
      </w:r>
      <w:r w:rsidR="009133D0">
        <w:rPr>
          <w:noProof/>
        </w:rPr>
        <w:t>1</w:t>
      </w:r>
      <w:r w:rsidR="003C0622">
        <w:rPr>
          <w:rFonts w:cs="Times New Roman"/>
        </w:rPr>
        <w:fldChar w:fldCharType="end"/>
      </w:r>
      <w:r w:rsidR="00A91DDB">
        <w:rPr>
          <w:rFonts w:cs="Times New Roman"/>
        </w:rPr>
        <w:t>b)</w:t>
      </w:r>
      <w:r w:rsidR="002218F8">
        <w:rPr>
          <w:rFonts w:cs="Times New Roman"/>
        </w:rPr>
        <w:t>. D</w:t>
      </w:r>
      <w:r w:rsidR="00580CFF">
        <w:rPr>
          <w:rFonts w:cs="Times New Roman"/>
        </w:rPr>
        <w:t xml:space="preserve">etailed data at the country level can be </w:t>
      </w:r>
      <w:r w:rsidR="00580CFF" w:rsidRPr="00580CFF">
        <w:rPr>
          <w:rFonts w:cs="Times New Roman"/>
        </w:rPr>
        <w:t xml:space="preserve">found in </w:t>
      </w:r>
      <w:fldSimple w:instr=" REF _Ref436216151 \h  \* MERGEFORMAT ">
        <w:r w:rsidR="00580CFF" w:rsidRPr="00580CFF">
          <w:t>Figure A.</w:t>
        </w:r>
        <w:r w:rsidR="00580CFF" w:rsidRPr="00580CFF">
          <w:rPr>
            <w:noProof/>
          </w:rPr>
          <w:t>1</w:t>
        </w:r>
      </w:fldSimple>
      <w:r w:rsidR="00580CFF" w:rsidRPr="00580CFF">
        <w:rPr>
          <w:rFonts w:cs="Times New Roman"/>
        </w:rPr>
        <w:t xml:space="preserve"> of the Appendix</w:t>
      </w:r>
      <w:r w:rsidR="002D2EA7">
        <w:rPr>
          <w:rStyle w:val="FootnoteReference"/>
          <w:rFonts w:cs="Times New Roman"/>
        </w:rPr>
        <w:footnoteReference w:id="6"/>
      </w:r>
      <w:r w:rsidR="00D9502B">
        <w:rPr>
          <w:rFonts w:cs="Times New Roman"/>
        </w:rPr>
        <w:t>.</w:t>
      </w:r>
      <w:r w:rsidR="005B5B04">
        <w:rPr>
          <w:rFonts w:cs="Times New Roman"/>
        </w:rPr>
        <w:t xml:space="preserve"> This increase was mainly driven by the growth </w:t>
      </w:r>
      <w:r w:rsidR="00A91DDB">
        <w:rPr>
          <w:rFonts w:cs="Times New Roman"/>
        </w:rPr>
        <w:t>i</w:t>
      </w:r>
      <w:r w:rsidR="005B5B04">
        <w:rPr>
          <w:rFonts w:cs="Times New Roman"/>
        </w:rPr>
        <w:t>n the transformation efficiency in gas powered plants</w:t>
      </w:r>
      <w:r w:rsidR="007B12DE">
        <w:rPr>
          <w:rFonts w:cs="Times New Roman"/>
        </w:rPr>
        <w:t xml:space="preserve"> (</w:t>
      </w:r>
      <w:r w:rsidR="00A91DDB">
        <w:rPr>
          <w:rFonts w:cs="Times New Roman"/>
        </w:rPr>
        <w:t>from 36% to 46%)</w:t>
      </w:r>
      <w:r w:rsidR="005B5B04">
        <w:rPr>
          <w:rFonts w:cs="Times New Roman"/>
        </w:rPr>
        <w:t xml:space="preserve"> due to the penetration o</w:t>
      </w:r>
      <w:r w:rsidR="00A91DDB">
        <w:rPr>
          <w:rFonts w:cs="Times New Roman"/>
        </w:rPr>
        <w:t>f</w:t>
      </w:r>
      <w:r w:rsidR="005B5B04">
        <w:rPr>
          <w:rFonts w:cs="Times New Roman"/>
        </w:rPr>
        <w:t xml:space="preserve"> </w:t>
      </w:r>
      <w:r w:rsidR="00A91DDB" w:rsidRPr="00A91DDB">
        <w:rPr>
          <w:rFonts w:cs="Times New Roman"/>
        </w:rPr>
        <w:t>integrated gasification combined cycl</w:t>
      </w:r>
      <w:r w:rsidR="00A91DDB">
        <w:rPr>
          <w:rFonts w:cs="Times New Roman"/>
        </w:rPr>
        <w:t>e</w:t>
      </w:r>
      <w:r w:rsidR="008B0742">
        <w:rPr>
          <w:rFonts w:cs="Times New Roman"/>
        </w:rPr>
        <w:t xml:space="preserve"> </w:t>
      </w:r>
      <w:r w:rsidR="00A91DDB">
        <w:rPr>
          <w:rFonts w:cs="Times New Roman"/>
        </w:rPr>
        <w:t>te</w:t>
      </w:r>
      <w:r w:rsidR="00A91DDB" w:rsidRPr="00EB0851">
        <w:rPr>
          <w:rFonts w:cs="Times New Roman"/>
        </w:rPr>
        <w:t xml:space="preserve">chnology. On the contrary, the transformation </w:t>
      </w:r>
      <w:r w:rsidR="00A92021" w:rsidRPr="00EB0851">
        <w:rPr>
          <w:rFonts w:cs="Times New Roman"/>
        </w:rPr>
        <w:t>efficiency</w:t>
      </w:r>
      <w:r w:rsidR="00A91DDB" w:rsidRPr="00EB0851">
        <w:rPr>
          <w:rFonts w:cs="Times New Roman"/>
        </w:rPr>
        <w:t xml:space="preserve"> of </w:t>
      </w:r>
      <w:r w:rsidR="00207458" w:rsidRPr="00EB0851">
        <w:rPr>
          <w:rFonts w:cs="Times New Roman"/>
        </w:rPr>
        <w:t>renewables</w:t>
      </w:r>
      <w:r w:rsidR="007B12DE" w:rsidRPr="00EB0851">
        <w:rPr>
          <w:rFonts w:cs="Times New Roman"/>
        </w:rPr>
        <w:t xml:space="preserve"> </w:t>
      </w:r>
      <w:r w:rsidR="002218F8" w:rsidRPr="00EB0851">
        <w:rPr>
          <w:rFonts w:cs="Times New Roman"/>
        </w:rPr>
        <w:t xml:space="preserve">fell </w:t>
      </w:r>
      <w:r w:rsidR="007B12DE" w:rsidRPr="00EB0851">
        <w:rPr>
          <w:rFonts w:cs="Times New Roman"/>
        </w:rPr>
        <w:t>f</w:t>
      </w:r>
      <w:r w:rsidR="00A91DDB" w:rsidRPr="00EB0851">
        <w:rPr>
          <w:rFonts w:cs="Times New Roman"/>
        </w:rPr>
        <w:t>r</w:t>
      </w:r>
      <w:r w:rsidR="007B12DE" w:rsidRPr="00EB0851">
        <w:rPr>
          <w:rFonts w:cs="Times New Roman"/>
        </w:rPr>
        <w:t>o</w:t>
      </w:r>
      <w:r w:rsidR="00A91DDB" w:rsidRPr="00EB0851">
        <w:rPr>
          <w:rFonts w:cs="Times New Roman"/>
        </w:rPr>
        <w:t>m 73% to 60%</w:t>
      </w:r>
      <w:r w:rsidR="002218F8" w:rsidRPr="00EB0851">
        <w:rPr>
          <w:rFonts w:cs="Times New Roman"/>
        </w:rPr>
        <w:t xml:space="preserve">, </w:t>
      </w:r>
      <w:r w:rsidR="00EB0851" w:rsidRPr="00EB0851">
        <w:rPr>
          <w:rFonts w:cs="Times New Roman"/>
        </w:rPr>
        <w:t>due to the increase in the share of renewables electricity from biomass, biogas and waste, which</w:t>
      </w:r>
      <w:r w:rsidR="00EB0851">
        <w:rPr>
          <w:rFonts w:cs="Times New Roman"/>
        </w:rPr>
        <w:t xml:space="preserve"> have lower transformation efficiency than other renewables such as hydropower, solar or wind</w:t>
      </w:r>
      <w:r w:rsidR="00A92021">
        <w:rPr>
          <w:rFonts w:cs="Times New Roman"/>
        </w:rPr>
        <w:t>.</w:t>
      </w:r>
      <w:r w:rsidR="000A2F5F">
        <w:rPr>
          <w:rFonts w:cs="Times New Roman"/>
        </w:rPr>
        <w:t xml:space="preserve"> All these changes contributed to reduce the emissions of CO</w:t>
      </w:r>
      <w:r w:rsidR="000A2F5F" w:rsidRPr="00A9669F">
        <w:rPr>
          <w:rFonts w:cs="Times New Roman"/>
          <w:vertAlign w:val="subscript"/>
        </w:rPr>
        <w:t>2</w:t>
      </w:r>
      <w:r w:rsidR="000A2F5F">
        <w:rPr>
          <w:rFonts w:cs="Times New Roman"/>
        </w:rPr>
        <w:t xml:space="preserve"> </w:t>
      </w:r>
      <w:r w:rsidR="00A9669F">
        <w:rPr>
          <w:rFonts w:cs="Times New Roman"/>
        </w:rPr>
        <w:t xml:space="preserve">in the EU </w:t>
      </w:r>
      <w:r w:rsidR="003C0622">
        <w:rPr>
          <w:rFonts w:cs="Times New Roman"/>
        </w:rPr>
        <w:fldChar w:fldCharType="begin"/>
      </w:r>
      <w:r w:rsidR="008B017B">
        <w:rPr>
          <w:rFonts w:cs="Times New Roman"/>
        </w:rPr>
        <w:instrText xml:space="preserve"> ADDIN ZOTERO_ITEM CSL_CITATION {"citationID":"D41wmhvl","properties":{"formattedCitation":"[33]","plainCitation":"[33]"},"citationItems":[{"id":3698,"uris":["http://zotero.org/groups/271383/items/JPFB9KX7"],"uri":["http://zotero.org/groups/271383/items/JPFB9KX7"],"itemData":{"id":3698,"type":"article-journal","title":"Changes in European greenhouse gas and air pollutant emissions 1960–2010: decomposition of determining factors","container-title":"Climatic Change","page":"477-504","volume":"124","issue":"3","source":"link.springer.com","abstract":"This paper analyses factors that contributed to the evolution of SO2, NOx and CO2 emissions in Europe from 1960 to 2010. Historical energy balances, along with population and economic growth data, are used to quantify the impacts of major determinants of changing emission levels, including energy intensity, conversion efficiency, fuel mix, and pollution control. Time series of emission levels are compared for countries in Western and Eastern Europe, throwing light on differences in the importance of particular emission-driving forces. Three quarters of the decline in SO2 emissions in Western Europe resulted from a combination of reduced energy intensity and improved fuel mix, while dedicated end-of-pipe abatement measures played a dominant role in the reduction of NOx emissions. The increase in atmospheric emissions in Eastern Europe through the mid-1990s was associated with the growth of energy-intensive industries, which off-setted the positive impact of better fuel quality and changes in fuel mix. A continuous decrease in energy intensity and higher conversion efficiencies have been the main factors responsible for the moderate rate of growth of European CO2 emissions.","DOI":"10.1007/s10584-013-0826-0","ISSN":"0165-0009, 1573-1480","shortTitle":"Changes in European greenhouse gas and air pollutant emissions 1960–2010","journalAbbreviation":"Climatic Change","language":"en","author":[{"family":"Rafaj","given":"Peter"},{"family":"Amann","given":"Markus"},{"family":"Siri","given":"José"},{"family":"Wuester","given":"Henning"}],"issued":{"date-parts":[["2013",7,4]]}}}],"schema":"https://github.com/citation-style-language/schema/raw/master/csl-citation.json"} </w:instrText>
      </w:r>
      <w:r w:rsidR="003C0622">
        <w:rPr>
          <w:rFonts w:cs="Times New Roman"/>
        </w:rPr>
        <w:fldChar w:fldCharType="separate"/>
      </w:r>
      <w:r w:rsidR="008B017B" w:rsidRPr="008B017B">
        <w:rPr>
          <w:rFonts w:cs="Times New Roman"/>
        </w:rPr>
        <w:t>[33]</w:t>
      </w:r>
      <w:r w:rsidR="003C0622">
        <w:rPr>
          <w:rFonts w:cs="Times New Roman"/>
        </w:rPr>
        <w:fldChar w:fldCharType="end"/>
      </w:r>
    </w:p>
    <w:p w:rsidR="008B0742" w:rsidRDefault="008B0742" w:rsidP="00FF013B">
      <w:pPr>
        <w:spacing w:before="0" w:after="0"/>
        <w:rPr>
          <w:rFonts w:cs="Times New Roman"/>
        </w:rPr>
      </w:pPr>
    </w:p>
    <w:tbl>
      <w:tblPr>
        <w:tblW w:w="9648" w:type="dxa"/>
        <w:jc w:val="center"/>
        <w:tblCellMar>
          <w:left w:w="0" w:type="dxa"/>
          <w:right w:w="0" w:type="dxa"/>
        </w:tblCellMar>
        <w:tblLook w:val="04A0"/>
      </w:tblPr>
      <w:tblGrid>
        <w:gridCol w:w="4812"/>
        <w:gridCol w:w="4836"/>
      </w:tblGrid>
      <w:tr w:rsidR="00E81563" w:rsidTr="008B0742">
        <w:trPr>
          <w:jc w:val="center"/>
        </w:trPr>
        <w:tc>
          <w:tcPr>
            <w:tcW w:w="4812" w:type="dxa"/>
          </w:tcPr>
          <w:p w:rsidR="00E81563" w:rsidRPr="005B5B04" w:rsidRDefault="00187827" w:rsidP="008B0742">
            <w:pPr>
              <w:pStyle w:val="ListParagraph"/>
              <w:numPr>
                <w:ilvl w:val="0"/>
                <w:numId w:val="9"/>
              </w:numPr>
              <w:spacing w:before="0" w:after="0" w:line="240" w:lineRule="auto"/>
              <w:ind w:left="284" w:hanging="284"/>
              <w:rPr>
                <w:rFonts w:cs="Times New Roman"/>
              </w:rPr>
            </w:pPr>
            <w:r>
              <w:rPr>
                <w:rFonts w:cs="Times New Roman"/>
              </w:rPr>
              <w:t>Total primary energy supply, EU</w:t>
            </w:r>
            <w:r w:rsidR="008B0742">
              <w:rPr>
                <w:rFonts w:cs="Times New Roman"/>
              </w:rPr>
              <w:t>27</w:t>
            </w:r>
          </w:p>
        </w:tc>
        <w:tc>
          <w:tcPr>
            <w:tcW w:w="4836" w:type="dxa"/>
          </w:tcPr>
          <w:p w:rsidR="00E81563" w:rsidRPr="005B5B04" w:rsidRDefault="00187827" w:rsidP="008B0742">
            <w:pPr>
              <w:pStyle w:val="ListParagraph"/>
              <w:numPr>
                <w:ilvl w:val="0"/>
                <w:numId w:val="9"/>
              </w:numPr>
              <w:spacing w:before="0" w:after="0" w:line="240" w:lineRule="auto"/>
              <w:ind w:left="433" w:hanging="433"/>
              <w:rPr>
                <w:rFonts w:cs="Times New Roman"/>
              </w:rPr>
            </w:pPr>
            <w:r>
              <w:rPr>
                <w:rFonts w:cs="Times New Roman"/>
              </w:rPr>
              <w:t>Electricity and heat generation mix, EU</w:t>
            </w:r>
            <w:r w:rsidR="008B0742">
              <w:rPr>
                <w:rFonts w:cs="Times New Roman"/>
              </w:rPr>
              <w:t>27</w:t>
            </w:r>
          </w:p>
        </w:tc>
      </w:tr>
      <w:tr w:rsidR="00E81563" w:rsidTr="008B0742">
        <w:trPr>
          <w:jc w:val="center"/>
        </w:trPr>
        <w:tc>
          <w:tcPr>
            <w:tcW w:w="4812" w:type="dxa"/>
          </w:tcPr>
          <w:p w:rsidR="00E81563" w:rsidRDefault="008B0742" w:rsidP="004F03CB">
            <w:pPr>
              <w:spacing w:after="0"/>
              <w:rPr>
                <w:rFonts w:cs="Times New Roman"/>
              </w:rPr>
            </w:pPr>
            <w:r>
              <w:rPr>
                <w:rFonts w:cs="Times New Roman"/>
                <w:noProof/>
                <w:lang w:val="en-US"/>
              </w:rPr>
              <w:lastRenderedPageBreak/>
              <w:drawing>
                <wp:inline distT="0" distB="0" distL="0" distR="0">
                  <wp:extent cx="2918765" cy="24962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5884" cy="2502315"/>
                          </a:xfrm>
                          <a:prstGeom prst="rect">
                            <a:avLst/>
                          </a:prstGeom>
                          <a:noFill/>
                        </pic:spPr>
                      </pic:pic>
                    </a:graphicData>
                  </a:graphic>
                </wp:inline>
              </w:drawing>
            </w:r>
          </w:p>
        </w:tc>
        <w:tc>
          <w:tcPr>
            <w:tcW w:w="4836" w:type="dxa"/>
          </w:tcPr>
          <w:p w:rsidR="00E81563" w:rsidRDefault="008B0742" w:rsidP="004F03CB">
            <w:pPr>
              <w:spacing w:after="0"/>
              <w:rPr>
                <w:rFonts w:cs="Times New Roman"/>
              </w:rPr>
            </w:pPr>
            <w:r>
              <w:rPr>
                <w:rFonts w:cs="Times New Roman"/>
                <w:noProof/>
                <w:lang w:val="en-US"/>
              </w:rPr>
              <w:drawing>
                <wp:inline distT="0" distB="0" distL="0" distR="0">
                  <wp:extent cx="2931210" cy="2507813"/>
                  <wp:effectExtent l="0" t="0" r="254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1515" cy="2508074"/>
                          </a:xfrm>
                          <a:prstGeom prst="rect">
                            <a:avLst/>
                          </a:prstGeom>
                          <a:noFill/>
                        </pic:spPr>
                      </pic:pic>
                    </a:graphicData>
                  </a:graphic>
                </wp:inline>
              </w:drawing>
            </w:r>
          </w:p>
        </w:tc>
      </w:tr>
    </w:tbl>
    <w:p w:rsidR="005B5B04" w:rsidRPr="00C86424" w:rsidRDefault="005B5B04" w:rsidP="005B5B04">
      <w:pPr>
        <w:spacing w:after="0"/>
        <w:rPr>
          <w:rFonts w:cs="Times New Roman"/>
          <w:sz w:val="18"/>
          <w:szCs w:val="18"/>
        </w:rPr>
      </w:pPr>
      <w:r w:rsidRPr="00C86424">
        <w:rPr>
          <w:rFonts w:cs="Times New Roman"/>
          <w:sz w:val="18"/>
          <w:szCs w:val="18"/>
        </w:rPr>
        <w:t xml:space="preserve">Source: International Energy </w:t>
      </w:r>
      <w:r w:rsidR="00187827" w:rsidRPr="00C86424">
        <w:rPr>
          <w:rFonts w:cs="Times New Roman"/>
          <w:sz w:val="18"/>
          <w:szCs w:val="18"/>
        </w:rPr>
        <w:t>Agency</w:t>
      </w:r>
    </w:p>
    <w:p w:rsidR="005B5B04" w:rsidRDefault="005B5B04" w:rsidP="005B5B04">
      <w:pPr>
        <w:pStyle w:val="Caption"/>
        <w:rPr>
          <w:rFonts w:cs="Times New Roman"/>
        </w:rPr>
      </w:pPr>
      <w:bookmarkStart w:id="4" w:name="_Ref411354358"/>
      <w:r>
        <w:t xml:space="preserve">Figure </w:t>
      </w:r>
      <w:r w:rsidR="003C0622">
        <w:fldChar w:fldCharType="begin"/>
      </w:r>
      <w:r w:rsidR="00ED741A">
        <w:instrText xml:space="preserve"> SEQ Figure \* ARABIC </w:instrText>
      </w:r>
      <w:r w:rsidR="003C0622">
        <w:fldChar w:fldCharType="separate"/>
      </w:r>
      <w:r w:rsidR="009133D0">
        <w:rPr>
          <w:noProof/>
        </w:rPr>
        <w:t>1</w:t>
      </w:r>
      <w:r w:rsidR="003C0622">
        <w:rPr>
          <w:noProof/>
        </w:rPr>
        <w:fldChar w:fldCharType="end"/>
      </w:r>
      <w:bookmarkEnd w:id="4"/>
      <w:r>
        <w:t xml:space="preserve">: </w:t>
      </w:r>
      <w:r w:rsidR="00187827" w:rsidRPr="00187827">
        <w:t xml:space="preserve">Total primary energy supply </w:t>
      </w:r>
      <w:r w:rsidR="00187827">
        <w:t>and e</w:t>
      </w:r>
      <w:r>
        <w:t>lectricity and heat generation mix in the EU</w:t>
      </w:r>
      <w:r w:rsidR="00706222">
        <w:t>27</w:t>
      </w:r>
      <w:r>
        <w:t>, 1995 and 2009 (%)</w:t>
      </w:r>
    </w:p>
    <w:p w:rsidR="00E81563" w:rsidRDefault="00E81563" w:rsidP="004F03CB">
      <w:pPr>
        <w:spacing w:after="0"/>
        <w:rPr>
          <w:rFonts w:cs="Times New Roman"/>
        </w:rPr>
      </w:pPr>
    </w:p>
    <w:p w:rsidR="004315BF" w:rsidRDefault="00EB662E" w:rsidP="004F03CB">
      <w:pPr>
        <w:spacing w:after="0"/>
        <w:rPr>
          <w:rFonts w:cs="Times New Roman"/>
        </w:rPr>
      </w:pPr>
      <w:r>
        <w:rPr>
          <w:rFonts w:cs="Times New Roman"/>
        </w:rPr>
        <w:t>These changes</w:t>
      </w:r>
      <w:r w:rsidR="00AE4946">
        <w:rPr>
          <w:rFonts w:cs="Times New Roman"/>
        </w:rPr>
        <w:t xml:space="preserve"> in the energy system</w:t>
      </w:r>
      <w:r>
        <w:rPr>
          <w:rFonts w:cs="Times New Roman"/>
        </w:rPr>
        <w:t xml:space="preserve"> </w:t>
      </w:r>
      <w:r w:rsidR="00AE4946">
        <w:rPr>
          <w:rFonts w:cs="Times New Roman"/>
        </w:rPr>
        <w:t>also</w:t>
      </w:r>
      <w:r>
        <w:rPr>
          <w:rFonts w:cs="Times New Roman"/>
        </w:rPr>
        <w:t xml:space="preserve"> </w:t>
      </w:r>
      <w:r w:rsidR="009C527E">
        <w:rPr>
          <w:rFonts w:cs="Times New Roman"/>
        </w:rPr>
        <w:t xml:space="preserve">had </w:t>
      </w:r>
      <w:r w:rsidR="00405111">
        <w:rPr>
          <w:rFonts w:cs="Times New Roman"/>
        </w:rPr>
        <w:t>some</w:t>
      </w:r>
      <w:r w:rsidR="00784D42">
        <w:rPr>
          <w:rFonts w:cs="Times New Roman"/>
        </w:rPr>
        <w:t xml:space="preserve"> impact </w:t>
      </w:r>
      <w:r w:rsidR="00405111">
        <w:rPr>
          <w:rFonts w:cs="Times New Roman"/>
        </w:rPr>
        <w:t>o</w:t>
      </w:r>
      <w:r w:rsidR="00784D42">
        <w:rPr>
          <w:rFonts w:cs="Times New Roman"/>
        </w:rPr>
        <w:t xml:space="preserve">n the input structure of the </w:t>
      </w:r>
      <w:r w:rsidR="00446082" w:rsidRPr="004F03CB">
        <w:t>electricity</w:t>
      </w:r>
      <w:r w:rsidR="00446082">
        <w:t xml:space="preserve"> and</w:t>
      </w:r>
      <w:r w:rsidR="00446082" w:rsidRPr="004F03CB">
        <w:t xml:space="preserve"> gas supply</w:t>
      </w:r>
      <w:r w:rsidR="00784D42">
        <w:rPr>
          <w:rFonts w:cs="Times New Roman"/>
        </w:rPr>
        <w:t xml:space="preserve"> sector</w:t>
      </w:r>
      <w:r w:rsidR="00DB567B">
        <w:rPr>
          <w:rFonts w:cs="Times New Roman"/>
        </w:rPr>
        <w:t xml:space="preserve"> of the EU. Comparing the</w:t>
      </w:r>
      <w:r w:rsidR="00405111">
        <w:rPr>
          <w:rFonts w:cs="Times New Roman"/>
        </w:rPr>
        <w:t>se</w:t>
      </w:r>
      <w:r w:rsidR="00DB567B">
        <w:rPr>
          <w:rFonts w:cs="Times New Roman"/>
        </w:rPr>
        <w:t xml:space="preserve"> structure</w:t>
      </w:r>
      <w:r w:rsidR="00405111">
        <w:rPr>
          <w:rFonts w:cs="Times New Roman"/>
        </w:rPr>
        <w:t>s</w:t>
      </w:r>
      <w:r w:rsidR="00DB567B">
        <w:rPr>
          <w:rFonts w:cs="Times New Roman"/>
        </w:rPr>
        <w:t xml:space="preserve"> </w:t>
      </w:r>
      <w:r w:rsidR="00405111">
        <w:rPr>
          <w:rFonts w:cs="Times New Roman"/>
        </w:rPr>
        <w:t xml:space="preserve">for </w:t>
      </w:r>
      <w:r w:rsidR="00DB567B">
        <w:rPr>
          <w:rFonts w:cs="Times New Roman"/>
        </w:rPr>
        <w:t>the year</w:t>
      </w:r>
      <w:r w:rsidR="00405111">
        <w:rPr>
          <w:rFonts w:cs="Times New Roman"/>
        </w:rPr>
        <w:t>s</w:t>
      </w:r>
      <w:r w:rsidR="00DB567B">
        <w:rPr>
          <w:rFonts w:cs="Times New Roman"/>
        </w:rPr>
        <w:t xml:space="preserve"> 1995 and 2009 (see </w:t>
      </w:r>
      <w:r w:rsidR="003C0622">
        <w:rPr>
          <w:rFonts w:cs="Times New Roman"/>
        </w:rPr>
        <w:fldChar w:fldCharType="begin"/>
      </w:r>
      <w:r w:rsidR="00DB567B">
        <w:rPr>
          <w:rFonts w:cs="Times New Roman"/>
        </w:rPr>
        <w:instrText xml:space="preserve"> REF _Ref411252612 \h </w:instrText>
      </w:r>
      <w:r w:rsidR="003C0622">
        <w:rPr>
          <w:rFonts w:cs="Times New Roman"/>
        </w:rPr>
      </w:r>
      <w:r w:rsidR="003C0622">
        <w:rPr>
          <w:rFonts w:cs="Times New Roman"/>
        </w:rPr>
        <w:fldChar w:fldCharType="separate"/>
      </w:r>
      <w:r w:rsidR="009133D0">
        <w:t xml:space="preserve">Table </w:t>
      </w:r>
      <w:r w:rsidR="009133D0">
        <w:rPr>
          <w:noProof/>
        </w:rPr>
        <w:t>1</w:t>
      </w:r>
      <w:r w:rsidR="003C0622">
        <w:rPr>
          <w:rFonts w:cs="Times New Roman"/>
        </w:rPr>
        <w:fldChar w:fldCharType="end"/>
      </w:r>
      <w:r w:rsidR="00DB567B">
        <w:rPr>
          <w:rFonts w:cs="Times New Roman"/>
        </w:rPr>
        <w:t>), we observe that in both years</w:t>
      </w:r>
      <w:r w:rsidR="00FF013B">
        <w:rPr>
          <w:rFonts w:cs="Times New Roman"/>
        </w:rPr>
        <w:t xml:space="preserve">, </w:t>
      </w:r>
      <w:r w:rsidR="002C4657">
        <w:rPr>
          <w:rFonts w:cs="Times New Roman"/>
        </w:rPr>
        <w:t>inputs</w:t>
      </w:r>
      <w:r w:rsidR="00FF013B">
        <w:rPr>
          <w:rFonts w:cs="Times New Roman"/>
        </w:rPr>
        <w:t xml:space="preserve"> </w:t>
      </w:r>
      <w:r w:rsidR="008D7515">
        <w:rPr>
          <w:rFonts w:cs="Times New Roman"/>
        </w:rPr>
        <w:t xml:space="preserve">coming from </w:t>
      </w:r>
      <w:r w:rsidR="00DB567B">
        <w:rPr>
          <w:rFonts w:cs="Times New Roman"/>
        </w:rPr>
        <w:t xml:space="preserve">the </w:t>
      </w:r>
      <w:r w:rsidR="00A97FEA">
        <w:rPr>
          <w:rFonts w:cs="Times New Roman"/>
        </w:rPr>
        <w:t>“</w:t>
      </w:r>
      <w:r w:rsidR="00DB567B">
        <w:rPr>
          <w:rFonts w:cs="Times New Roman"/>
        </w:rPr>
        <w:t>Mining and Quarrying</w:t>
      </w:r>
      <w:r w:rsidR="00A97FEA">
        <w:rPr>
          <w:rFonts w:cs="Times New Roman"/>
        </w:rPr>
        <w:t>”</w:t>
      </w:r>
      <w:r w:rsidR="00DB567B">
        <w:rPr>
          <w:rFonts w:cs="Times New Roman"/>
        </w:rPr>
        <w:t xml:space="preserve"> (mainly from coal mining)</w:t>
      </w:r>
      <w:r w:rsidR="007A62E9">
        <w:rPr>
          <w:rStyle w:val="FootnoteReference"/>
          <w:rFonts w:cs="Times New Roman"/>
        </w:rPr>
        <w:footnoteReference w:id="7"/>
      </w:r>
      <w:r w:rsidR="00DB567B">
        <w:rPr>
          <w:rFonts w:cs="Times New Roman"/>
        </w:rPr>
        <w:t xml:space="preserve"> sector and the own </w:t>
      </w:r>
      <w:r w:rsidR="000D1107">
        <w:rPr>
          <w:rFonts w:cs="Times New Roman"/>
        </w:rPr>
        <w:t>“</w:t>
      </w:r>
      <w:r w:rsidR="000D1107">
        <w:t>E</w:t>
      </w:r>
      <w:r w:rsidR="00446082" w:rsidRPr="004F03CB">
        <w:t>lectricity</w:t>
      </w:r>
      <w:r w:rsidR="00446082">
        <w:t xml:space="preserve"> and</w:t>
      </w:r>
      <w:r w:rsidR="00446082" w:rsidRPr="004F03CB">
        <w:t xml:space="preserve"> gas supply</w:t>
      </w:r>
      <w:r w:rsidR="000D1107">
        <w:t>”</w:t>
      </w:r>
      <w:r w:rsidR="00446082">
        <w:t xml:space="preserve"> </w:t>
      </w:r>
      <w:r w:rsidR="00DB567B">
        <w:rPr>
          <w:rFonts w:cs="Times New Roman"/>
        </w:rPr>
        <w:t>(</w:t>
      </w:r>
      <w:r w:rsidR="00DB567B" w:rsidRPr="005F7B07">
        <w:rPr>
          <w:rFonts w:cs="Times New Roman"/>
        </w:rPr>
        <w:t>mainly from gas supply</w:t>
      </w:r>
      <w:r w:rsidR="00DB567B">
        <w:rPr>
          <w:rFonts w:cs="Times New Roman"/>
        </w:rPr>
        <w:t>)</w:t>
      </w:r>
      <w:r w:rsidR="00FF013B">
        <w:rPr>
          <w:rFonts w:cs="Times New Roman"/>
        </w:rPr>
        <w:t xml:space="preserve"> account</w:t>
      </w:r>
      <w:r w:rsidR="008D7515">
        <w:rPr>
          <w:rFonts w:cs="Times New Roman"/>
        </w:rPr>
        <w:t>ed</w:t>
      </w:r>
      <w:r w:rsidR="00FF013B">
        <w:rPr>
          <w:rFonts w:cs="Times New Roman"/>
        </w:rPr>
        <w:t xml:space="preserve"> for almost 60%</w:t>
      </w:r>
      <w:r w:rsidR="00784D42">
        <w:rPr>
          <w:rFonts w:cs="Times New Roman"/>
        </w:rPr>
        <w:t xml:space="preserve">. </w:t>
      </w:r>
      <w:r w:rsidR="00A97FEA">
        <w:rPr>
          <w:rFonts w:cs="Times New Roman"/>
        </w:rPr>
        <w:t xml:space="preserve">Other relevant sectors supplying inputs to the </w:t>
      </w:r>
      <w:r w:rsidR="00446082" w:rsidRPr="004F03CB">
        <w:t>electricity</w:t>
      </w:r>
      <w:r w:rsidR="00446082">
        <w:t xml:space="preserve"> and</w:t>
      </w:r>
      <w:r w:rsidR="00446082" w:rsidRPr="004F03CB">
        <w:t xml:space="preserve"> gas supply</w:t>
      </w:r>
      <w:r w:rsidR="00A97FEA">
        <w:rPr>
          <w:rFonts w:cs="Times New Roman"/>
        </w:rPr>
        <w:t xml:space="preserve"> are “</w:t>
      </w:r>
      <w:r w:rsidR="00A97FEA" w:rsidRPr="00A97FEA">
        <w:rPr>
          <w:rFonts w:cs="Times New Roman"/>
        </w:rPr>
        <w:t>Renting of M</w:t>
      </w:r>
      <w:r w:rsidR="00A97FEA">
        <w:rPr>
          <w:rFonts w:cs="Times New Roman"/>
        </w:rPr>
        <w:t>achinery an</w:t>
      </w:r>
      <w:r w:rsidR="00A97FEA" w:rsidRPr="00A97FEA">
        <w:rPr>
          <w:rFonts w:cs="Times New Roman"/>
        </w:rPr>
        <w:t>d Other Business Activities</w:t>
      </w:r>
      <w:r w:rsidR="00A97FEA">
        <w:rPr>
          <w:rFonts w:cs="Times New Roman"/>
        </w:rPr>
        <w:t>”, “Construction”, “</w:t>
      </w:r>
      <w:r w:rsidR="00A97FEA" w:rsidRPr="00A97FEA">
        <w:rPr>
          <w:rFonts w:cs="Times New Roman"/>
        </w:rPr>
        <w:t>Coke, Refined Petroleum and Nuclear Fuel</w:t>
      </w:r>
      <w:r w:rsidR="00A97FEA">
        <w:rPr>
          <w:rFonts w:cs="Times New Roman"/>
        </w:rPr>
        <w:t>”, “</w:t>
      </w:r>
      <w:r w:rsidR="00A97FEA" w:rsidRPr="00A97FEA">
        <w:rPr>
          <w:rFonts w:cs="Times New Roman"/>
        </w:rPr>
        <w:t>Wholesale Trade</w:t>
      </w:r>
      <w:r w:rsidR="00A97FEA">
        <w:rPr>
          <w:rFonts w:cs="Times New Roman"/>
        </w:rPr>
        <w:t>” or “</w:t>
      </w:r>
      <w:r w:rsidR="00A97FEA" w:rsidRPr="00A97FEA">
        <w:rPr>
          <w:rFonts w:cs="Times New Roman"/>
        </w:rPr>
        <w:t>Financial Intermediation</w:t>
      </w:r>
      <w:r w:rsidR="00A97FEA">
        <w:rPr>
          <w:rFonts w:cs="Times New Roman"/>
        </w:rPr>
        <w:t xml:space="preserve">”. Although this overall picture has not changed much between 1995 and 2009, we can see </w:t>
      </w:r>
      <w:r w:rsidR="005F3238">
        <w:rPr>
          <w:rFonts w:cs="Times New Roman"/>
        </w:rPr>
        <w:t>modifications</w:t>
      </w:r>
      <w:r w:rsidR="00A97FEA">
        <w:rPr>
          <w:rFonts w:cs="Times New Roman"/>
        </w:rPr>
        <w:t xml:space="preserve"> in the </w:t>
      </w:r>
      <w:r w:rsidR="005F3238">
        <w:rPr>
          <w:rFonts w:cs="Times New Roman"/>
        </w:rPr>
        <w:t xml:space="preserve">patterns of </w:t>
      </w:r>
      <w:r w:rsidR="00A97FEA">
        <w:rPr>
          <w:rFonts w:cs="Times New Roman"/>
        </w:rPr>
        <w:t xml:space="preserve">use of some specific inputs. For instance, the reduction in the use of coal in the </w:t>
      </w:r>
      <w:r w:rsidR="00AE4946">
        <w:rPr>
          <w:rFonts w:cs="Times New Roman"/>
        </w:rPr>
        <w:t>electricity sector</w:t>
      </w:r>
      <w:r w:rsidR="00A97FEA">
        <w:rPr>
          <w:rFonts w:cs="Times New Roman"/>
        </w:rPr>
        <w:t xml:space="preserve"> generated a decrease in the </w:t>
      </w:r>
      <w:r w:rsidR="006216FE">
        <w:rPr>
          <w:rFonts w:cs="Times New Roman"/>
        </w:rPr>
        <w:t>share of</w:t>
      </w:r>
      <w:r w:rsidR="0017035F">
        <w:rPr>
          <w:rFonts w:cs="Times New Roman"/>
        </w:rPr>
        <w:t xml:space="preserve"> inputs f</w:t>
      </w:r>
      <w:r w:rsidR="00A97FEA">
        <w:rPr>
          <w:rFonts w:cs="Times New Roman"/>
        </w:rPr>
        <w:t>r</w:t>
      </w:r>
      <w:r w:rsidR="0017035F">
        <w:rPr>
          <w:rFonts w:cs="Times New Roman"/>
        </w:rPr>
        <w:t>o</w:t>
      </w:r>
      <w:r w:rsidR="00A97FEA">
        <w:rPr>
          <w:rFonts w:cs="Times New Roman"/>
        </w:rPr>
        <w:t>m the “Mining and Quarrying</w:t>
      </w:r>
      <w:r w:rsidR="00467FE9">
        <w:rPr>
          <w:rFonts w:cs="Times New Roman"/>
        </w:rPr>
        <w:t>” from</w:t>
      </w:r>
      <w:r w:rsidR="00A97FEA">
        <w:rPr>
          <w:rFonts w:cs="Times New Roman"/>
        </w:rPr>
        <w:t xml:space="preserve"> </w:t>
      </w:r>
      <w:r w:rsidR="006216FE">
        <w:rPr>
          <w:rFonts w:cs="Times New Roman"/>
        </w:rPr>
        <w:t>2</w:t>
      </w:r>
      <w:r w:rsidR="00AB72AA">
        <w:rPr>
          <w:rFonts w:cs="Times New Roman"/>
        </w:rPr>
        <w:t>5.7</w:t>
      </w:r>
      <w:r w:rsidR="006216FE">
        <w:rPr>
          <w:rFonts w:cs="Times New Roman"/>
        </w:rPr>
        <w:t xml:space="preserve">% </w:t>
      </w:r>
      <w:r w:rsidR="00467FE9">
        <w:rPr>
          <w:rFonts w:cs="Times New Roman"/>
        </w:rPr>
        <w:t xml:space="preserve">in 1995 to </w:t>
      </w:r>
      <w:r w:rsidR="006216FE">
        <w:rPr>
          <w:rFonts w:cs="Times New Roman"/>
        </w:rPr>
        <w:t>22.</w:t>
      </w:r>
      <w:r w:rsidR="00AB72AA">
        <w:rPr>
          <w:rFonts w:cs="Times New Roman"/>
        </w:rPr>
        <w:t>1</w:t>
      </w:r>
      <w:r w:rsidR="006216FE">
        <w:rPr>
          <w:rFonts w:cs="Times New Roman"/>
        </w:rPr>
        <w:t>%</w:t>
      </w:r>
      <w:r w:rsidR="00A97FEA">
        <w:rPr>
          <w:rFonts w:cs="Times New Roman"/>
        </w:rPr>
        <w:t xml:space="preserve"> in 2009. </w:t>
      </w:r>
      <w:r w:rsidR="00467FE9">
        <w:rPr>
          <w:rFonts w:cs="Times New Roman"/>
        </w:rPr>
        <w:t xml:space="preserve">Similarly, the increase in the </w:t>
      </w:r>
      <w:r w:rsidR="00E81563">
        <w:rPr>
          <w:rFonts w:cs="Times New Roman"/>
        </w:rPr>
        <w:t>use of gas</w:t>
      </w:r>
      <w:r w:rsidR="00467FE9">
        <w:rPr>
          <w:rFonts w:cs="Times New Roman"/>
        </w:rPr>
        <w:t xml:space="preserve"> </w:t>
      </w:r>
      <w:r w:rsidR="00CF22EA">
        <w:rPr>
          <w:rFonts w:cs="Times New Roman"/>
        </w:rPr>
        <w:t>translated</w:t>
      </w:r>
      <w:r w:rsidR="00467FE9">
        <w:rPr>
          <w:rFonts w:cs="Times New Roman"/>
        </w:rPr>
        <w:t xml:space="preserve"> into an increase in the</w:t>
      </w:r>
      <w:r w:rsidR="006216FE">
        <w:rPr>
          <w:rFonts w:cs="Times New Roman"/>
        </w:rPr>
        <w:t xml:space="preserve"> share of</w:t>
      </w:r>
      <w:r w:rsidR="00467FE9">
        <w:rPr>
          <w:rFonts w:cs="Times New Roman"/>
        </w:rPr>
        <w:t xml:space="preserve"> intermediate </w:t>
      </w:r>
      <w:r w:rsidR="00CF22EA">
        <w:rPr>
          <w:rFonts w:cs="Times New Roman"/>
        </w:rPr>
        <w:t>inputs f</w:t>
      </w:r>
      <w:r w:rsidR="00467FE9">
        <w:rPr>
          <w:rFonts w:cs="Times New Roman"/>
        </w:rPr>
        <w:t>r</w:t>
      </w:r>
      <w:r w:rsidR="00CF22EA">
        <w:rPr>
          <w:rFonts w:cs="Times New Roman"/>
        </w:rPr>
        <w:t>o</w:t>
      </w:r>
      <w:r w:rsidR="00467FE9">
        <w:rPr>
          <w:rFonts w:cs="Times New Roman"/>
        </w:rPr>
        <w:t xml:space="preserve">m the own </w:t>
      </w:r>
      <w:r w:rsidR="00535598">
        <w:rPr>
          <w:rFonts w:cs="Times New Roman"/>
        </w:rPr>
        <w:t>“</w:t>
      </w:r>
      <w:r w:rsidR="00535598">
        <w:t>E</w:t>
      </w:r>
      <w:r w:rsidR="00446082" w:rsidRPr="004F03CB">
        <w:t>lectricity</w:t>
      </w:r>
      <w:r w:rsidR="00446082">
        <w:t xml:space="preserve"> and</w:t>
      </w:r>
      <w:r w:rsidR="00446082" w:rsidRPr="004F03CB">
        <w:t xml:space="preserve"> gas supply</w:t>
      </w:r>
      <w:r w:rsidR="00535598">
        <w:t>”</w:t>
      </w:r>
      <w:r w:rsidR="00467FE9">
        <w:rPr>
          <w:rFonts w:cs="Times New Roman"/>
        </w:rPr>
        <w:t xml:space="preserve"> sector, passing from </w:t>
      </w:r>
      <w:r w:rsidR="006216FE">
        <w:rPr>
          <w:rFonts w:cs="Times New Roman"/>
        </w:rPr>
        <w:t>3</w:t>
      </w:r>
      <w:r w:rsidR="00AB72AA">
        <w:rPr>
          <w:rFonts w:cs="Times New Roman"/>
        </w:rPr>
        <w:t>0.8</w:t>
      </w:r>
      <w:r w:rsidR="006216FE">
        <w:rPr>
          <w:rFonts w:cs="Times New Roman"/>
        </w:rPr>
        <w:t>%</w:t>
      </w:r>
      <w:r w:rsidR="000B3167">
        <w:rPr>
          <w:rFonts w:cs="Times New Roman"/>
        </w:rPr>
        <w:t xml:space="preserve"> </w:t>
      </w:r>
      <w:r w:rsidR="00467FE9">
        <w:rPr>
          <w:rFonts w:cs="Times New Roman"/>
        </w:rPr>
        <w:t xml:space="preserve">in 1995 to </w:t>
      </w:r>
      <w:r w:rsidR="006216FE">
        <w:rPr>
          <w:rFonts w:cs="Times New Roman"/>
        </w:rPr>
        <w:t>3</w:t>
      </w:r>
      <w:r w:rsidR="00AB72AA">
        <w:rPr>
          <w:rFonts w:cs="Times New Roman"/>
        </w:rPr>
        <w:t>6</w:t>
      </w:r>
      <w:r w:rsidR="006216FE">
        <w:rPr>
          <w:rFonts w:cs="Times New Roman"/>
        </w:rPr>
        <w:t>%</w:t>
      </w:r>
      <w:r w:rsidR="00467FE9">
        <w:rPr>
          <w:rFonts w:cs="Times New Roman"/>
        </w:rPr>
        <w:t xml:space="preserve"> in 2009.</w:t>
      </w:r>
      <w:r w:rsidR="000B3167">
        <w:rPr>
          <w:rFonts w:cs="Times New Roman"/>
        </w:rPr>
        <w:t xml:space="preserve"> </w:t>
      </w:r>
      <w:r w:rsidR="00AE4946">
        <w:rPr>
          <w:rFonts w:cs="Times New Roman"/>
        </w:rPr>
        <w:t>Furthermore, t</w:t>
      </w:r>
      <w:r w:rsidR="000B3167">
        <w:rPr>
          <w:rFonts w:cs="Times New Roman"/>
        </w:rPr>
        <w:t>he reduction in the share of oil and nuclear energy in the electricity sector can also be observed in the decrease in the intermediate inputs from the “</w:t>
      </w:r>
      <w:r w:rsidR="000B3167" w:rsidRPr="000B3167">
        <w:rPr>
          <w:rFonts w:cs="Times New Roman"/>
        </w:rPr>
        <w:t>Coke, Refined Petroleum and Nuclear Fuel</w:t>
      </w:r>
      <w:r w:rsidR="000B3167">
        <w:rPr>
          <w:rFonts w:cs="Times New Roman"/>
        </w:rPr>
        <w:t xml:space="preserve">” (from </w:t>
      </w:r>
      <w:r w:rsidR="00AB72AA">
        <w:rPr>
          <w:rFonts w:cs="Times New Roman"/>
        </w:rPr>
        <w:t>4.8</w:t>
      </w:r>
      <w:r w:rsidR="006216FE">
        <w:rPr>
          <w:rFonts w:cs="Times New Roman"/>
        </w:rPr>
        <w:t>%</w:t>
      </w:r>
      <w:r w:rsidR="000B3167">
        <w:rPr>
          <w:rFonts w:cs="Times New Roman"/>
        </w:rPr>
        <w:t xml:space="preserve"> in 1995 to </w:t>
      </w:r>
      <w:r w:rsidR="006216FE">
        <w:rPr>
          <w:rFonts w:cs="Times New Roman"/>
        </w:rPr>
        <w:t>2.9%</w:t>
      </w:r>
      <w:r w:rsidR="000B3167">
        <w:rPr>
          <w:rFonts w:cs="Times New Roman"/>
        </w:rPr>
        <w:t xml:space="preserve"> in 2009)</w:t>
      </w:r>
      <w:r w:rsidR="00037475">
        <w:rPr>
          <w:rFonts w:cs="Times New Roman"/>
        </w:rPr>
        <w:t>.</w:t>
      </w:r>
    </w:p>
    <w:p w:rsidR="00A9669F" w:rsidRDefault="00A9669F" w:rsidP="00A9669F"/>
    <w:tbl>
      <w:tblPr>
        <w:tblW w:w="8806" w:type="dxa"/>
        <w:tblInd w:w="93" w:type="dxa"/>
        <w:tblLook w:val="04A0"/>
      </w:tblPr>
      <w:tblGrid>
        <w:gridCol w:w="594"/>
        <w:gridCol w:w="6180"/>
        <w:gridCol w:w="576"/>
        <w:gridCol w:w="576"/>
        <w:gridCol w:w="880"/>
      </w:tblGrid>
      <w:tr w:rsidR="009B0EBD" w:rsidRPr="00A9669F" w:rsidTr="00BF5048">
        <w:trPr>
          <w:trHeight w:val="225"/>
        </w:trPr>
        <w:tc>
          <w:tcPr>
            <w:tcW w:w="594" w:type="dxa"/>
            <w:tcBorders>
              <w:top w:val="single" w:sz="4" w:space="0" w:color="auto"/>
              <w:left w:val="single" w:sz="4" w:space="0" w:color="auto"/>
              <w:bottom w:val="single" w:sz="4" w:space="0" w:color="auto"/>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 </w:t>
            </w:r>
            <w:r w:rsidR="00580CFF">
              <w:rPr>
                <w:rFonts w:eastAsia="Times New Roman" w:cs="Times New Roman"/>
                <w:color w:val="000000"/>
                <w:sz w:val="16"/>
                <w:szCs w:val="16"/>
                <w:lang w:eastAsia="en-GB"/>
              </w:rPr>
              <w:t>Code</w:t>
            </w:r>
          </w:p>
        </w:tc>
        <w:tc>
          <w:tcPr>
            <w:tcW w:w="6180" w:type="dxa"/>
            <w:tcBorders>
              <w:top w:val="single" w:sz="4" w:space="0" w:color="auto"/>
              <w:left w:val="nil"/>
              <w:bottom w:val="single" w:sz="4" w:space="0" w:color="auto"/>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Sector</w:t>
            </w:r>
          </w:p>
        </w:tc>
        <w:tc>
          <w:tcPr>
            <w:tcW w:w="576" w:type="dxa"/>
            <w:tcBorders>
              <w:top w:val="single" w:sz="4" w:space="0" w:color="auto"/>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1995</w:t>
            </w:r>
          </w:p>
        </w:tc>
        <w:tc>
          <w:tcPr>
            <w:tcW w:w="576" w:type="dxa"/>
            <w:tcBorders>
              <w:top w:val="single" w:sz="4" w:space="0" w:color="auto"/>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2009</w:t>
            </w:r>
          </w:p>
        </w:tc>
        <w:tc>
          <w:tcPr>
            <w:tcW w:w="880" w:type="dxa"/>
            <w:tcBorders>
              <w:top w:val="single" w:sz="4" w:space="0" w:color="auto"/>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2009-1995</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Agriculture, Hunting, Forestry and Fishing</w:t>
            </w:r>
          </w:p>
        </w:tc>
        <w:tc>
          <w:tcPr>
            <w:tcW w:w="576" w:type="dxa"/>
            <w:tcBorders>
              <w:top w:val="single" w:sz="4" w:space="0" w:color="auto"/>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576" w:type="dxa"/>
            <w:tcBorders>
              <w:top w:val="single" w:sz="4" w:space="0" w:color="auto"/>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0.2</w:t>
            </w:r>
          </w:p>
        </w:tc>
        <w:tc>
          <w:tcPr>
            <w:tcW w:w="880" w:type="dxa"/>
            <w:tcBorders>
              <w:top w:val="single" w:sz="4" w:space="0" w:color="auto"/>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lastRenderedPageBreak/>
              <w:t>c2</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Mining and Quarrying</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25.7</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22.1</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-3.6</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c3</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Food, Beverages and Tobacco</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c4</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Textiles and Textile Products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c5</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Leather, Leather and Footwear</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c6</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Wood and Products of Wood and Cork</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0.2</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c7</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Pulp, Paper, Paper , Printing and Publishing</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0.5</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0.4</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c8</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Coke, Refined Petroleum and Nuclear Fuel</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4.8</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2.9</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-1.9</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c9</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Chemicals and Chemical Products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0.6</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0.7</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c10</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Rubber and Plastics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0.3</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0.3</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c11</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Other Non-Metallic Mineral</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0.3</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0.3</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c12</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Basic Metals and Fabricated Metal</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2.0</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1.7</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-0.4</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c13</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 xml:space="preserve">Machinery, </w:t>
            </w:r>
            <w:proofErr w:type="spellStart"/>
            <w:r w:rsidRPr="00A9669F">
              <w:rPr>
                <w:rFonts w:eastAsia="Times New Roman" w:cs="Times New Roman"/>
                <w:color w:val="000000"/>
                <w:sz w:val="16"/>
                <w:szCs w:val="16"/>
                <w:lang w:eastAsia="en-GB"/>
              </w:rPr>
              <w:t>Nec</w:t>
            </w:r>
            <w:proofErr w:type="spellEnd"/>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1.2</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1.4</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0.2</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c14</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Electrical and Optical Equipment</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1.7</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2.3</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0.6</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c15</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Transport Equipment</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0.2</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0.2</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c16</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 xml:space="preserve">Manufacturing, </w:t>
            </w:r>
            <w:proofErr w:type="spellStart"/>
            <w:r w:rsidRPr="00A9669F">
              <w:rPr>
                <w:rFonts w:eastAsia="Times New Roman" w:cs="Times New Roman"/>
                <w:color w:val="000000"/>
                <w:sz w:val="16"/>
                <w:szCs w:val="16"/>
                <w:lang w:eastAsia="en-GB"/>
              </w:rPr>
              <w:t>Nec</w:t>
            </w:r>
            <w:proofErr w:type="spellEnd"/>
            <w:r w:rsidRPr="00A9669F">
              <w:rPr>
                <w:rFonts w:eastAsia="Times New Roman" w:cs="Times New Roman"/>
                <w:color w:val="000000"/>
                <w:sz w:val="16"/>
                <w:szCs w:val="16"/>
                <w:lang w:eastAsia="en-GB"/>
              </w:rPr>
              <w:t>; Recycling</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0.2</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c17</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Electricity, Gas and Water Supply</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30.8</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36.0</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5.2</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c18</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Construction</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5.3</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4.0</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-1.3</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c19</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Sale, Maintenance and Repair of Motor Vehicles and Motorcycles; Retail Sale of Fuel</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0.5</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0.7</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c20</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Wholesale Trade and Commission Trade, Except of Motor Vehicles and Motorcycles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2.8</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3.5</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0.7</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c21</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Retail Trade, Except of Motor Vehicles and Motorcycles; Repair of Household Goods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1.7</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1.6</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c22</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Hotels and Restaurants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0.3</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0.3</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c23</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Inland Transport</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2.4</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2.8</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0.4</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c24</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Water Transport</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c25</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Air Transport</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c26</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Other Supporting and Auxiliary Transport Activities; Activities of Travel Agencies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0.8</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0.7</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-0.2</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c27</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Post and Telecommunications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0.6</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1.1</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0.4</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c28</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Financial Intermediation</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3.6</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2.8</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-0.8</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c29</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Real Estate Activities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1.3</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1.3</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c30</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Renting of Machinery and Other Business Activities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8.0</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8.7</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0.7</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c31</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Public Admin and Defence; Compulsory Social Security</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2.6</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1.6</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c32</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Education</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0.2</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0.2</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c33</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Health and Social Work</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0.1</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single" w:sz="4" w:space="0" w:color="auto"/>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c34</w:t>
            </w:r>
          </w:p>
        </w:tc>
        <w:tc>
          <w:tcPr>
            <w:tcW w:w="6180"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Other Community, Social and Personal Services</w:t>
            </w:r>
          </w:p>
        </w:tc>
        <w:tc>
          <w:tcPr>
            <w:tcW w:w="576"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0.8</w:t>
            </w:r>
          </w:p>
        </w:tc>
        <w:tc>
          <w:tcPr>
            <w:tcW w:w="576" w:type="dxa"/>
            <w:tcBorders>
              <w:top w:val="nil"/>
              <w:left w:val="nil"/>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1.4</w:t>
            </w:r>
          </w:p>
        </w:tc>
        <w:tc>
          <w:tcPr>
            <w:tcW w:w="880" w:type="dxa"/>
            <w:tcBorders>
              <w:top w:val="nil"/>
              <w:left w:val="single" w:sz="4" w:space="0" w:color="auto"/>
              <w:bottom w:val="nil"/>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0.6</w:t>
            </w:r>
          </w:p>
        </w:tc>
      </w:tr>
      <w:tr w:rsidR="009B0EBD" w:rsidRPr="00A9669F" w:rsidTr="00BF5048">
        <w:trPr>
          <w:trHeight w:val="225"/>
        </w:trPr>
        <w:tc>
          <w:tcPr>
            <w:tcW w:w="594" w:type="dxa"/>
            <w:tcBorders>
              <w:top w:val="nil"/>
              <w:left w:val="single" w:sz="4" w:space="0" w:color="auto"/>
              <w:bottom w:val="single" w:sz="4" w:space="0" w:color="auto"/>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c35</w:t>
            </w:r>
          </w:p>
        </w:tc>
        <w:tc>
          <w:tcPr>
            <w:tcW w:w="6180" w:type="dxa"/>
            <w:tcBorders>
              <w:top w:val="nil"/>
              <w:left w:val="nil"/>
              <w:bottom w:val="single" w:sz="4" w:space="0" w:color="auto"/>
              <w:right w:val="single" w:sz="4" w:space="0" w:color="auto"/>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r w:rsidRPr="00A9669F">
              <w:rPr>
                <w:rFonts w:eastAsia="Times New Roman" w:cs="Times New Roman"/>
                <w:color w:val="000000"/>
                <w:sz w:val="16"/>
                <w:szCs w:val="16"/>
                <w:lang w:eastAsia="en-GB"/>
              </w:rPr>
              <w:t>Private Households with Employed Persons</w:t>
            </w:r>
          </w:p>
        </w:tc>
        <w:tc>
          <w:tcPr>
            <w:tcW w:w="576" w:type="dxa"/>
            <w:tcBorders>
              <w:top w:val="nil"/>
              <w:left w:val="nil"/>
              <w:bottom w:val="single" w:sz="4" w:space="0" w:color="auto"/>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c>
          <w:tcPr>
            <w:tcW w:w="576" w:type="dxa"/>
            <w:tcBorders>
              <w:top w:val="nil"/>
              <w:left w:val="nil"/>
              <w:bottom w:val="single" w:sz="4" w:space="0" w:color="auto"/>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0.0</w:t>
            </w:r>
          </w:p>
        </w:tc>
      </w:tr>
      <w:tr w:rsidR="009B0EBD" w:rsidRPr="00A9669F" w:rsidTr="00BF5048">
        <w:trPr>
          <w:trHeight w:val="225"/>
        </w:trPr>
        <w:tc>
          <w:tcPr>
            <w:tcW w:w="594"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p>
        </w:tc>
        <w:tc>
          <w:tcPr>
            <w:tcW w:w="6180"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left"/>
              <w:rPr>
                <w:rFonts w:eastAsia="Times New Roman" w:cs="Times New Roman"/>
                <w:color w:val="000000"/>
                <w:sz w:val="16"/>
                <w:szCs w:val="16"/>
                <w:lang w:eastAsia="en-GB"/>
              </w:rPr>
            </w:pPr>
          </w:p>
        </w:tc>
        <w:tc>
          <w:tcPr>
            <w:tcW w:w="576" w:type="dxa"/>
            <w:tcBorders>
              <w:top w:val="nil"/>
              <w:left w:val="single" w:sz="4" w:space="0" w:color="auto"/>
              <w:bottom w:val="single" w:sz="4" w:space="0" w:color="auto"/>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100.0</w:t>
            </w:r>
          </w:p>
        </w:tc>
        <w:tc>
          <w:tcPr>
            <w:tcW w:w="576" w:type="dxa"/>
            <w:tcBorders>
              <w:top w:val="nil"/>
              <w:left w:val="nil"/>
              <w:bottom w:val="single" w:sz="4" w:space="0" w:color="auto"/>
              <w:right w:val="single" w:sz="4" w:space="0" w:color="auto"/>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r w:rsidRPr="00A9669F">
              <w:rPr>
                <w:rFonts w:eastAsia="Times New Roman" w:cs="Times New Roman"/>
                <w:color w:val="000000"/>
                <w:sz w:val="16"/>
                <w:szCs w:val="16"/>
                <w:lang w:eastAsia="en-GB"/>
              </w:rPr>
              <w:t>100.0</w:t>
            </w:r>
          </w:p>
        </w:tc>
        <w:tc>
          <w:tcPr>
            <w:tcW w:w="880" w:type="dxa"/>
            <w:tcBorders>
              <w:top w:val="nil"/>
              <w:left w:val="nil"/>
              <w:bottom w:val="nil"/>
              <w:right w:val="nil"/>
            </w:tcBorders>
            <w:shd w:val="clear" w:color="auto" w:fill="auto"/>
            <w:noWrap/>
            <w:vAlign w:val="bottom"/>
            <w:hideMark/>
          </w:tcPr>
          <w:p w:rsidR="009B0EBD" w:rsidRPr="00A9669F" w:rsidRDefault="009B0EBD" w:rsidP="009B0EBD">
            <w:pPr>
              <w:spacing w:before="0" w:after="0" w:line="240" w:lineRule="auto"/>
              <w:jc w:val="center"/>
              <w:rPr>
                <w:rFonts w:eastAsia="Times New Roman" w:cs="Times New Roman"/>
                <w:color w:val="000000"/>
                <w:sz w:val="16"/>
                <w:szCs w:val="16"/>
                <w:lang w:eastAsia="en-GB"/>
              </w:rPr>
            </w:pPr>
          </w:p>
        </w:tc>
      </w:tr>
    </w:tbl>
    <w:p w:rsidR="00627544" w:rsidRPr="00C86424" w:rsidRDefault="00627544" w:rsidP="00627544">
      <w:pPr>
        <w:spacing w:after="0"/>
        <w:rPr>
          <w:rFonts w:cs="Times New Roman"/>
          <w:sz w:val="18"/>
          <w:szCs w:val="18"/>
        </w:rPr>
      </w:pPr>
      <w:r w:rsidRPr="00C86424">
        <w:rPr>
          <w:rFonts w:cs="Times New Roman"/>
          <w:sz w:val="18"/>
          <w:szCs w:val="18"/>
        </w:rPr>
        <w:t>Note:</w:t>
      </w:r>
      <w:r w:rsidR="00BE6C52" w:rsidRPr="00C86424">
        <w:rPr>
          <w:rFonts w:cs="Times New Roman"/>
          <w:sz w:val="18"/>
          <w:szCs w:val="18"/>
        </w:rPr>
        <w:t xml:space="preserve"> the intermediate input structure represent the share of the total intermediate inputs of the </w:t>
      </w:r>
      <w:r w:rsidR="00446082" w:rsidRPr="00652CCA">
        <w:rPr>
          <w:rFonts w:cs="Times New Roman"/>
          <w:sz w:val="18"/>
          <w:szCs w:val="18"/>
        </w:rPr>
        <w:t>electricity and gas supply</w:t>
      </w:r>
      <w:r w:rsidR="00BE6C52" w:rsidRPr="00C86424">
        <w:rPr>
          <w:rFonts w:cs="Times New Roman"/>
          <w:sz w:val="18"/>
          <w:szCs w:val="18"/>
        </w:rPr>
        <w:t xml:space="preserve"> sector of the EU that is demanded from each (row) sector, regardless the country where this supplying sector is located. It</w:t>
      </w:r>
      <w:r w:rsidR="00DB567B" w:rsidRPr="00C86424">
        <w:rPr>
          <w:rFonts w:cs="Times New Roman"/>
          <w:sz w:val="18"/>
          <w:szCs w:val="18"/>
        </w:rPr>
        <w:t xml:space="preserve"> h</w:t>
      </w:r>
      <w:r w:rsidRPr="00C86424">
        <w:rPr>
          <w:rFonts w:cs="Times New Roman"/>
          <w:sz w:val="18"/>
          <w:szCs w:val="18"/>
        </w:rPr>
        <w:t xml:space="preserve">as been </w:t>
      </w:r>
      <w:r w:rsidR="00467FE9" w:rsidRPr="00C86424">
        <w:rPr>
          <w:rFonts w:cs="Times New Roman"/>
          <w:sz w:val="18"/>
          <w:szCs w:val="18"/>
        </w:rPr>
        <w:t xml:space="preserve">calculated by summing the intermediate inputs of the </w:t>
      </w:r>
      <w:r w:rsidR="00446082" w:rsidRPr="00984C13">
        <w:rPr>
          <w:rFonts w:cs="Times New Roman"/>
          <w:sz w:val="18"/>
          <w:szCs w:val="18"/>
        </w:rPr>
        <w:t>electricity and gas supply</w:t>
      </w:r>
      <w:r w:rsidR="00467FE9" w:rsidRPr="00C86424">
        <w:rPr>
          <w:rFonts w:cs="Times New Roman"/>
          <w:sz w:val="18"/>
          <w:szCs w:val="18"/>
        </w:rPr>
        <w:t xml:space="preserve"> sector of all the </w:t>
      </w:r>
      <w:r w:rsidR="00AE4946" w:rsidRPr="00C86424">
        <w:rPr>
          <w:rFonts w:cs="Times New Roman"/>
          <w:sz w:val="18"/>
          <w:szCs w:val="18"/>
        </w:rPr>
        <w:t>EU</w:t>
      </w:r>
      <w:r w:rsidR="00467FE9" w:rsidRPr="00C86424">
        <w:rPr>
          <w:rFonts w:cs="Times New Roman"/>
          <w:sz w:val="18"/>
          <w:szCs w:val="18"/>
        </w:rPr>
        <w:t xml:space="preserve"> member states and dividing them by the </w:t>
      </w:r>
      <w:r w:rsidR="006216FE" w:rsidRPr="00C86424">
        <w:rPr>
          <w:rFonts w:cs="Times New Roman"/>
          <w:sz w:val="18"/>
          <w:szCs w:val="18"/>
        </w:rPr>
        <w:t>total intermediate input</w:t>
      </w:r>
      <w:r w:rsidR="00467FE9" w:rsidRPr="00C86424">
        <w:rPr>
          <w:rFonts w:cs="Times New Roman"/>
          <w:sz w:val="18"/>
          <w:szCs w:val="18"/>
        </w:rPr>
        <w:t xml:space="preserve"> of the </w:t>
      </w:r>
      <w:r w:rsidR="00446082" w:rsidRPr="00984C13">
        <w:rPr>
          <w:rFonts w:cs="Times New Roman"/>
          <w:sz w:val="18"/>
          <w:szCs w:val="18"/>
        </w:rPr>
        <w:t>electricity and gas supply</w:t>
      </w:r>
      <w:r w:rsidR="00446082">
        <w:rPr>
          <w:rFonts w:cs="Times New Roman"/>
          <w:sz w:val="18"/>
          <w:szCs w:val="18"/>
        </w:rPr>
        <w:t xml:space="preserve"> sector</w:t>
      </w:r>
      <w:r w:rsidR="00467FE9" w:rsidRPr="00C86424">
        <w:rPr>
          <w:rFonts w:cs="Times New Roman"/>
          <w:sz w:val="18"/>
          <w:szCs w:val="18"/>
        </w:rPr>
        <w:t>.</w:t>
      </w:r>
    </w:p>
    <w:p w:rsidR="00627544" w:rsidRPr="00C86424" w:rsidRDefault="00627544" w:rsidP="00627544">
      <w:pPr>
        <w:spacing w:after="0"/>
        <w:rPr>
          <w:rFonts w:cs="Times New Roman"/>
          <w:sz w:val="18"/>
          <w:szCs w:val="18"/>
        </w:rPr>
      </w:pPr>
      <w:r w:rsidRPr="00C86424">
        <w:rPr>
          <w:rFonts w:cs="Times New Roman"/>
          <w:sz w:val="18"/>
          <w:szCs w:val="18"/>
        </w:rPr>
        <w:t xml:space="preserve">Source: </w:t>
      </w:r>
      <w:r w:rsidR="007F03DE" w:rsidRPr="00C86424">
        <w:rPr>
          <w:rFonts w:cs="Times New Roman"/>
          <w:sz w:val="18"/>
          <w:szCs w:val="18"/>
        </w:rPr>
        <w:t xml:space="preserve">own elaboration based on data from the </w:t>
      </w:r>
      <w:r w:rsidRPr="00C86424">
        <w:rPr>
          <w:rFonts w:cs="Times New Roman"/>
          <w:sz w:val="18"/>
          <w:szCs w:val="18"/>
        </w:rPr>
        <w:t xml:space="preserve">World </w:t>
      </w:r>
      <w:r w:rsidR="00467FE9" w:rsidRPr="00C86424">
        <w:rPr>
          <w:rFonts w:cs="Times New Roman"/>
          <w:sz w:val="18"/>
          <w:szCs w:val="18"/>
        </w:rPr>
        <w:t>I</w:t>
      </w:r>
      <w:r w:rsidRPr="00C86424">
        <w:rPr>
          <w:rFonts w:cs="Times New Roman"/>
          <w:sz w:val="18"/>
          <w:szCs w:val="18"/>
        </w:rPr>
        <w:t>nput</w:t>
      </w:r>
      <w:r w:rsidR="00E26F71">
        <w:rPr>
          <w:rFonts w:cs="Times New Roman"/>
          <w:sz w:val="18"/>
          <w:szCs w:val="18"/>
        </w:rPr>
        <w:t>-</w:t>
      </w:r>
      <w:r w:rsidRPr="00C86424">
        <w:rPr>
          <w:rFonts w:cs="Times New Roman"/>
          <w:sz w:val="18"/>
          <w:szCs w:val="18"/>
        </w:rPr>
        <w:t>Ou</w:t>
      </w:r>
      <w:r w:rsidR="00467FE9" w:rsidRPr="00C86424">
        <w:rPr>
          <w:rFonts w:cs="Times New Roman"/>
          <w:sz w:val="18"/>
          <w:szCs w:val="18"/>
        </w:rPr>
        <w:t>t</w:t>
      </w:r>
      <w:r w:rsidRPr="00C86424">
        <w:rPr>
          <w:rFonts w:cs="Times New Roman"/>
          <w:sz w:val="18"/>
          <w:szCs w:val="18"/>
        </w:rPr>
        <w:t>put Database</w:t>
      </w:r>
    </w:p>
    <w:p w:rsidR="0010051A" w:rsidRPr="00C4485D" w:rsidRDefault="00C4485D" w:rsidP="0010051A">
      <w:pPr>
        <w:spacing w:after="0"/>
        <w:rPr>
          <w:rFonts w:cs="Times New Roman"/>
          <w:b/>
        </w:rPr>
      </w:pPr>
      <w:bookmarkStart w:id="5" w:name="_Ref411252612"/>
      <w:r w:rsidRPr="00C4485D">
        <w:rPr>
          <w:b/>
        </w:rPr>
        <w:t xml:space="preserve">Table </w:t>
      </w:r>
      <w:r w:rsidR="003C0622" w:rsidRPr="00C4485D">
        <w:rPr>
          <w:b/>
        </w:rPr>
        <w:fldChar w:fldCharType="begin"/>
      </w:r>
      <w:r w:rsidRPr="00C4485D">
        <w:rPr>
          <w:b/>
        </w:rPr>
        <w:instrText xml:space="preserve"> SEQ Table \* ARABIC </w:instrText>
      </w:r>
      <w:r w:rsidR="003C0622" w:rsidRPr="00C4485D">
        <w:rPr>
          <w:b/>
        </w:rPr>
        <w:fldChar w:fldCharType="separate"/>
      </w:r>
      <w:r w:rsidRPr="00C4485D">
        <w:rPr>
          <w:b/>
          <w:noProof/>
        </w:rPr>
        <w:t>1</w:t>
      </w:r>
      <w:r w:rsidR="003C0622" w:rsidRPr="00C4485D">
        <w:rPr>
          <w:b/>
          <w:noProof/>
        </w:rPr>
        <w:fldChar w:fldCharType="end"/>
      </w:r>
      <w:bookmarkEnd w:id="5"/>
      <w:r w:rsidRPr="00C4485D">
        <w:rPr>
          <w:rFonts w:cs="Times New Roman"/>
          <w:b/>
        </w:rPr>
        <w:t xml:space="preserve">: Intermediate input structure of the </w:t>
      </w:r>
      <w:r w:rsidR="00623968">
        <w:rPr>
          <w:rFonts w:cs="Times New Roman"/>
          <w:b/>
        </w:rPr>
        <w:t>e</w:t>
      </w:r>
      <w:r w:rsidRPr="00C4485D">
        <w:rPr>
          <w:rFonts w:cs="Times New Roman"/>
          <w:b/>
        </w:rPr>
        <w:t>lectricity</w:t>
      </w:r>
      <w:r w:rsidR="00623968">
        <w:rPr>
          <w:rFonts w:cs="Times New Roman"/>
          <w:b/>
        </w:rPr>
        <w:t xml:space="preserve"> and</w:t>
      </w:r>
      <w:r w:rsidRPr="00C4485D">
        <w:rPr>
          <w:rFonts w:cs="Times New Roman"/>
          <w:b/>
        </w:rPr>
        <w:t xml:space="preserve"> </w:t>
      </w:r>
      <w:r w:rsidR="00623968">
        <w:rPr>
          <w:rFonts w:cs="Times New Roman"/>
          <w:b/>
        </w:rPr>
        <w:t>g</w:t>
      </w:r>
      <w:r w:rsidRPr="00C4485D">
        <w:rPr>
          <w:rFonts w:cs="Times New Roman"/>
          <w:b/>
        </w:rPr>
        <w:t xml:space="preserve">as </w:t>
      </w:r>
      <w:r w:rsidR="00623968">
        <w:rPr>
          <w:rFonts w:cs="Times New Roman"/>
          <w:b/>
        </w:rPr>
        <w:t>sector</w:t>
      </w:r>
      <w:r w:rsidRPr="00C4485D">
        <w:rPr>
          <w:rFonts w:cs="Times New Roman"/>
          <w:b/>
        </w:rPr>
        <w:t xml:space="preserve"> in the EU, 1995 and 2009 (%)</w:t>
      </w:r>
    </w:p>
    <w:p w:rsidR="00C4485D" w:rsidRDefault="00C4485D" w:rsidP="0010051A">
      <w:pPr>
        <w:spacing w:after="0"/>
        <w:rPr>
          <w:rFonts w:cs="Times New Roman"/>
        </w:rPr>
      </w:pPr>
    </w:p>
    <w:p w:rsidR="00C86424" w:rsidRDefault="00AB72AA" w:rsidP="0010051A">
      <w:pPr>
        <w:spacing w:after="0"/>
        <w:rPr>
          <w:rFonts w:cs="Times New Roman"/>
        </w:rPr>
      </w:pPr>
      <w:r>
        <w:rPr>
          <w:rFonts w:cs="Times New Roman"/>
        </w:rPr>
        <w:t>The changes in the energy system and in t</w:t>
      </w:r>
      <w:r w:rsidR="005F7B07">
        <w:rPr>
          <w:rFonts w:cs="Times New Roman"/>
        </w:rPr>
        <w:t xml:space="preserve">he input structure of the </w:t>
      </w:r>
      <w:r w:rsidR="00446082">
        <w:rPr>
          <w:rFonts w:cs="Times New Roman"/>
        </w:rPr>
        <w:t>electricity and gas supply</w:t>
      </w:r>
      <w:r w:rsidR="005F7B07">
        <w:rPr>
          <w:rFonts w:cs="Times New Roman"/>
        </w:rPr>
        <w:t xml:space="preserve"> in</w:t>
      </w:r>
      <w:r>
        <w:rPr>
          <w:rFonts w:cs="Times New Roman"/>
        </w:rPr>
        <w:t xml:space="preserve"> </w:t>
      </w:r>
      <w:r w:rsidR="005F7B07">
        <w:rPr>
          <w:rFonts w:cs="Times New Roman"/>
        </w:rPr>
        <w:t>each member state</w:t>
      </w:r>
      <w:r>
        <w:rPr>
          <w:rFonts w:cs="Times New Roman"/>
        </w:rPr>
        <w:t xml:space="preserve"> have also been transmitted to other sectors of the economy and to other countries through supply chains. Thanks to the </w:t>
      </w:r>
      <w:r w:rsidR="00446082" w:rsidRPr="004F03CB">
        <w:t>multiregional input-output</w:t>
      </w:r>
      <w:r>
        <w:rPr>
          <w:rFonts w:cs="Times New Roman"/>
        </w:rPr>
        <w:t xml:space="preserve"> tables we can explore these economic cascading effects. </w:t>
      </w:r>
      <w:r w:rsidR="00405111">
        <w:rPr>
          <w:rFonts w:cs="Times New Roman"/>
        </w:rPr>
        <w:t xml:space="preserve"> Here </w:t>
      </w:r>
      <w:r>
        <w:rPr>
          <w:rFonts w:cs="Times New Roman"/>
        </w:rPr>
        <w:t>we focus on the effects in terms of employment.</w:t>
      </w:r>
      <w:r w:rsidR="00C86424">
        <w:rPr>
          <w:rFonts w:cs="Times New Roman"/>
        </w:rPr>
        <w:t xml:space="preserve"> </w:t>
      </w:r>
      <w:r>
        <w:rPr>
          <w:rFonts w:cs="Times New Roman"/>
        </w:rPr>
        <w:t>According to our calculations, if the input structure</w:t>
      </w:r>
      <w:r w:rsidRPr="00AB72AA">
        <w:rPr>
          <w:rFonts w:cs="Times New Roman"/>
        </w:rPr>
        <w:t xml:space="preserve"> of the </w:t>
      </w:r>
      <w:r w:rsidR="00446082">
        <w:rPr>
          <w:rFonts w:cs="Times New Roman"/>
        </w:rPr>
        <w:t>electricity and gas supply</w:t>
      </w:r>
      <w:r w:rsidRPr="00AB72AA">
        <w:rPr>
          <w:rFonts w:cs="Times New Roman"/>
        </w:rPr>
        <w:t xml:space="preserve"> sector of each of the EU countries </w:t>
      </w:r>
      <w:r>
        <w:rPr>
          <w:rFonts w:cs="Times New Roman"/>
        </w:rPr>
        <w:t xml:space="preserve">in 2009 </w:t>
      </w:r>
      <w:r w:rsidRPr="00AB72AA">
        <w:rPr>
          <w:rFonts w:cs="Times New Roman"/>
        </w:rPr>
        <w:t xml:space="preserve">would have </w:t>
      </w:r>
      <w:r>
        <w:rPr>
          <w:rFonts w:cs="Times New Roman"/>
        </w:rPr>
        <w:t>remained</w:t>
      </w:r>
      <w:r w:rsidRPr="00AB72AA">
        <w:rPr>
          <w:rFonts w:cs="Times New Roman"/>
        </w:rPr>
        <w:t xml:space="preserve"> as in 1995</w:t>
      </w:r>
      <w:r w:rsidR="00C86424">
        <w:rPr>
          <w:rFonts w:cs="Times New Roman"/>
        </w:rPr>
        <w:t xml:space="preserve">, a </w:t>
      </w:r>
      <w:r w:rsidR="00B42F94">
        <w:rPr>
          <w:rFonts w:cs="Times New Roman"/>
        </w:rPr>
        <w:t>net total of 530 thousand</w:t>
      </w:r>
      <w:r w:rsidR="00106B95">
        <w:rPr>
          <w:rFonts w:cs="Times New Roman"/>
        </w:rPr>
        <w:t xml:space="preserve"> jobs</w:t>
      </w:r>
      <w:r w:rsidR="00B42F94">
        <w:rPr>
          <w:rFonts w:cs="Times New Roman"/>
        </w:rPr>
        <w:t xml:space="preserve"> (k-jobs)</w:t>
      </w:r>
      <w:r>
        <w:rPr>
          <w:rFonts w:cs="Times New Roman"/>
        </w:rPr>
        <w:t xml:space="preserve"> less would have </w:t>
      </w:r>
      <w:r>
        <w:rPr>
          <w:rFonts w:cs="Times New Roman"/>
        </w:rPr>
        <w:lastRenderedPageBreak/>
        <w:t>been needed in the EU.</w:t>
      </w:r>
      <w:r w:rsidR="00C86424">
        <w:rPr>
          <w:rFonts w:cs="Times New Roman"/>
        </w:rPr>
        <w:t xml:space="preserve"> Or, in other words, the changes in the input structure of the </w:t>
      </w:r>
      <w:r w:rsidR="00446082">
        <w:rPr>
          <w:rFonts w:cs="Times New Roman"/>
        </w:rPr>
        <w:t>electricity and gas supply</w:t>
      </w:r>
      <w:r w:rsidR="00C86424">
        <w:rPr>
          <w:rFonts w:cs="Times New Roman"/>
        </w:rPr>
        <w:t xml:space="preserve"> between 1995 and 2009 contributed to generate 5</w:t>
      </w:r>
      <w:r w:rsidR="007373B2">
        <w:rPr>
          <w:rFonts w:cs="Times New Roman"/>
        </w:rPr>
        <w:t>30</w:t>
      </w:r>
      <w:r w:rsidR="003C1191">
        <w:rPr>
          <w:rFonts w:cs="Times New Roman"/>
        </w:rPr>
        <w:t xml:space="preserve"> k-jobs </w:t>
      </w:r>
      <w:r w:rsidR="007373B2">
        <w:rPr>
          <w:rFonts w:cs="Times New Roman"/>
        </w:rPr>
        <w:t xml:space="preserve">(see </w:t>
      </w:r>
      <w:r w:rsidR="003C0622">
        <w:rPr>
          <w:rFonts w:cs="Times New Roman"/>
        </w:rPr>
        <w:fldChar w:fldCharType="begin"/>
      </w:r>
      <w:r w:rsidR="007373B2">
        <w:rPr>
          <w:rFonts w:cs="Times New Roman"/>
        </w:rPr>
        <w:instrText xml:space="preserve"> REF _Ref411499868 \h </w:instrText>
      </w:r>
      <w:r w:rsidR="003C0622">
        <w:rPr>
          <w:rFonts w:cs="Times New Roman"/>
        </w:rPr>
      </w:r>
      <w:r w:rsidR="003C0622">
        <w:rPr>
          <w:rFonts w:cs="Times New Roman"/>
        </w:rPr>
        <w:fldChar w:fldCharType="separate"/>
      </w:r>
      <w:r w:rsidR="009133D0">
        <w:t>Table A</w:t>
      </w:r>
      <w:r w:rsidR="008962F8">
        <w:t>.</w:t>
      </w:r>
      <w:r w:rsidR="009133D0">
        <w:rPr>
          <w:noProof/>
        </w:rPr>
        <w:t>1</w:t>
      </w:r>
      <w:r w:rsidR="003C0622">
        <w:rPr>
          <w:rFonts w:cs="Times New Roman"/>
        </w:rPr>
        <w:fldChar w:fldCharType="end"/>
      </w:r>
      <w:r w:rsidR="007373B2">
        <w:rPr>
          <w:rFonts w:cs="Times New Roman"/>
        </w:rPr>
        <w:t>)</w:t>
      </w:r>
      <w:r w:rsidR="00C86424">
        <w:rPr>
          <w:rFonts w:cs="Times New Roman"/>
        </w:rPr>
        <w:t>.</w:t>
      </w:r>
    </w:p>
    <w:p w:rsidR="005F7B07" w:rsidRPr="00010B5B" w:rsidRDefault="00C86424" w:rsidP="005F7B07">
      <w:pPr>
        <w:spacing w:after="0"/>
        <w:rPr>
          <w:rFonts w:cs="Times New Roman"/>
        </w:rPr>
      </w:pPr>
      <w:r w:rsidRPr="005F7B07">
        <w:rPr>
          <w:rFonts w:cs="Times New Roman"/>
        </w:rPr>
        <w:t xml:space="preserve">The </w:t>
      </w:r>
      <w:r w:rsidR="00446082" w:rsidRPr="004F03CB">
        <w:t>multiregional input-output</w:t>
      </w:r>
      <w:r w:rsidRPr="005F7B07">
        <w:rPr>
          <w:rFonts w:cs="Times New Roman"/>
        </w:rPr>
        <w:t xml:space="preserve"> model </w:t>
      </w:r>
      <w:r w:rsidR="0075319E" w:rsidRPr="005F7B07">
        <w:rPr>
          <w:rFonts w:cs="Times New Roman"/>
        </w:rPr>
        <w:t xml:space="preserve">also </w:t>
      </w:r>
      <w:r w:rsidRPr="005F7B07">
        <w:rPr>
          <w:rFonts w:cs="Times New Roman"/>
        </w:rPr>
        <w:t>allow</w:t>
      </w:r>
      <w:r w:rsidR="00DF422D" w:rsidRPr="005F7B07">
        <w:rPr>
          <w:rFonts w:cs="Times New Roman"/>
        </w:rPr>
        <w:t>s</w:t>
      </w:r>
      <w:r w:rsidR="0075319E" w:rsidRPr="005F7B07">
        <w:rPr>
          <w:rFonts w:cs="Times New Roman"/>
        </w:rPr>
        <w:t xml:space="preserve"> </w:t>
      </w:r>
      <w:r w:rsidR="008D7515">
        <w:rPr>
          <w:rFonts w:cs="Times New Roman"/>
        </w:rPr>
        <w:t xml:space="preserve">one to </w:t>
      </w:r>
      <w:r w:rsidR="0075319E" w:rsidRPr="005F7B07">
        <w:rPr>
          <w:rFonts w:cs="Times New Roman"/>
        </w:rPr>
        <w:t>distinguish</w:t>
      </w:r>
      <w:r w:rsidR="008D7515">
        <w:rPr>
          <w:rFonts w:cs="Times New Roman"/>
        </w:rPr>
        <w:t xml:space="preserve"> between</w:t>
      </w:r>
      <w:r w:rsidR="0075319E" w:rsidRPr="005F7B07">
        <w:rPr>
          <w:rFonts w:cs="Times New Roman"/>
        </w:rPr>
        <w:t xml:space="preserve"> the “domestic”</w:t>
      </w:r>
      <w:r w:rsidRPr="005F7B07">
        <w:rPr>
          <w:rFonts w:cs="Times New Roman"/>
        </w:rPr>
        <w:t xml:space="preserve"> </w:t>
      </w:r>
      <w:r w:rsidR="0075319E" w:rsidRPr="005F7B07">
        <w:rPr>
          <w:rFonts w:cs="Times New Roman"/>
        </w:rPr>
        <w:t xml:space="preserve">impacts in one country due to the changes in its own </w:t>
      </w:r>
      <w:r w:rsidR="00446082">
        <w:rPr>
          <w:rFonts w:cs="Times New Roman"/>
        </w:rPr>
        <w:t>electricity and gas supply</w:t>
      </w:r>
      <w:r w:rsidR="0075319E" w:rsidRPr="005F7B07">
        <w:rPr>
          <w:rFonts w:cs="Times New Roman"/>
        </w:rPr>
        <w:t xml:space="preserve"> sector from those</w:t>
      </w:r>
      <w:r w:rsidR="00DF422D" w:rsidRPr="005F7B07">
        <w:rPr>
          <w:rFonts w:cs="Times New Roman"/>
        </w:rPr>
        <w:t xml:space="preserve"> impacts in the employment in</w:t>
      </w:r>
      <w:r w:rsidR="0075319E" w:rsidRPr="005F7B07">
        <w:rPr>
          <w:rFonts w:cs="Times New Roman"/>
        </w:rPr>
        <w:t xml:space="preserve"> one country due to the changes in the </w:t>
      </w:r>
      <w:r w:rsidR="00446082">
        <w:rPr>
          <w:rFonts w:cs="Times New Roman"/>
        </w:rPr>
        <w:t>electricity and gas supply</w:t>
      </w:r>
      <w:r w:rsidR="0075319E" w:rsidRPr="005F7B07">
        <w:rPr>
          <w:rFonts w:cs="Times New Roman"/>
        </w:rPr>
        <w:t xml:space="preserve"> of other countries</w:t>
      </w:r>
      <w:r w:rsidR="002C4657">
        <w:rPr>
          <w:rFonts w:cs="Times New Roman"/>
        </w:rPr>
        <w:t xml:space="preserve"> (spill-over effects</w:t>
      </w:r>
      <w:r w:rsidR="00AA17F9">
        <w:rPr>
          <w:rFonts w:cs="Times New Roman"/>
        </w:rPr>
        <w:t>)</w:t>
      </w:r>
      <w:r w:rsidR="0075319E" w:rsidRPr="005F7B07">
        <w:rPr>
          <w:rFonts w:cs="Times New Roman"/>
        </w:rPr>
        <w:t>.</w:t>
      </w:r>
      <w:r w:rsidR="00DF422D" w:rsidRPr="005F7B07">
        <w:rPr>
          <w:rFonts w:cs="Times New Roman"/>
        </w:rPr>
        <w:t xml:space="preserve"> We find that</w:t>
      </w:r>
      <w:r w:rsidRPr="005F7B07">
        <w:rPr>
          <w:rFonts w:cs="Times New Roman"/>
        </w:rPr>
        <w:t xml:space="preserve"> two thirds of the</w:t>
      </w:r>
      <w:r w:rsidR="005F7B07">
        <w:rPr>
          <w:rFonts w:cs="Times New Roman"/>
        </w:rPr>
        <w:t xml:space="preserve"> additional</w:t>
      </w:r>
      <w:r w:rsidR="00DF422D" w:rsidRPr="005F7B07">
        <w:rPr>
          <w:rFonts w:cs="Times New Roman"/>
        </w:rPr>
        <w:t xml:space="preserve"> </w:t>
      </w:r>
      <w:r w:rsidRPr="005F7B07">
        <w:rPr>
          <w:rFonts w:cs="Times New Roman"/>
        </w:rPr>
        <w:t xml:space="preserve">jobs </w:t>
      </w:r>
      <w:r w:rsidR="00DF422D" w:rsidRPr="005F7B07">
        <w:rPr>
          <w:rFonts w:cs="Times New Roman"/>
        </w:rPr>
        <w:t xml:space="preserve">in the EU </w:t>
      </w:r>
      <w:r w:rsidRPr="005F7B07">
        <w:rPr>
          <w:rFonts w:cs="Times New Roman"/>
        </w:rPr>
        <w:t>were directly generated in t</w:t>
      </w:r>
      <w:r w:rsidR="00DF422D" w:rsidRPr="005F7B07">
        <w:rPr>
          <w:rFonts w:cs="Times New Roman"/>
        </w:rPr>
        <w:t>he member states where the changes</w:t>
      </w:r>
      <w:r w:rsidR="00106B95" w:rsidRPr="005F7B07">
        <w:rPr>
          <w:rFonts w:cs="Times New Roman"/>
        </w:rPr>
        <w:t xml:space="preserve"> in the </w:t>
      </w:r>
      <w:r w:rsidR="00446082">
        <w:rPr>
          <w:rFonts w:cs="Times New Roman"/>
        </w:rPr>
        <w:t>electricity and gas supply</w:t>
      </w:r>
      <w:r w:rsidR="00106B95" w:rsidRPr="005F7B07">
        <w:rPr>
          <w:rFonts w:cs="Times New Roman"/>
        </w:rPr>
        <w:t xml:space="preserve"> sector</w:t>
      </w:r>
      <w:r w:rsidR="00DF422D" w:rsidRPr="005F7B07">
        <w:rPr>
          <w:rFonts w:cs="Times New Roman"/>
        </w:rPr>
        <w:t xml:space="preserve"> took place, while the rest were generate</w:t>
      </w:r>
      <w:r w:rsidR="008D7515">
        <w:rPr>
          <w:rFonts w:cs="Times New Roman"/>
        </w:rPr>
        <w:t>d</w:t>
      </w:r>
      <w:r w:rsidR="00DF422D" w:rsidRPr="005F7B07">
        <w:rPr>
          <w:rFonts w:cs="Times New Roman"/>
        </w:rPr>
        <w:t xml:space="preserve"> through spill-over</w:t>
      </w:r>
      <w:r w:rsidR="002C4657">
        <w:rPr>
          <w:rFonts w:cs="Times New Roman"/>
        </w:rPr>
        <w:t xml:space="preserve"> effects</w:t>
      </w:r>
      <w:r w:rsidR="008D7515">
        <w:rPr>
          <w:rFonts w:cs="Times New Roman"/>
        </w:rPr>
        <w:t xml:space="preserve"> (See</w:t>
      </w:r>
      <w:r w:rsidR="005F7B07">
        <w:rPr>
          <w:rFonts w:cs="Times New Roman"/>
        </w:rPr>
        <w:t xml:space="preserve"> </w:t>
      </w:r>
      <w:r w:rsidR="003C0622">
        <w:rPr>
          <w:rFonts w:cs="Times New Roman"/>
        </w:rPr>
        <w:fldChar w:fldCharType="begin"/>
      </w:r>
      <w:r w:rsidR="005F7B07">
        <w:rPr>
          <w:rFonts w:cs="Times New Roman"/>
        </w:rPr>
        <w:instrText xml:space="preserve"> REF _Ref422943751 \h </w:instrText>
      </w:r>
      <w:r w:rsidR="003C0622">
        <w:rPr>
          <w:rFonts w:cs="Times New Roman"/>
        </w:rPr>
      </w:r>
      <w:r w:rsidR="003C0622">
        <w:rPr>
          <w:rFonts w:cs="Times New Roman"/>
        </w:rPr>
        <w:fldChar w:fldCharType="separate"/>
      </w:r>
      <w:r w:rsidR="005F7B07">
        <w:t xml:space="preserve">Figure </w:t>
      </w:r>
      <w:r w:rsidR="005F7B07">
        <w:rPr>
          <w:noProof/>
        </w:rPr>
        <w:t>2</w:t>
      </w:r>
      <w:r w:rsidR="003C0622">
        <w:rPr>
          <w:rFonts w:cs="Times New Roman"/>
        </w:rPr>
        <w:fldChar w:fldCharType="end"/>
      </w:r>
      <w:r w:rsidR="008D7515">
        <w:rPr>
          <w:rFonts w:cs="Times New Roman"/>
        </w:rPr>
        <w:t>)</w:t>
      </w:r>
      <w:r w:rsidR="00DF422D" w:rsidRPr="005F7B07">
        <w:rPr>
          <w:rFonts w:cs="Times New Roman"/>
        </w:rPr>
        <w:t>.</w:t>
      </w:r>
    </w:p>
    <w:p w:rsidR="00933F44" w:rsidRDefault="003C0622" w:rsidP="00933F44">
      <w:pPr>
        <w:spacing w:after="0"/>
        <w:rPr>
          <w:rFonts w:cs="Times New Roman"/>
        </w:rPr>
      </w:pPr>
      <w:r w:rsidRPr="00933F44">
        <w:rPr>
          <w:rFonts w:cs="Times New Roman"/>
        </w:rPr>
        <w:fldChar w:fldCharType="begin"/>
      </w:r>
      <w:r w:rsidR="00C428CF" w:rsidRPr="00933F44">
        <w:rPr>
          <w:rFonts w:cs="Times New Roman"/>
        </w:rPr>
        <w:instrText xml:space="preserve"> REF _Ref422943751 \h </w:instrText>
      </w:r>
      <w:r w:rsidRPr="00933F44">
        <w:rPr>
          <w:rFonts w:cs="Times New Roman"/>
        </w:rPr>
      </w:r>
      <w:r w:rsidRPr="00933F44">
        <w:rPr>
          <w:rFonts w:cs="Times New Roman"/>
        </w:rPr>
        <w:fldChar w:fldCharType="separate"/>
      </w:r>
      <w:r w:rsidR="009133D0">
        <w:t xml:space="preserve">Figure </w:t>
      </w:r>
      <w:r w:rsidR="009133D0">
        <w:rPr>
          <w:noProof/>
        </w:rPr>
        <w:t>2</w:t>
      </w:r>
      <w:r w:rsidRPr="00933F44">
        <w:rPr>
          <w:rFonts w:cs="Times New Roman"/>
        </w:rPr>
        <w:fldChar w:fldCharType="end"/>
      </w:r>
      <w:r w:rsidR="00106B95" w:rsidRPr="00933F44">
        <w:rPr>
          <w:rFonts w:cs="Times New Roman"/>
        </w:rPr>
        <w:t xml:space="preserve"> shows the impacts on employment due to changes in the input structure of the</w:t>
      </w:r>
      <w:r w:rsidR="00446082">
        <w:rPr>
          <w:rFonts w:cs="Times New Roman"/>
        </w:rPr>
        <w:t xml:space="preserve"> electricity and gas supply </w:t>
      </w:r>
      <w:r w:rsidR="00106B95" w:rsidRPr="00933F44">
        <w:rPr>
          <w:rFonts w:cs="Times New Roman"/>
        </w:rPr>
        <w:t xml:space="preserve">sector by member state and differentiating the domestic and spill-over effects. </w:t>
      </w:r>
      <w:r w:rsidR="008D7515">
        <w:rPr>
          <w:rFonts w:cs="Times New Roman"/>
        </w:rPr>
        <w:t>I</w:t>
      </w:r>
      <w:r w:rsidR="00106B95" w:rsidRPr="00933F44">
        <w:rPr>
          <w:rFonts w:cs="Times New Roman"/>
        </w:rPr>
        <w:t xml:space="preserve">n 21 out of </w:t>
      </w:r>
      <w:r w:rsidR="008D7515">
        <w:rPr>
          <w:rFonts w:cs="Times New Roman"/>
        </w:rPr>
        <w:t xml:space="preserve">the </w:t>
      </w:r>
      <w:r w:rsidR="00106B95" w:rsidRPr="00933F44">
        <w:rPr>
          <w:rFonts w:cs="Times New Roman"/>
        </w:rPr>
        <w:t>27 member states the total effect in the employment was positive. The countries that most benefited in terms</w:t>
      </w:r>
      <w:r w:rsidR="000D7375" w:rsidRPr="00933F44">
        <w:rPr>
          <w:rFonts w:cs="Times New Roman"/>
        </w:rPr>
        <w:t xml:space="preserve"> of employment were Poland (124 k-jobs</w:t>
      </w:r>
      <w:r w:rsidR="00106B95" w:rsidRPr="00933F44">
        <w:rPr>
          <w:rFonts w:cs="Times New Roman"/>
        </w:rPr>
        <w:t>), Germany (95</w:t>
      </w:r>
      <w:r w:rsidR="000D7375" w:rsidRPr="00933F44">
        <w:rPr>
          <w:rFonts w:cs="Times New Roman"/>
        </w:rPr>
        <w:t xml:space="preserve"> k-jobs</w:t>
      </w:r>
      <w:r w:rsidR="00106B95" w:rsidRPr="00933F44">
        <w:rPr>
          <w:rFonts w:cs="Times New Roman"/>
        </w:rPr>
        <w:t>), Hungary (55</w:t>
      </w:r>
      <w:r w:rsidR="000D7375" w:rsidRPr="00933F44">
        <w:rPr>
          <w:rFonts w:cs="Times New Roman"/>
        </w:rPr>
        <w:t xml:space="preserve"> k-jobs</w:t>
      </w:r>
      <w:r w:rsidR="00523C86" w:rsidRPr="00933F44">
        <w:rPr>
          <w:rFonts w:cs="Times New Roman"/>
        </w:rPr>
        <w:t>)</w:t>
      </w:r>
      <w:r w:rsidR="000D7375" w:rsidRPr="00933F44">
        <w:rPr>
          <w:rFonts w:cs="Times New Roman"/>
        </w:rPr>
        <w:t>, Italy (50 k-jobs</w:t>
      </w:r>
      <w:r w:rsidR="00523C86" w:rsidRPr="00933F44">
        <w:rPr>
          <w:rFonts w:cs="Times New Roman"/>
        </w:rPr>
        <w:t>)</w:t>
      </w:r>
      <w:r w:rsidR="00106B95" w:rsidRPr="00933F44">
        <w:rPr>
          <w:rFonts w:cs="Times New Roman"/>
        </w:rPr>
        <w:t xml:space="preserve">, Spain </w:t>
      </w:r>
      <w:r w:rsidR="00523C86" w:rsidRPr="00933F44">
        <w:rPr>
          <w:rFonts w:cs="Times New Roman"/>
        </w:rPr>
        <w:t>(40</w:t>
      </w:r>
      <w:r w:rsidR="000D7375" w:rsidRPr="00933F44">
        <w:rPr>
          <w:rFonts w:cs="Times New Roman"/>
        </w:rPr>
        <w:t xml:space="preserve"> k-jobs</w:t>
      </w:r>
      <w:r w:rsidR="00523C86" w:rsidRPr="00933F44">
        <w:rPr>
          <w:rFonts w:cs="Times New Roman"/>
        </w:rPr>
        <w:t>)</w:t>
      </w:r>
      <w:r w:rsidR="008330DB">
        <w:rPr>
          <w:rFonts w:cs="Times New Roman"/>
        </w:rPr>
        <w:t>,</w:t>
      </w:r>
      <w:r w:rsidR="00523C86" w:rsidRPr="00933F44">
        <w:rPr>
          <w:rFonts w:cs="Times New Roman"/>
        </w:rPr>
        <w:t xml:space="preserve"> Slovakia (36</w:t>
      </w:r>
      <w:r w:rsidR="000D7375" w:rsidRPr="00933F44">
        <w:rPr>
          <w:rFonts w:cs="Times New Roman"/>
        </w:rPr>
        <w:t xml:space="preserve"> k-jobs</w:t>
      </w:r>
      <w:r w:rsidR="00523C86" w:rsidRPr="00933F44">
        <w:rPr>
          <w:rFonts w:cs="Times New Roman"/>
        </w:rPr>
        <w:t>) and the Netherlands (36</w:t>
      </w:r>
      <w:r w:rsidR="000D7375" w:rsidRPr="00933F44">
        <w:rPr>
          <w:rFonts w:cs="Times New Roman"/>
        </w:rPr>
        <w:t xml:space="preserve"> k-jobs</w:t>
      </w:r>
      <w:r w:rsidR="00523C86" w:rsidRPr="00933F44">
        <w:rPr>
          <w:rFonts w:cs="Times New Roman"/>
        </w:rPr>
        <w:t>). In four</w:t>
      </w:r>
      <w:r w:rsidR="00070A15" w:rsidRPr="00933F44">
        <w:rPr>
          <w:rFonts w:cs="Times New Roman"/>
        </w:rPr>
        <w:t xml:space="preserve"> Eastern</w:t>
      </w:r>
      <w:r w:rsidR="00523C86" w:rsidRPr="00933F44">
        <w:rPr>
          <w:rFonts w:cs="Times New Roman"/>
        </w:rPr>
        <w:t xml:space="preserve"> </w:t>
      </w:r>
      <w:r w:rsidR="008D7515">
        <w:rPr>
          <w:rFonts w:cs="Times New Roman"/>
        </w:rPr>
        <w:t xml:space="preserve">European </w:t>
      </w:r>
      <w:r w:rsidR="00523C86" w:rsidRPr="00933F44">
        <w:rPr>
          <w:rFonts w:cs="Times New Roman"/>
        </w:rPr>
        <w:t xml:space="preserve">countries, the change in the employment represents more than </w:t>
      </w:r>
      <w:r w:rsidR="001B0AB5" w:rsidRPr="00933F44">
        <w:rPr>
          <w:rFonts w:cs="Times New Roman"/>
        </w:rPr>
        <w:t>0.8</w:t>
      </w:r>
      <w:r w:rsidR="00523C86" w:rsidRPr="00933F44">
        <w:rPr>
          <w:rFonts w:cs="Times New Roman"/>
        </w:rPr>
        <w:t xml:space="preserve">% of the total employment in the year 2009: </w:t>
      </w:r>
      <w:r w:rsidR="00F3092D" w:rsidRPr="00933F44">
        <w:rPr>
          <w:rFonts w:cs="Times New Roman"/>
        </w:rPr>
        <w:t>Slovakia (1.6%), Latvia (1.5%), Hungary (1.4%) and Poland (0.8</w:t>
      </w:r>
      <w:r w:rsidR="00F3092D" w:rsidRPr="0009161D">
        <w:rPr>
          <w:rFonts w:cs="Times New Roman"/>
        </w:rPr>
        <w:t>%)</w:t>
      </w:r>
      <w:r w:rsidR="00A3022C" w:rsidRPr="0009161D">
        <w:rPr>
          <w:rFonts w:cs="Times New Roman"/>
        </w:rPr>
        <w:t>.</w:t>
      </w:r>
      <w:r w:rsidR="00933F44" w:rsidRPr="0009161D">
        <w:rPr>
          <w:rFonts w:cs="Times New Roman"/>
        </w:rPr>
        <w:t xml:space="preserve"> </w:t>
      </w:r>
      <w:r w:rsidR="0009161D" w:rsidRPr="0009161D">
        <w:rPr>
          <w:rFonts w:cs="Times New Roman"/>
        </w:rPr>
        <w:t>These countries are more energy intensive t</w:t>
      </w:r>
      <w:r w:rsidR="0009161D">
        <w:rPr>
          <w:rFonts w:cs="Times New Roman"/>
        </w:rPr>
        <w:t>han the average, which contribute</w:t>
      </w:r>
      <w:r w:rsidR="008D7515">
        <w:rPr>
          <w:rFonts w:cs="Times New Roman"/>
        </w:rPr>
        <w:t>d</w:t>
      </w:r>
      <w:r w:rsidR="0009161D">
        <w:rPr>
          <w:rFonts w:cs="Times New Roman"/>
        </w:rPr>
        <w:t xml:space="preserve"> to </w:t>
      </w:r>
      <w:r w:rsidR="008D7515">
        <w:rPr>
          <w:rFonts w:cs="Times New Roman"/>
        </w:rPr>
        <w:t>magnified</w:t>
      </w:r>
      <w:r w:rsidR="0009161D" w:rsidRPr="0009161D">
        <w:rPr>
          <w:rFonts w:cs="Times New Roman"/>
        </w:rPr>
        <w:t xml:space="preserve"> direct and indirect employment </w:t>
      </w:r>
      <w:r w:rsidR="0009161D">
        <w:rPr>
          <w:rFonts w:cs="Times New Roman"/>
        </w:rPr>
        <w:t>effects due to</w:t>
      </w:r>
      <w:r w:rsidR="0009161D" w:rsidRPr="0009161D">
        <w:rPr>
          <w:rFonts w:cs="Times New Roman"/>
        </w:rPr>
        <w:t xml:space="preserve"> the</w:t>
      </w:r>
      <w:r w:rsidR="0009161D">
        <w:rPr>
          <w:rFonts w:cs="Times New Roman"/>
        </w:rPr>
        <w:t xml:space="preserve"> changes in the </w:t>
      </w:r>
      <w:r w:rsidR="000D1107">
        <w:rPr>
          <w:rFonts w:cs="Times New Roman"/>
        </w:rPr>
        <w:t>electricity and gas supply</w:t>
      </w:r>
      <w:r w:rsidR="0009161D" w:rsidRPr="0009161D">
        <w:rPr>
          <w:rFonts w:cs="Times New Roman"/>
        </w:rPr>
        <w:t>.</w:t>
      </w:r>
      <w:r w:rsidR="0009161D">
        <w:rPr>
          <w:rFonts w:cs="Times New Roman"/>
        </w:rPr>
        <w:t xml:space="preserve"> </w:t>
      </w:r>
      <w:r w:rsidR="00405111">
        <w:rPr>
          <w:rFonts w:cs="Times New Roman"/>
        </w:rPr>
        <w:t>By contrast</w:t>
      </w:r>
      <w:r w:rsidR="00933F44">
        <w:rPr>
          <w:rFonts w:cs="Times New Roman"/>
        </w:rPr>
        <w:t xml:space="preserve">, the changes in Western </w:t>
      </w:r>
      <w:r w:rsidR="00933F44" w:rsidRPr="004F03CB">
        <w:rPr>
          <w:rFonts w:cs="Times New Roman"/>
        </w:rPr>
        <w:t xml:space="preserve">Europe </w:t>
      </w:r>
      <w:r w:rsidR="00933F44">
        <w:rPr>
          <w:rFonts w:cs="Times New Roman"/>
        </w:rPr>
        <w:t xml:space="preserve">countries were more limited and in </w:t>
      </w:r>
      <w:r w:rsidR="008D7515">
        <w:rPr>
          <w:rFonts w:cs="Times New Roman"/>
        </w:rPr>
        <w:t>no</w:t>
      </w:r>
      <w:r w:rsidR="00933F44">
        <w:rPr>
          <w:rFonts w:cs="Times New Roman"/>
        </w:rPr>
        <w:t xml:space="preserve"> case exceeded 0.5% of total employment, </w:t>
      </w:r>
      <w:r w:rsidR="00405111">
        <w:rPr>
          <w:rFonts w:cs="Times New Roman"/>
        </w:rPr>
        <w:t xml:space="preserve">the </w:t>
      </w:r>
      <w:r w:rsidR="00933F44" w:rsidRPr="004F03CB">
        <w:rPr>
          <w:rFonts w:cs="Times New Roman"/>
        </w:rPr>
        <w:t>largest beneficiaries</w:t>
      </w:r>
      <w:r w:rsidR="008D7515">
        <w:rPr>
          <w:rFonts w:cs="Times New Roman"/>
        </w:rPr>
        <w:t xml:space="preserve"> being</w:t>
      </w:r>
      <w:r w:rsidR="00933F44" w:rsidRPr="004F03CB">
        <w:rPr>
          <w:rFonts w:cs="Times New Roman"/>
        </w:rPr>
        <w:t xml:space="preserve"> Belgium, Austria and </w:t>
      </w:r>
      <w:r w:rsidR="00535598">
        <w:rPr>
          <w:rFonts w:cs="Times New Roman"/>
        </w:rPr>
        <w:t xml:space="preserve">the </w:t>
      </w:r>
      <w:r w:rsidR="00933F44" w:rsidRPr="004F03CB">
        <w:rPr>
          <w:rFonts w:cs="Times New Roman"/>
        </w:rPr>
        <w:t>Netherlands, with gains of 0.5, 0.4 and 0.4</w:t>
      </w:r>
      <w:r w:rsidR="00933F44">
        <w:rPr>
          <w:rFonts w:cs="Times New Roman"/>
        </w:rPr>
        <w:t xml:space="preserve"> </w:t>
      </w:r>
      <w:r w:rsidR="00933F44" w:rsidRPr="004F03CB">
        <w:rPr>
          <w:rFonts w:cs="Times New Roman"/>
        </w:rPr>
        <w:t>percent respectively.</w:t>
      </w:r>
      <w:r w:rsidR="0009161D">
        <w:rPr>
          <w:rFonts w:cs="Times New Roman"/>
        </w:rPr>
        <w:t xml:space="preserve"> </w:t>
      </w:r>
    </w:p>
    <w:p w:rsidR="00E42471" w:rsidRDefault="00863F90" w:rsidP="004F05A1">
      <w:pPr>
        <w:rPr>
          <w:rFonts w:cs="Times New Roman"/>
        </w:rPr>
      </w:pPr>
      <w:r w:rsidRPr="000C3F81">
        <w:rPr>
          <w:rFonts w:cs="Times New Roman"/>
        </w:rPr>
        <w:t xml:space="preserve">Sector wise (see </w:t>
      </w:r>
      <w:fldSimple w:instr=" REF _Ref411499868 \h  \* MERGEFORMAT ">
        <w:r w:rsidR="009133D0">
          <w:t>Table A</w:t>
        </w:r>
        <w:r w:rsidR="008962F8">
          <w:t>.</w:t>
        </w:r>
        <w:r w:rsidR="009133D0">
          <w:t>1</w:t>
        </w:r>
      </w:fldSimple>
      <w:r w:rsidR="00F428C7">
        <w:t xml:space="preserve"> </w:t>
      </w:r>
      <w:r w:rsidR="00405111">
        <w:t>in</w:t>
      </w:r>
      <w:r w:rsidR="00F428C7">
        <w:t xml:space="preserve"> the Appendix</w:t>
      </w:r>
      <w:r w:rsidRPr="000C3F81">
        <w:rPr>
          <w:rFonts w:cs="Times New Roman"/>
        </w:rPr>
        <w:t xml:space="preserve">) </w:t>
      </w:r>
      <w:r w:rsidR="008D7515">
        <w:rPr>
          <w:rFonts w:cs="Times New Roman"/>
        </w:rPr>
        <w:t xml:space="preserve">one can </w:t>
      </w:r>
      <w:r w:rsidRPr="000C3F81">
        <w:rPr>
          <w:rFonts w:cs="Times New Roman"/>
        </w:rPr>
        <w:t xml:space="preserve">observe that the EU industry that most benefited in terms of employment was </w:t>
      </w:r>
      <w:r w:rsidR="008260A6">
        <w:rPr>
          <w:rFonts w:cs="Times New Roman"/>
        </w:rPr>
        <w:t>“</w:t>
      </w:r>
      <w:r w:rsidRPr="000C3F81">
        <w:rPr>
          <w:rFonts w:cs="Times New Roman"/>
        </w:rPr>
        <w:t>Renting of M</w:t>
      </w:r>
      <w:r w:rsidR="003C015D">
        <w:rPr>
          <w:rFonts w:cs="Times New Roman"/>
        </w:rPr>
        <w:t>achinery</w:t>
      </w:r>
      <w:r w:rsidRPr="000C3F81">
        <w:rPr>
          <w:rFonts w:cs="Times New Roman"/>
        </w:rPr>
        <w:t xml:space="preserve"> and Other Business Activities</w:t>
      </w:r>
      <w:r w:rsidR="008260A6">
        <w:rPr>
          <w:rFonts w:cs="Times New Roman"/>
        </w:rPr>
        <w:t>”</w:t>
      </w:r>
      <w:r w:rsidRPr="000C3F81">
        <w:rPr>
          <w:rFonts w:cs="Times New Roman"/>
        </w:rPr>
        <w:t xml:space="preserve"> (159 k-jobs), followed by </w:t>
      </w:r>
      <w:r w:rsidR="00446082">
        <w:rPr>
          <w:rFonts w:cs="Times New Roman"/>
        </w:rPr>
        <w:t>“Electricity and gas supply”</w:t>
      </w:r>
      <w:r w:rsidRPr="000C3F81">
        <w:rPr>
          <w:rFonts w:cs="Times New Roman"/>
        </w:rPr>
        <w:t xml:space="preserve"> (64 k-jobs)</w:t>
      </w:r>
      <w:r w:rsidR="00E42471">
        <w:rPr>
          <w:rFonts w:cs="Times New Roman"/>
        </w:rPr>
        <w:t xml:space="preserve">, </w:t>
      </w:r>
      <w:r w:rsidR="008260A6">
        <w:rPr>
          <w:rFonts w:cs="Times New Roman"/>
        </w:rPr>
        <w:t>“</w:t>
      </w:r>
      <w:r w:rsidRPr="000C3F81">
        <w:rPr>
          <w:rFonts w:cs="Times New Roman"/>
        </w:rPr>
        <w:t>Construction</w:t>
      </w:r>
      <w:r w:rsidR="008260A6">
        <w:rPr>
          <w:rFonts w:cs="Times New Roman"/>
        </w:rPr>
        <w:t>”</w:t>
      </w:r>
      <w:r w:rsidRPr="000C3F81">
        <w:rPr>
          <w:rFonts w:cs="Times New Roman"/>
        </w:rPr>
        <w:t xml:space="preserve"> (44 k-jobs), </w:t>
      </w:r>
      <w:r w:rsidR="008260A6">
        <w:rPr>
          <w:rFonts w:cs="Times New Roman"/>
        </w:rPr>
        <w:t>“</w:t>
      </w:r>
      <w:r w:rsidRPr="000C3F81">
        <w:rPr>
          <w:rFonts w:cs="Times New Roman"/>
        </w:rPr>
        <w:t>Other Community, Social and Personal Services</w:t>
      </w:r>
      <w:r w:rsidR="008260A6">
        <w:rPr>
          <w:rFonts w:cs="Times New Roman"/>
        </w:rPr>
        <w:t>”</w:t>
      </w:r>
      <w:r w:rsidRPr="000C3F81">
        <w:rPr>
          <w:rFonts w:cs="Times New Roman"/>
        </w:rPr>
        <w:t xml:space="preserve"> (41 k-jobs), </w:t>
      </w:r>
      <w:r w:rsidR="008260A6">
        <w:rPr>
          <w:rFonts w:cs="Times New Roman"/>
        </w:rPr>
        <w:t>“</w:t>
      </w:r>
      <w:r w:rsidRPr="000C3F81">
        <w:rPr>
          <w:rFonts w:cs="Times New Roman"/>
        </w:rPr>
        <w:t>Inland Transport</w:t>
      </w:r>
      <w:r w:rsidR="008260A6">
        <w:rPr>
          <w:rFonts w:cs="Times New Roman"/>
        </w:rPr>
        <w:t>”</w:t>
      </w:r>
      <w:r w:rsidRPr="000C3F81">
        <w:rPr>
          <w:rFonts w:cs="Times New Roman"/>
        </w:rPr>
        <w:t xml:space="preserve"> (38 k-jobs), </w:t>
      </w:r>
      <w:r w:rsidR="008260A6">
        <w:rPr>
          <w:rFonts w:cs="Times New Roman"/>
        </w:rPr>
        <w:t>“Wholesale Trade”</w:t>
      </w:r>
      <w:r w:rsidRPr="000C3F81">
        <w:rPr>
          <w:rFonts w:cs="Times New Roman"/>
        </w:rPr>
        <w:t xml:space="preserve"> (38 k-jobs), </w:t>
      </w:r>
      <w:r w:rsidR="008260A6">
        <w:rPr>
          <w:rFonts w:cs="Times New Roman"/>
        </w:rPr>
        <w:t>“Retail Trade</w:t>
      </w:r>
      <w:r w:rsidRPr="000C3F81">
        <w:rPr>
          <w:rFonts w:cs="Times New Roman"/>
        </w:rPr>
        <w:t>; Repair of Household Goods; and Electrical and Optical Equipment</w:t>
      </w:r>
      <w:r w:rsidR="008260A6">
        <w:rPr>
          <w:rFonts w:cs="Times New Roman"/>
        </w:rPr>
        <w:t>”</w:t>
      </w:r>
      <w:r w:rsidRPr="000C3F81">
        <w:rPr>
          <w:rFonts w:cs="Times New Roman"/>
        </w:rPr>
        <w:t xml:space="preserve"> (26 k-jobs).</w:t>
      </w:r>
      <w:r w:rsidR="00EB5352">
        <w:rPr>
          <w:rFonts w:cs="Times New Roman"/>
        </w:rPr>
        <w:t xml:space="preserve"> The</w:t>
      </w:r>
      <w:r w:rsidR="00E42471">
        <w:rPr>
          <w:rFonts w:cs="Times New Roman"/>
        </w:rPr>
        <w:t xml:space="preserve"> relevance of employment in </w:t>
      </w:r>
      <w:r w:rsidR="00405111">
        <w:rPr>
          <w:rFonts w:cs="Times New Roman"/>
        </w:rPr>
        <w:t xml:space="preserve">the </w:t>
      </w:r>
      <w:r w:rsidR="00E42471">
        <w:rPr>
          <w:rFonts w:cs="Times New Roman"/>
        </w:rPr>
        <w:t>services sectors</w:t>
      </w:r>
      <w:r w:rsidR="00EB5352">
        <w:rPr>
          <w:rFonts w:cs="Times New Roman"/>
        </w:rPr>
        <w:t xml:space="preserve"> </w:t>
      </w:r>
      <w:r w:rsidR="00E42471">
        <w:rPr>
          <w:rFonts w:cs="Times New Roman"/>
        </w:rPr>
        <w:t>is</w:t>
      </w:r>
      <w:r w:rsidR="00EB5352">
        <w:rPr>
          <w:rFonts w:cs="Times New Roman"/>
        </w:rPr>
        <w:t xml:space="preserve"> consistent with the trends towards</w:t>
      </w:r>
      <w:r w:rsidR="00EB5352" w:rsidRPr="00EB5352">
        <w:rPr>
          <w:rFonts w:cs="Times New Roman"/>
        </w:rPr>
        <w:t xml:space="preserve"> </w:t>
      </w:r>
      <w:r w:rsidR="00EB5352">
        <w:rPr>
          <w:rFonts w:cs="Times New Roman"/>
        </w:rPr>
        <w:t xml:space="preserve">outsourcing observed </w:t>
      </w:r>
      <w:r w:rsidR="00C22FAB">
        <w:rPr>
          <w:rFonts w:cs="Times New Roman"/>
        </w:rPr>
        <w:t>during the last decades in developed economies.</w:t>
      </w:r>
      <w:r w:rsidR="00E42471">
        <w:rPr>
          <w:rFonts w:cs="Times New Roman"/>
        </w:rPr>
        <w:t xml:space="preserve"> In addition, the increase in the use of gas for power generation is well reflected by the increase in employment in </w:t>
      </w:r>
      <w:r w:rsidR="00446082">
        <w:rPr>
          <w:rFonts w:cs="Times New Roman"/>
        </w:rPr>
        <w:t>“Electricity and gas supply”</w:t>
      </w:r>
      <w:r w:rsidR="00E42471">
        <w:rPr>
          <w:rFonts w:cs="Times New Roman"/>
        </w:rPr>
        <w:t xml:space="preserve"> (i.e. gas supply sector), and “</w:t>
      </w:r>
      <w:r w:rsidR="00E42471" w:rsidRPr="000C3F81">
        <w:rPr>
          <w:rFonts w:cs="Times New Roman"/>
        </w:rPr>
        <w:t>Inland Transport</w:t>
      </w:r>
      <w:r w:rsidR="00E42471">
        <w:rPr>
          <w:rFonts w:cs="Times New Roman"/>
        </w:rPr>
        <w:t>” (linked to pipeline transportation).</w:t>
      </w:r>
    </w:p>
    <w:p w:rsidR="00863F90" w:rsidRDefault="00863F90" w:rsidP="004F05A1">
      <w:pPr>
        <w:rPr>
          <w:rFonts w:cs="Times New Roman"/>
        </w:rPr>
      </w:pPr>
      <w:r w:rsidRPr="000C3F81">
        <w:rPr>
          <w:rFonts w:cs="Times New Roman"/>
        </w:rPr>
        <w:t xml:space="preserve">On the </w:t>
      </w:r>
      <w:r w:rsidR="00BF5048">
        <w:rPr>
          <w:rFonts w:cs="Times New Roman"/>
        </w:rPr>
        <w:t>other hand</w:t>
      </w:r>
      <w:r w:rsidRPr="000C3F81">
        <w:rPr>
          <w:rFonts w:cs="Times New Roman"/>
        </w:rPr>
        <w:t xml:space="preserve">, 28 k-jobs were lost in the </w:t>
      </w:r>
      <w:r w:rsidR="008260A6">
        <w:rPr>
          <w:rFonts w:cs="Times New Roman"/>
        </w:rPr>
        <w:t>“</w:t>
      </w:r>
      <w:r w:rsidRPr="000C3F81">
        <w:rPr>
          <w:rFonts w:cs="Times New Roman"/>
        </w:rPr>
        <w:t>Mining and Quarrying</w:t>
      </w:r>
      <w:r w:rsidR="008260A6">
        <w:rPr>
          <w:rFonts w:cs="Times New Roman"/>
        </w:rPr>
        <w:t>”</w:t>
      </w:r>
      <w:r w:rsidRPr="000C3F81">
        <w:rPr>
          <w:rFonts w:cs="Times New Roman"/>
        </w:rPr>
        <w:t xml:space="preserve"> sector, 10 k-jobs in </w:t>
      </w:r>
      <w:r w:rsidR="008260A6">
        <w:rPr>
          <w:rFonts w:cs="Times New Roman"/>
        </w:rPr>
        <w:t>“</w:t>
      </w:r>
      <w:r w:rsidRPr="000C3F81">
        <w:rPr>
          <w:rFonts w:cs="Times New Roman"/>
        </w:rPr>
        <w:t>Public Admin and Defence; Compulsory Social Security</w:t>
      </w:r>
      <w:r w:rsidR="00933F44">
        <w:rPr>
          <w:rFonts w:cs="Times New Roman"/>
        </w:rPr>
        <w:t>”</w:t>
      </w:r>
      <w:r w:rsidR="00A9669F">
        <w:rPr>
          <w:rStyle w:val="FootnoteReference"/>
          <w:rFonts w:cs="Times New Roman"/>
        </w:rPr>
        <w:footnoteReference w:id="8"/>
      </w:r>
      <w:r w:rsidRPr="000C3F81">
        <w:rPr>
          <w:rFonts w:cs="Times New Roman"/>
        </w:rPr>
        <w:t xml:space="preserve">, and 3 k-jobs in </w:t>
      </w:r>
      <w:r w:rsidR="00933F44">
        <w:rPr>
          <w:rFonts w:cs="Times New Roman"/>
        </w:rPr>
        <w:t>“</w:t>
      </w:r>
      <w:r w:rsidRPr="000C3F81">
        <w:rPr>
          <w:rFonts w:cs="Times New Roman"/>
        </w:rPr>
        <w:t>Coke, Ref</w:t>
      </w:r>
      <w:r>
        <w:rPr>
          <w:rFonts w:cs="Times New Roman"/>
        </w:rPr>
        <w:t>ined Petroleum and Nuclear Fuel</w:t>
      </w:r>
      <w:r w:rsidR="00933F44">
        <w:rPr>
          <w:rFonts w:cs="Times New Roman"/>
        </w:rPr>
        <w:t>”</w:t>
      </w:r>
      <w:r>
        <w:rPr>
          <w:rFonts w:cs="Times New Roman"/>
        </w:rPr>
        <w:t xml:space="preserve">. </w:t>
      </w:r>
      <w:r w:rsidR="00C22FAB">
        <w:rPr>
          <w:rFonts w:cs="Times New Roman"/>
        </w:rPr>
        <w:t>These</w:t>
      </w:r>
      <w:r w:rsidR="006A3C77">
        <w:rPr>
          <w:rFonts w:cs="Times New Roman"/>
        </w:rPr>
        <w:t xml:space="preserve"> negative figures in the “</w:t>
      </w:r>
      <w:r w:rsidR="006A3C77" w:rsidRPr="000C3F81">
        <w:rPr>
          <w:rFonts w:cs="Times New Roman"/>
        </w:rPr>
        <w:t>Mining and Quarrying</w:t>
      </w:r>
      <w:r w:rsidR="006A3C77">
        <w:rPr>
          <w:rFonts w:cs="Times New Roman"/>
        </w:rPr>
        <w:t>”</w:t>
      </w:r>
      <w:r w:rsidR="006A3C77" w:rsidRPr="000C3F81">
        <w:rPr>
          <w:rFonts w:cs="Times New Roman"/>
        </w:rPr>
        <w:t xml:space="preserve"> </w:t>
      </w:r>
      <w:r w:rsidR="006A3C77">
        <w:rPr>
          <w:rFonts w:cs="Times New Roman"/>
        </w:rPr>
        <w:t>and</w:t>
      </w:r>
      <w:r w:rsidR="006A3C77" w:rsidRPr="000C3F81">
        <w:rPr>
          <w:rFonts w:cs="Times New Roman"/>
        </w:rPr>
        <w:t xml:space="preserve"> </w:t>
      </w:r>
      <w:r w:rsidR="006A3C77">
        <w:rPr>
          <w:rFonts w:cs="Times New Roman"/>
        </w:rPr>
        <w:t>“</w:t>
      </w:r>
      <w:r w:rsidR="006A3C77" w:rsidRPr="000C3F81">
        <w:rPr>
          <w:rFonts w:cs="Times New Roman"/>
        </w:rPr>
        <w:t>Coke, Ref</w:t>
      </w:r>
      <w:r w:rsidR="006A3C77">
        <w:rPr>
          <w:rFonts w:cs="Times New Roman"/>
        </w:rPr>
        <w:t xml:space="preserve">ined Petroleum </w:t>
      </w:r>
      <w:r w:rsidR="006A3C77">
        <w:rPr>
          <w:rFonts w:cs="Times New Roman"/>
        </w:rPr>
        <w:lastRenderedPageBreak/>
        <w:t xml:space="preserve">and Nuclear Fuel” </w:t>
      </w:r>
      <w:r w:rsidR="00C22FAB">
        <w:rPr>
          <w:rFonts w:cs="Times New Roman"/>
        </w:rPr>
        <w:t>are</w:t>
      </w:r>
      <w:r w:rsidR="006A3C77">
        <w:rPr>
          <w:rFonts w:cs="Times New Roman"/>
        </w:rPr>
        <w:t xml:space="preserve"> </w:t>
      </w:r>
      <w:r w:rsidR="00C22FAB">
        <w:rPr>
          <w:rFonts w:cs="Times New Roman"/>
        </w:rPr>
        <w:t>linked to the</w:t>
      </w:r>
      <w:r w:rsidR="006A3C77">
        <w:rPr>
          <w:rFonts w:cs="Times New Roman"/>
        </w:rPr>
        <w:t xml:space="preserve"> changes in the electricity sector</w:t>
      </w:r>
      <w:r w:rsidR="00C22FAB">
        <w:rPr>
          <w:rFonts w:cs="Times New Roman"/>
        </w:rPr>
        <w:t xml:space="preserve"> in the EU</w:t>
      </w:r>
      <w:r w:rsidR="004F05A1">
        <w:rPr>
          <w:rFonts w:cs="Times New Roman"/>
        </w:rPr>
        <w:t>.</w:t>
      </w:r>
      <w:r w:rsidR="006A3C77">
        <w:rPr>
          <w:rFonts w:cs="Times New Roman"/>
        </w:rPr>
        <w:t xml:space="preserve"> </w:t>
      </w:r>
      <w:r w:rsidR="004F05A1">
        <w:rPr>
          <w:rFonts w:cs="Times New Roman"/>
        </w:rPr>
        <w:t>Most of the losses in the “Mining and Quarrying” sector were concentrated in the Czech Republic (13</w:t>
      </w:r>
      <w:r w:rsidR="004F05A1" w:rsidRPr="000C3F81">
        <w:rPr>
          <w:rFonts w:cs="Times New Roman"/>
        </w:rPr>
        <w:t xml:space="preserve"> k-jobs),</w:t>
      </w:r>
      <w:r w:rsidR="004F05A1">
        <w:rPr>
          <w:rFonts w:cs="Times New Roman"/>
        </w:rPr>
        <w:t xml:space="preserve"> Germany (1</w:t>
      </w:r>
      <w:r w:rsidR="004F05A1" w:rsidRPr="000C3F81">
        <w:rPr>
          <w:rFonts w:cs="Times New Roman"/>
        </w:rPr>
        <w:t>1 k-jobs),</w:t>
      </w:r>
      <w:r w:rsidR="004F05A1">
        <w:rPr>
          <w:rFonts w:cs="Times New Roman"/>
        </w:rPr>
        <w:t xml:space="preserve"> and Poland (10 k-jobs), reflecting the reduction in the share of coal in the electricity mix. In the case of </w:t>
      </w:r>
      <w:r w:rsidR="00C22FAB">
        <w:rPr>
          <w:rFonts w:cs="Times New Roman"/>
        </w:rPr>
        <w:t>“</w:t>
      </w:r>
      <w:r w:rsidR="004F05A1" w:rsidRPr="000C3F81">
        <w:rPr>
          <w:rFonts w:cs="Times New Roman"/>
        </w:rPr>
        <w:t>Coke, Ref</w:t>
      </w:r>
      <w:r w:rsidR="004F05A1">
        <w:rPr>
          <w:rFonts w:cs="Times New Roman"/>
        </w:rPr>
        <w:t>ined Petroleum and Nuclear Fuel</w:t>
      </w:r>
      <w:r w:rsidR="00C22FAB">
        <w:rPr>
          <w:rFonts w:cs="Times New Roman"/>
        </w:rPr>
        <w:t>”</w:t>
      </w:r>
      <w:r w:rsidR="004F05A1">
        <w:rPr>
          <w:rFonts w:cs="Times New Roman"/>
        </w:rPr>
        <w:t xml:space="preserve">, 70% of the net employment losses where located in Italy and are </w:t>
      </w:r>
      <w:r w:rsidR="00C22FAB">
        <w:rPr>
          <w:rFonts w:cs="Times New Roman"/>
        </w:rPr>
        <w:t>related</w:t>
      </w:r>
      <w:r w:rsidR="004F05A1">
        <w:rPr>
          <w:rFonts w:cs="Times New Roman"/>
        </w:rPr>
        <w:t xml:space="preserve"> to the reduction in the use of oil in the electricity mix in that country (50% in 1995 versus 9% in 2009).</w:t>
      </w:r>
      <w:r w:rsidR="006A3C77">
        <w:rPr>
          <w:rFonts w:cs="Times New Roman"/>
        </w:rPr>
        <w:t xml:space="preserve"> </w:t>
      </w:r>
    </w:p>
    <w:p w:rsidR="00C86424" w:rsidRPr="00C86424" w:rsidRDefault="00623968" w:rsidP="00C86424">
      <w:pPr>
        <w:spacing w:after="0"/>
        <w:rPr>
          <w:rFonts w:cs="Times New Roman"/>
          <w:b/>
          <w:sz w:val="2"/>
          <w:szCs w:val="2"/>
        </w:rPr>
      </w:pPr>
      <w:r>
        <w:rPr>
          <w:rFonts w:cs="Times New Roman"/>
          <w:b/>
          <w:noProof/>
          <w:sz w:val="2"/>
          <w:szCs w:val="2"/>
          <w:lang w:val="en-US"/>
        </w:rPr>
        <w:drawing>
          <wp:inline distT="0" distB="0" distL="0" distR="0">
            <wp:extent cx="5730240" cy="4015740"/>
            <wp:effectExtent l="0" t="0" r="381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0240" cy="4015740"/>
                    </a:xfrm>
                    <a:prstGeom prst="rect">
                      <a:avLst/>
                    </a:prstGeom>
                    <a:noFill/>
                  </pic:spPr>
                </pic:pic>
              </a:graphicData>
            </a:graphic>
          </wp:inline>
        </w:drawing>
      </w:r>
    </w:p>
    <w:p w:rsidR="00C26753" w:rsidRPr="00C86424" w:rsidRDefault="00C26753" w:rsidP="00C86424">
      <w:pPr>
        <w:spacing w:after="0"/>
        <w:ind w:left="720" w:hanging="720"/>
        <w:rPr>
          <w:rFonts w:cs="Times New Roman"/>
          <w:sz w:val="18"/>
          <w:szCs w:val="18"/>
        </w:rPr>
      </w:pPr>
      <w:r w:rsidRPr="00C86424">
        <w:rPr>
          <w:rFonts w:cs="Times New Roman"/>
          <w:sz w:val="18"/>
          <w:szCs w:val="18"/>
        </w:rPr>
        <w:t xml:space="preserve">Note: </w:t>
      </w:r>
      <w:r w:rsidRPr="00C86424">
        <w:rPr>
          <w:rFonts w:cs="Times New Roman"/>
          <w:sz w:val="18"/>
          <w:szCs w:val="18"/>
        </w:rPr>
        <w:tab/>
        <w:t>1) The domestic effect refer</w:t>
      </w:r>
      <w:r w:rsidR="00992FC6">
        <w:rPr>
          <w:rFonts w:cs="Times New Roman"/>
          <w:sz w:val="18"/>
          <w:szCs w:val="18"/>
        </w:rPr>
        <w:t>s</w:t>
      </w:r>
      <w:r w:rsidRPr="00C86424">
        <w:rPr>
          <w:rFonts w:cs="Times New Roman"/>
          <w:sz w:val="18"/>
          <w:szCs w:val="18"/>
        </w:rPr>
        <w:t xml:space="preserve"> to those impacts in one country due to the changes in its own </w:t>
      </w:r>
      <w:r w:rsidR="000D1107">
        <w:rPr>
          <w:rFonts w:cs="Times New Roman"/>
          <w:sz w:val="18"/>
          <w:szCs w:val="18"/>
        </w:rPr>
        <w:t>electricity and gas supply</w:t>
      </w:r>
      <w:r w:rsidRPr="00C86424">
        <w:rPr>
          <w:rFonts w:cs="Times New Roman"/>
          <w:sz w:val="18"/>
          <w:szCs w:val="18"/>
        </w:rPr>
        <w:t xml:space="preserve"> sector, while the spill-over effect computes the impacts in the employment of one country due to the changes in the </w:t>
      </w:r>
      <w:r w:rsidR="000D1107">
        <w:rPr>
          <w:rFonts w:cs="Times New Roman"/>
          <w:sz w:val="18"/>
          <w:szCs w:val="18"/>
        </w:rPr>
        <w:t>electricity and gas supply</w:t>
      </w:r>
      <w:r w:rsidRPr="00C86424">
        <w:rPr>
          <w:rFonts w:cs="Times New Roman"/>
          <w:sz w:val="18"/>
          <w:szCs w:val="18"/>
        </w:rPr>
        <w:t xml:space="preserve"> of other countries.</w:t>
      </w:r>
    </w:p>
    <w:p w:rsidR="00C26753" w:rsidRPr="00C86424" w:rsidRDefault="00C26753" w:rsidP="00C26753">
      <w:pPr>
        <w:spacing w:after="0"/>
        <w:ind w:left="720" w:hanging="720"/>
        <w:rPr>
          <w:rFonts w:cs="Times New Roman"/>
          <w:sz w:val="18"/>
          <w:szCs w:val="18"/>
        </w:rPr>
      </w:pPr>
      <w:r w:rsidRPr="00C86424">
        <w:rPr>
          <w:rFonts w:cs="Times New Roman"/>
          <w:sz w:val="18"/>
          <w:szCs w:val="18"/>
        </w:rPr>
        <w:tab/>
        <w:t xml:space="preserve">2) The impacts are derived from the </w:t>
      </w:r>
      <w:r w:rsidR="00C86424" w:rsidRPr="00C86424">
        <w:rPr>
          <w:rFonts w:cs="Times New Roman"/>
          <w:sz w:val="18"/>
          <w:szCs w:val="18"/>
        </w:rPr>
        <w:t>changes in</w:t>
      </w:r>
      <w:r w:rsidRPr="00C86424">
        <w:rPr>
          <w:rFonts w:cs="Times New Roman"/>
          <w:sz w:val="18"/>
          <w:szCs w:val="18"/>
        </w:rPr>
        <w:t xml:space="preserve"> the input structure of the </w:t>
      </w:r>
      <w:r w:rsidR="000D1107">
        <w:rPr>
          <w:rFonts w:cs="Times New Roman"/>
          <w:sz w:val="18"/>
          <w:szCs w:val="18"/>
        </w:rPr>
        <w:t>electricity and gas supply</w:t>
      </w:r>
      <w:r w:rsidRPr="00C86424">
        <w:rPr>
          <w:rFonts w:cs="Times New Roman"/>
          <w:sz w:val="18"/>
          <w:szCs w:val="18"/>
        </w:rPr>
        <w:t xml:space="preserve"> sector in all the 27 EU member </w:t>
      </w:r>
      <w:r w:rsidR="00C86424" w:rsidRPr="00C86424">
        <w:rPr>
          <w:rFonts w:cs="Times New Roman"/>
          <w:sz w:val="18"/>
          <w:szCs w:val="18"/>
        </w:rPr>
        <w:t>states except</w:t>
      </w:r>
      <w:r w:rsidRPr="00C86424">
        <w:rPr>
          <w:rFonts w:cs="Times New Roman"/>
          <w:sz w:val="18"/>
          <w:szCs w:val="18"/>
        </w:rPr>
        <w:t xml:space="preserve"> Romania and </w:t>
      </w:r>
      <w:r w:rsidR="00C86424" w:rsidRPr="00C86424">
        <w:rPr>
          <w:rFonts w:cs="Times New Roman"/>
          <w:sz w:val="18"/>
          <w:szCs w:val="18"/>
        </w:rPr>
        <w:t>Bulgaria</w:t>
      </w:r>
      <w:r w:rsidRPr="00C86424">
        <w:rPr>
          <w:rFonts w:cs="Times New Roman"/>
          <w:sz w:val="18"/>
          <w:szCs w:val="18"/>
        </w:rPr>
        <w:t xml:space="preserve">. </w:t>
      </w:r>
      <w:r w:rsidR="00C86424" w:rsidRPr="00C86424">
        <w:rPr>
          <w:rFonts w:cs="Times New Roman"/>
          <w:sz w:val="18"/>
          <w:szCs w:val="18"/>
        </w:rPr>
        <w:t>Thus, t</w:t>
      </w:r>
      <w:r w:rsidRPr="00C86424">
        <w:rPr>
          <w:rFonts w:cs="Times New Roman"/>
          <w:sz w:val="18"/>
          <w:szCs w:val="18"/>
        </w:rPr>
        <w:t xml:space="preserve">he impacts in the employment in Bulgaria and Romania </w:t>
      </w:r>
      <w:r w:rsidR="00C86424" w:rsidRPr="00C86424">
        <w:rPr>
          <w:rFonts w:cs="Times New Roman"/>
          <w:sz w:val="18"/>
          <w:szCs w:val="18"/>
        </w:rPr>
        <w:t>only cover spill-overs fr</w:t>
      </w:r>
      <w:r w:rsidR="00535598">
        <w:rPr>
          <w:rFonts w:cs="Times New Roman"/>
          <w:sz w:val="18"/>
          <w:szCs w:val="18"/>
        </w:rPr>
        <w:t>o</w:t>
      </w:r>
      <w:r w:rsidR="00C86424" w:rsidRPr="00C86424">
        <w:rPr>
          <w:rFonts w:cs="Times New Roman"/>
          <w:sz w:val="18"/>
          <w:szCs w:val="18"/>
        </w:rPr>
        <w:t xml:space="preserve">m the change in the </w:t>
      </w:r>
      <w:r w:rsidR="000D1107">
        <w:rPr>
          <w:rFonts w:cs="Times New Roman"/>
          <w:sz w:val="18"/>
          <w:szCs w:val="18"/>
        </w:rPr>
        <w:t>electricity and gas supply</w:t>
      </w:r>
      <w:r w:rsidR="00C86424" w:rsidRPr="00C86424">
        <w:rPr>
          <w:rFonts w:cs="Times New Roman"/>
          <w:sz w:val="18"/>
          <w:szCs w:val="18"/>
        </w:rPr>
        <w:t xml:space="preserve"> of other member states.</w:t>
      </w:r>
      <w:r w:rsidRPr="00C86424">
        <w:rPr>
          <w:rFonts w:cs="Times New Roman"/>
          <w:sz w:val="18"/>
          <w:szCs w:val="18"/>
        </w:rPr>
        <w:t xml:space="preserve"> </w:t>
      </w:r>
    </w:p>
    <w:p w:rsidR="00C86424" w:rsidRDefault="00C26753" w:rsidP="007373B2">
      <w:pPr>
        <w:spacing w:after="0"/>
      </w:pPr>
      <w:r w:rsidRPr="00C86424">
        <w:rPr>
          <w:rFonts w:cs="Times New Roman"/>
          <w:sz w:val="18"/>
          <w:szCs w:val="18"/>
        </w:rPr>
        <w:t>Source: own elaboration based on data from the World Input</w:t>
      </w:r>
      <w:r w:rsidR="00E26F71">
        <w:rPr>
          <w:rFonts w:cs="Times New Roman"/>
          <w:sz w:val="18"/>
          <w:szCs w:val="18"/>
        </w:rPr>
        <w:t>-</w:t>
      </w:r>
      <w:r w:rsidRPr="00C86424">
        <w:rPr>
          <w:rFonts w:cs="Times New Roman"/>
          <w:sz w:val="18"/>
          <w:szCs w:val="18"/>
        </w:rPr>
        <w:t>Output Database</w:t>
      </w:r>
    </w:p>
    <w:p w:rsidR="00C428CF" w:rsidRDefault="00C428CF" w:rsidP="00C428CF">
      <w:pPr>
        <w:pStyle w:val="Caption"/>
        <w:rPr>
          <w:rFonts w:cs="Times New Roman"/>
        </w:rPr>
      </w:pPr>
      <w:bookmarkStart w:id="6" w:name="_Ref422943751"/>
      <w:bookmarkStart w:id="7" w:name="_Ref411441771"/>
      <w:r>
        <w:t xml:space="preserve">Figure </w:t>
      </w:r>
      <w:r w:rsidR="003C0622">
        <w:fldChar w:fldCharType="begin"/>
      </w:r>
      <w:r w:rsidR="002F7BE4">
        <w:instrText xml:space="preserve"> SEQ Figure \* ARABIC </w:instrText>
      </w:r>
      <w:r w:rsidR="003C0622">
        <w:fldChar w:fldCharType="separate"/>
      </w:r>
      <w:r w:rsidR="009133D0">
        <w:rPr>
          <w:noProof/>
        </w:rPr>
        <w:t>2</w:t>
      </w:r>
      <w:r w:rsidR="003C0622">
        <w:rPr>
          <w:noProof/>
        </w:rPr>
        <w:fldChar w:fldCharType="end"/>
      </w:r>
      <w:bookmarkEnd w:id="6"/>
      <w:r>
        <w:t>: I</w:t>
      </w:r>
      <w:r w:rsidRPr="00C428CF">
        <w:t xml:space="preserve">mpacts on employment due to changes in the input structure of the </w:t>
      </w:r>
      <w:r w:rsidR="001F50A9">
        <w:t>electricity</w:t>
      </w:r>
      <w:r w:rsidR="00623968">
        <w:t xml:space="preserve"> and</w:t>
      </w:r>
      <w:r>
        <w:t xml:space="preserve"> gas sector by member state: total, </w:t>
      </w:r>
      <w:r w:rsidRPr="00C428CF">
        <w:t xml:space="preserve">domestic and spill-over effects </w:t>
      </w:r>
      <w:r>
        <w:t>(1000 jobs and %)</w:t>
      </w:r>
    </w:p>
    <w:p w:rsidR="00B42F94" w:rsidRDefault="00B42F94" w:rsidP="00013C9A">
      <w:pPr>
        <w:spacing w:after="0"/>
        <w:rPr>
          <w:rFonts w:cs="Times New Roman"/>
          <w:highlight w:val="yellow"/>
        </w:rPr>
      </w:pPr>
    </w:p>
    <w:p w:rsidR="000D7375" w:rsidRDefault="000D7375" w:rsidP="000D7375">
      <w:pPr>
        <w:rPr>
          <w:rFonts w:cs="Times New Roman"/>
        </w:rPr>
      </w:pPr>
      <w:r w:rsidRPr="005F7B07">
        <w:rPr>
          <w:rFonts w:cs="Times New Roman"/>
        </w:rPr>
        <w:t>The employment impacts of the transformation in the European</w:t>
      </w:r>
      <w:r w:rsidR="000D1107">
        <w:rPr>
          <w:rFonts w:cs="Times New Roman"/>
        </w:rPr>
        <w:t xml:space="preserve"> electricity and gas supply</w:t>
      </w:r>
      <w:r w:rsidRPr="005F7B07">
        <w:rPr>
          <w:rFonts w:cs="Times New Roman"/>
        </w:rPr>
        <w:t xml:space="preserve"> sector </w:t>
      </w:r>
      <w:r w:rsidR="00992FC6">
        <w:rPr>
          <w:rFonts w:cs="Times New Roman"/>
        </w:rPr>
        <w:t xml:space="preserve">were </w:t>
      </w:r>
      <w:r w:rsidRPr="005F7B07">
        <w:rPr>
          <w:rFonts w:cs="Times New Roman"/>
        </w:rPr>
        <w:t xml:space="preserve">not </w:t>
      </w:r>
      <w:r w:rsidR="008D7515">
        <w:rPr>
          <w:rFonts w:cs="Times New Roman"/>
        </w:rPr>
        <w:t xml:space="preserve">restricted </w:t>
      </w:r>
      <w:r w:rsidRPr="005F7B07">
        <w:rPr>
          <w:rFonts w:cs="Times New Roman"/>
        </w:rPr>
        <w:t>to the EU (see T</w:t>
      </w:r>
      <w:r w:rsidR="000C6558">
        <w:rPr>
          <w:rFonts w:cs="Times New Roman"/>
        </w:rPr>
        <w:t>able A.</w:t>
      </w:r>
      <w:r w:rsidRPr="005F7B07">
        <w:rPr>
          <w:rFonts w:cs="Times New Roman"/>
        </w:rPr>
        <w:t>2</w:t>
      </w:r>
      <w:r w:rsidR="00F428C7">
        <w:rPr>
          <w:rFonts w:cs="Times New Roman"/>
        </w:rPr>
        <w:t xml:space="preserve"> of the Appendix</w:t>
      </w:r>
      <w:r w:rsidRPr="005F7B07">
        <w:rPr>
          <w:rFonts w:cs="Times New Roman"/>
        </w:rPr>
        <w:t>). These effects</w:t>
      </w:r>
      <w:r w:rsidR="00405111">
        <w:rPr>
          <w:rFonts w:cs="Times New Roman"/>
        </w:rPr>
        <w:t xml:space="preserve"> were</w:t>
      </w:r>
      <w:r w:rsidRPr="005F7B07">
        <w:rPr>
          <w:rFonts w:cs="Times New Roman"/>
        </w:rPr>
        <w:t xml:space="preserve"> transmitted through supply chains</w:t>
      </w:r>
      <w:r w:rsidR="00992FC6">
        <w:rPr>
          <w:rFonts w:cs="Times New Roman"/>
        </w:rPr>
        <w:t>,</w:t>
      </w:r>
      <w:r w:rsidRPr="005F7B07">
        <w:rPr>
          <w:rFonts w:cs="Times New Roman"/>
        </w:rPr>
        <w:t xml:space="preserve"> </w:t>
      </w:r>
      <w:r w:rsidR="00405111">
        <w:rPr>
          <w:rFonts w:cs="Times New Roman"/>
        </w:rPr>
        <w:t xml:space="preserve">through </w:t>
      </w:r>
      <w:r w:rsidRPr="005F7B07">
        <w:rPr>
          <w:rFonts w:cs="Times New Roman"/>
        </w:rPr>
        <w:t xml:space="preserve">international trade, with a net generation of employment of 645 k-jobs (see </w:t>
      </w:r>
      <w:r w:rsidR="000C6558">
        <w:rPr>
          <w:rFonts w:cs="Times New Roman"/>
        </w:rPr>
        <w:t>Table A.</w:t>
      </w:r>
      <w:r>
        <w:rPr>
          <w:rFonts w:cs="Times New Roman"/>
        </w:rPr>
        <w:t>2</w:t>
      </w:r>
      <w:r w:rsidR="00F428C7">
        <w:rPr>
          <w:rFonts w:cs="Times New Roman"/>
        </w:rPr>
        <w:t xml:space="preserve"> of the Appendix</w:t>
      </w:r>
      <w:r>
        <w:rPr>
          <w:rFonts w:cs="Times New Roman"/>
        </w:rPr>
        <w:t>). Russia (171 k-jobs) and</w:t>
      </w:r>
      <w:r w:rsidRPr="005F7B07">
        <w:rPr>
          <w:rFonts w:cs="Times New Roman"/>
        </w:rPr>
        <w:t xml:space="preserve"> China (166 k-jobs</w:t>
      </w:r>
      <w:r>
        <w:rPr>
          <w:rFonts w:cs="Times New Roman"/>
        </w:rPr>
        <w:t>) absorbed more than 50</w:t>
      </w:r>
      <w:r w:rsidRPr="005F7B07">
        <w:rPr>
          <w:rFonts w:cs="Times New Roman"/>
        </w:rPr>
        <w:t xml:space="preserve">% of </w:t>
      </w:r>
      <w:r w:rsidRPr="005F7B07">
        <w:rPr>
          <w:rFonts w:cs="Times New Roman"/>
        </w:rPr>
        <w:lastRenderedPageBreak/>
        <w:t>the impact</w:t>
      </w:r>
      <w:r w:rsidR="00623968">
        <w:rPr>
          <w:rStyle w:val="FootnoteReference"/>
          <w:rFonts w:cs="Times New Roman"/>
        </w:rPr>
        <w:footnoteReference w:id="9"/>
      </w:r>
      <w:r w:rsidRPr="005F7B07">
        <w:rPr>
          <w:rFonts w:cs="Times New Roman"/>
        </w:rPr>
        <w:t xml:space="preserve">. </w:t>
      </w:r>
      <w:r>
        <w:rPr>
          <w:rFonts w:cs="Times New Roman"/>
        </w:rPr>
        <w:t>In the case of Russia, most of the employment was generated in the sectors linked to the exports of gas to the EU: “</w:t>
      </w:r>
      <w:r w:rsidRPr="00A97FEA">
        <w:rPr>
          <w:rFonts w:cs="Times New Roman"/>
        </w:rPr>
        <w:t>Wholesale Trade</w:t>
      </w:r>
      <w:r>
        <w:rPr>
          <w:rFonts w:cs="Times New Roman"/>
        </w:rPr>
        <w:t xml:space="preserve">” </w:t>
      </w:r>
      <w:r w:rsidRPr="005F7B07">
        <w:rPr>
          <w:rFonts w:cs="Times New Roman"/>
        </w:rPr>
        <w:t>(</w:t>
      </w:r>
      <w:r>
        <w:rPr>
          <w:rFonts w:cs="Times New Roman"/>
        </w:rPr>
        <w:t>62</w:t>
      </w:r>
      <w:r w:rsidRPr="005F7B07">
        <w:rPr>
          <w:rFonts w:cs="Times New Roman"/>
        </w:rPr>
        <w:t xml:space="preserve"> k-jobs)</w:t>
      </w:r>
      <w:r>
        <w:rPr>
          <w:rFonts w:cs="Times New Roman"/>
        </w:rPr>
        <w:t xml:space="preserve">, “Inland transport” </w:t>
      </w:r>
      <w:r w:rsidR="00F03A2D">
        <w:rPr>
          <w:rFonts w:cs="Times New Roman"/>
        </w:rPr>
        <w:t xml:space="preserve">(which includes pipeline transportation) </w:t>
      </w:r>
      <w:r w:rsidRPr="005F7B07">
        <w:rPr>
          <w:rFonts w:cs="Times New Roman"/>
        </w:rPr>
        <w:t>(</w:t>
      </w:r>
      <w:r>
        <w:rPr>
          <w:rFonts w:cs="Times New Roman"/>
        </w:rPr>
        <w:t>38</w:t>
      </w:r>
      <w:r w:rsidRPr="005F7B07">
        <w:rPr>
          <w:rFonts w:cs="Times New Roman"/>
        </w:rPr>
        <w:t xml:space="preserve"> k-jobs)</w:t>
      </w:r>
      <w:r>
        <w:rPr>
          <w:rFonts w:cs="Times New Roman"/>
        </w:rPr>
        <w:t>, and “Mining and Quarrying” (9</w:t>
      </w:r>
      <w:r w:rsidRPr="005F7B07">
        <w:rPr>
          <w:rFonts w:cs="Times New Roman"/>
        </w:rPr>
        <w:t xml:space="preserve"> k-jobs</w:t>
      </w:r>
      <w:r w:rsidR="00623968">
        <w:rPr>
          <w:rFonts w:cs="Times New Roman"/>
        </w:rPr>
        <w:t>).</w:t>
      </w:r>
    </w:p>
    <w:p w:rsidR="000D7375" w:rsidRPr="005F7B07" w:rsidRDefault="000D7375" w:rsidP="000D7375">
      <w:pPr>
        <w:rPr>
          <w:rFonts w:cs="Times New Roman"/>
        </w:rPr>
      </w:pPr>
      <w:r w:rsidRPr="005F7B07">
        <w:rPr>
          <w:rFonts w:cs="Times New Roman"/>
        </w:rPr>
        <w:t xml:space="preserve">Australia was the only country of the set analysed showing a net reduction in the employment. This negative effect was mainly concentrated in the </w:t>
      </w:r>
      <w:r>
        <w:rPr>
          <w:rFonts w:cs="Times New Roman"/>
        </w:rPr>
        <w:t>“</w:t>
      </w:r>
      <w:r w:rsidRPr="005F7B07">
        <w:rPr>
          <w:rFonts w:cs="Times New Roman"/>
        </w:rPr>
        <w:t>Mining and Quarrying</w:t>
      </w:r>
      <w:r>
        <w:rPr>
          <w:rFonts w:cs="Times New Roman"/>
        </w:rPr>
        <w:t>”</w:t>
      </w:r>
      <w:r w:rsidRPr="005F7B07">
        <w:rPr>
          <w:rFonts w:cs="Times New Roman"/>
        </w:rPr>
        <w:t xml:space="preserve"> sector and is linked to the reduction to the demand of coal in the </w:t>
      </w:r>
      <w:r w:rsidR="000D1107">
        <w:rPr>
          <w:rFonts w:cs="Times New Roman"/>
        </w:rPr>
        <w:t>electricity and gas supply</w:t>
      </w:r>
      <w:r w:rsidRPr="005F7B07">
        <w:rPr>
          <w:rFonts w:cs="Times New Roman"/>
        </w:rPr>
        <w:t xml:space="preserve"> </w:t>
      </w:r>
      <w:r w:rsidR="00992FC6">
        <w:rPr>
          <w:rFonts w:cs="Times New Roman"/>
        </w:rPr>
        <w:t xml:space="preserve">sector of </w:t>
      </w:r>
      <w:r w:rsidRPr="005F7B07">
        <w:rPr>
          <w:rFonts w:cs="Times New Roman"/>
        </w:rPr>
        <w:t xml:space="preserve">the EU. </w:t>
      </w:r>
    </w:p>
    <w:bookmarkEnd w:id="7"/>
    <w:p w:rsidR="002A70C7" w:rsidRDefault="002A70C7" w:rsidP="00B42F94">
      <w:pPr>
        <w:pStyle w:val="Heading1"/>
        <w:rPr>
          <w:rFonts w:cs="Times New Roman"/>
        </w:rPr>
      </w:pPr>
      <w:r>
        <w:rPr>
          <w:rFonts w:cs="Times New Roman"/>
        </w:rPr>
        <w:t>Limitations and future work</w:t>
      </w:r>
    </w:p>
    <w:p w:rsidR="00B360ED" w:rsidRDefault="002A70C7" w:rsidP="002A70C7">
      <w:pPr>
        <w:spacing w:after="0"/>
        <w:rPr>
          <w:rFonts w:cs="Times New Roman"/>
        </w:rPr>
      </w:pPr>
      <w:r w:rsidRPr="00BF5048">
        <w:rPr>
          <w:rFonts w:cs="Times New Roman"/>
        </w:rPr>
        <w:t xml:space="preserve">Our analysis has the </w:t>
      </w:r>
      <w:r w:rsidRPr="00B06A88">
        <w:rPr>
          <w:rFonts w:cs="Times New Roman"/>
        </w:rPr>
        <w:t xml:space="preserve">typical limitations of </w:t>
      </w:r>
      <w:r w:rsidRPr="00B06A88">
        <w:rPr>
          <w:rFonts w:eastAsia="Times New Roman" w:cs="Times New Roman"/>
          <w:lang w:val="en-US" w:eastAsia="es-ES"/>
        </w:rPr>
        <w:t xml:space="preserve">input-output </w:t>
      </w:r>
      <w:r w:rsidRPr="00B06A88">
        <w:rPr>
          <w:rFonts w:cs="Times New Roman"/>
        </w:rPr>
        <w:t>studies</w:t>
      </w:r>
      <w:r w:rsidR="00652CCA">
        <w:rPr>
          <w:rFonts w:cs="Times New Roman"/>
        </w:rPr>
        <w:t xml:space="preserve">: </w:t>
      </w:r>
      <w:r w:rsidR="00F713E4">
        <w:rPr>
          <w:rFonts w:cs="Times New Roman"/>
        </w:rPr>
        <w:t xml:space="preserve">not accounting for </w:t>
      </w:r>
      <w:r w:rsidR="00652CCA" w:rsidRPr="00B06A88">
        <w:rPr>
          <w:rFonts w:cs="Times New Roman"/>
        </w:rPr>
        <w:t>time lag</w:t>
      </w:r>
      <w:r w:rsidR="00F713E4">
        <w:rPr>
          <w:rFonts w:cs="Times New Roman"/>
        </w:rPr>
        <w:t>s</w:t>
      </w:r>
      <w:r w:rsidR="00652CCA" w:rsidRPr="00B06A88">
        <w:rPr>
          <w:rFonts w:cs="Times New Roman"/>
        </w:rPr>
        <w:t>, homogeneity of outputs,</w:t>
      </w:r>
      <w:r w:rsidR="00652CCA">
        <w:rPr>
          <w:rFonts w:cs="Times New Roman"/>
        </w:rPr>
        <w:t xml:space="preserve"> sectoral aggregation,</w:t>
      </w:r>
      <w:r w:rsidR="00652CCA" w:rsidRPr="00B06A88">
        <w:rPr>
          <w:rFonts w:cs="Times New Roman"/>
        </w:rPr>
        <w:t xml:space="preserve"> absence of economies of scale, invariance of technological coefficients, linearity of technological coefficients and missing interactions between prices and quantities</w:t>
      </w:r>
      <w:r w:rsidR="00B06A88">
        <w:rPr>
          <w:rFonts w:cs="Times New Roman"/>
        </w:rPr>
        <w:t xml:space="preserve"> </w:t>
      </w:r>
      <w:r w:rsidR="003C0622">
        <w:rPr>
          <w:rFonts w:cs="Times New Roman"/>
        </w:rPr>
        <w:fldChar w:fldCharType="begin"/>
      </w:r>
      <w:r w:rsidR="00B06A88">
        <w:rPr>
          <w:rFonts w:cs="Times New Roman"/>
        </w:rPr>
        <w:instrText xml:space="preserve"> ADDIN ZOTERO_ITEM CSL_CITATION {"citationID":"2f903u7r","properties":{"formattedCitation":"[34]","plainCitation":"[34]"},"citationItems":[{"id":648,"uris":["http://zotero.org/users/1718188/items/CKXJG5NC"],"uri":["http://zotero.org/users/1718188/items/CKXJG5NC"],"itemData":{"id":648,"type":"article-journal","title":"The Sustainability Practicioner's Guide to Multi–Regional Input–Output Analysis","container-title":"Common Ground, Champaign, IL","source":"Google Scholar","URL":"http://pub.iges.or.jp/modules/envirolib/upload/4229/attach/Sustainability_Practitioners_Guide_E-Book_rev_Ch16.pdf","author":[{"family":"Murray","given":"Joy"},{"family":"Lenzen","given":"Manfred"}],"issued":{"date-parts":[["2013"]]},"accessed":{"date-parts":[["2014",8,11]]}}}],"schema":"https://github.com/citation-style-language/schema/raw/master/csl-citation.json"} </w:instrText>
      </w:r>
      <w:r w:rsidR="003C0622">
        <w:rPr>
          <w:rFonts w:cs="Times New Roman"/>
        </w:rPr>
        <w:fldChar w:fldCharType="separate"/>
      </w:r>
      <w:r w:rsidR="00B06A88" w:rsidRPr="00B06A88">
        <w:rPr>
          <w:rFonts w:cs="Times New Roman"/>
        </w:rPr>
        <w:t>[34]</w:t>
      </w:r>
      <w:r w:rsidR="003C0622">
        <w:rPr>
          <w:rFonts w:cs="Times New Roman"/>
        </w:rPr>
        <w:fldChar w:fldCharType="end"/>
      </w:r>
      <w:r w:rsidRPr="00BF5048">
        <w:rPr>
          <w:rFonts w:cs="Times New Roman"/>
        </w:rPr>
        <w:t xml:space="preserve">. </w:t>
      </w:r>
    </w:p>
    <w:p w:rsidR="002A70C7" w:rsidRDefault="002A70C7" w:rsidP="002A70C7">
      <w:pPr>
        <w:spacing w:after="0"/>
        <w:rPr>
          <w:rFonts w:eastAsia="Times New Roman" w:cs="Times New Roman"/>
          <w:lang w:val="en-US" w:eastAsia="es-ES"/>
        </w:rPr>
      </w:pPr>
      <w:r w:rsidRPr="00BF5048">
        <w:rPr>
          <w:rFonts w:cs="Times New Roman"/>
        </w:rPr>
        <w:t xml:space="preserve">In addition, </w:t>
      </w:r>
      <w:r w:rsidR="0073422D">
        <w:rPr>
          <w:rFonts w:cs="Times New Roman"/>
        </w:rPr>
        <w:t>this</w:t>
      </w:r>
      <w:r w:rsidRPr="00BF5048">
        <w:rPr>
          <w:rFonts w:cs="Times New Roman"/>
        </w:rPr>
        <w:t xml:space="preserve"> analysis does not capture the employment due to changes in investments in different technologies across the sectors. On the one hand, a net positive effect could be expected as more jobs would have been created from the </w:t>
      </w:r>
      <w:r w:rsidRPr="00BF5048">
        <w:rPr>
          <w:rFonts w:eastAsia="Times New Roman" w:cs="Times New Roman"/>
          <w:lang w:val="en-US" w:eastAsia="es-ES"/>
        </w:rPr>
        <w:t xml:space="preserve">investments related to manufacturing and installation of renewables </w:t>
      </w:r>
      <w:r w:rsidR="003C0622" w:rsidRPr="00BF5048">
        <w:rPr>
          <w:rFonts w:eastAsia="Times New Roman" w:cs="Times New Roman"/>
          <w:lang w:val="en-US" w:eastAsia="es-ES"/>
        </w:rPr>
        <w:fldChar w:fldCharType="begin"/>
      </w:r>
      <w:r w:rsidRPr="00BF5048">
        <w:rPr>
          <w:rFonts w:eastAsia="Times New Roman" w:cs="Times New Roman"/>
          <w:lang w:val="en-US" w:eastAsia="es-ES"/>
        </w:rPr>
        <w:instrText xml:space="preserve"> ADDIN ZOTERO_ITEM CSL_CITATION {"citationID":"UVupIwla","properties":{"formattedCitation":"[8]","plainCitation":"[8]"},"citationItems":[{"id":"KR0eYHaM/o6NIOTnV","uris":["http://zotero.org/users/1428298/items/8SXB3EI8"],"uri":["http://zotero.org/users/1428298/items/8SXB3EI8"],"itemData":{"id":"KR0eYHaM/o6NIOTnV","type":"article-journal","title":"Employment effects of renewable electricity deployment. A novel methodology","container-title":"Energy","page":"940-951","volume":"91","source":"ScienceDirect","abstract":"There has been an intense debate on the quantification of the employment effects of renewable electricity deployment in the European Union. However, most studies carried out in the past have focused on specific countries and those with a European-wide scope have not provided disaggregated results per country. Furthermore, differences between importing and exporting countries have not been considered. This paper aims to cover those gaps. It presents a novel methodology which integrates the aforementioned considerations in order to calculate the employment effects of renewable energy deployment. The methodology is useful to calculate dynamic employment factors (considering technology learning effects) and the specific capacity (based on trade effects) to which these factors should be applied. It is applied to three renewable energy technologies – photovoltaics, wind on-shore and wind off-shore- in the European Union Member States in the 2008–2012 period. The results using this novel methodology broadly confirm the figures provided in other contributions in the literature. The proposed methodology can be instrumental in assessing the socio-economic effects of policies and investment programmes targeting the deployment of renewable energy technologies.","DOI":"10.1016/j.energy.2015.08.061","ISSN":"0360-5442","journalAbbreviation":"Energy","author":[{"family":"Ortega","given":"Margarita"},{"family":"Río","given":"Pablo","dropping-particle":"del"},{"family":"Ruiz","given":"Pablo"},{"family":"Thiel","given":"Christian"}],"issued":{"year":2015,"month":11},"page-first":"940","container-title-short":"Energy"}}],"schema":"https://github.com/citation-style-language/schema/raw/master/csl-citation.json"} </w:instrText>
      </w:r>
      <w:r w:rsidR="003C0622" w:rsidRPr="00BF5048">
        <w:rPr>
          <w:rFonts w:eastAsia="Times New Roman" w:cs="Times New Roman"/>
          <w:lang w:val="en-US" w:eastAsia="es-ES"/>
        </w:rPr>
        <w:fldChar w:fldCharType="separate"/>
      </w:r>
      <w:r w:rsidRPr="00BF5048">
        <w:rPr>
          <w:rFonts w:cs="Times New Roman"/>
        </w:rPr>
        <w:t>[8]</w:t>
      </w:r>
      <w:r w:rsidR="003C0622" w:rsidRPr="00BF5048">
        <w:rPr>
          <w:rFonts w:eastAsia="Times New Roman" w:cs="Times New Roman"/>
          <w:lang w:val="en-US" w:eastAsia="es-ES"/>
        </w:rPr>
        <w:fldChar w:fldCharType="end"/>
      </w:r>
      <w:r w:rsidRPr="00BF5048">
        <w:rPr>
          <w:rFonts w:eastAsia="Times New Roman" w:cs="Times New Roman"/>
          <w:lang w:val="en-US" w:eastAsia="es-ES"/>
        </w:rPr>
        <w:t xml:space="preserve"> </w:t>
      </w:r>
      <w:r w:rsidR="003C0622" w:rsidRPr="00BF5048">
        <w:fldChar w:fldCharType="begin"/>
      </w:r>
      <w:r w:rsidRPr="00BF5048">
        <w:instrText xml:space="preserve"> ADDIN ZOTERO_ITEM CSL_CITATION {"citationID":"2zHFZgSu","properties":{"formattedCitation":"[13]","plainCitation":"[13]"},"citationItems":[{"id":3221,"uris":["http://zotero.org/groups/271383/items/MIVN867B"],"uri":["http://zotero.org/groups/271383/items/MIVN867B"],"itemData":{"id":3221,"type":"article-journal","title":"Putting renewables and energy efficiency to work: How many jobs can the clean energy industry generate in the US?","container-title":"Energy Policy","page":"919-931","volume":"38","issue":"2","source":"ScienceDirect","abstract":"An analytical job creation model for the US power sector from 2009 to 2030 is presented. The model synthesizes data from 15 job studies covering renewable energy (RE), energy efficiency (EE), carbon capture and storage (CCS) and nuclear power. The paper employs a consistent methodology of normalizing job data to average employment per unit energy produced over plant lifetime. Job losses in the coal and natural gas industry are modeled to project net employment impacts. Benefits and drawbacks of the methodology are assessed and the resulting model is used for job projections under various renewable portfolio standards (RPS), EE, and low carbon energy scenarios We find that all non-fossil fuel technologies (renewable energy, EE, low carbon) create more jobs per unit energy than coal and natural gas. Aggressive EE measures combined with a 30% RPS target in 2030 can generate over 4 million full-time-equivalent job-years by 2030 while increasing nuclear power to 25% and CCS to 10% of overall generation in 2030 can yield an additional 500,000 job-years.","DOI":"10.1016/j.enpol.2009.10.044","ISSN":"0301-4215","shortTitle":"Putting renewables and energy efficiency to work","journalAbbreviation":"Energy Policy","author":[{"family":"Wei","given":"Max"},{"family":"Patadia","given":"Shana"},{"family":"Kammen","given":"Daniel M."}],"issued":{"date-parts":[["2010",2]]}}}],"schema":"https://github.com/citation-style-language/schema/raw/master/csl-citation.json"} </w:instrText>
      </w:r>
      <w:r w:rsidR="003C0622" w:rsidRPr="00BF5048">
        <w:fldChar w:fldCharType="separate"/>
      </w:r>
      <w:r w:rsidRPr="00BF5048">
        <w:rPr>
          <w:rFonts w:cs="Times New Roman"/>
        </w:rPr>
        <w:t>[13]</w:t>
      </w:r>
      <w:r w:rsidR="003C0622" w:rsidRPr="00BF5048">
        <w:fldChar w:fldCharType="end"/>
      </w:r>
      <w:r w:rsidRPr="00BF5048">
        <w:rPr>
          <w:rFonts w:eastAsia="Times New Roman" w:cs="Times New Roman"/>
          <w:lang w:val="en-US" w:eastAsia="es-ES"/>
        </w:rPr>
        <w:t xml:space="preserve">. But, on the other hand, there could also have been an indirect but negative effect due to the increase in the price of electricity and gas in the EU compared to other Non-European countries that may have affected competitiveness </w:t>
      </w:r>
      <w:r w:rsidR="003C0622" w:rsidRPr="00BF5048">
        <w:rPr>
          <w:rFonts w:eastAsia="Times New Roman" w:cs="Times New Roman"/>
          <w:lang w:val="en-US" w:eastAsia="es-ES"/>
        </w:rPr>
        <w:fldChar w:fldCharType="begin"/>
      </w:r>
      <w:r w:rsidR="00B06A88">
        <w:rPr>
          <w:rFonts w:eastAsia="Times New Roman" w:cs="Times New Roman"/>
          <w:lang w:val="en-US" w:eastAsia="es-ES"/>
        </w:rPr>
        <w:instrText xml:space="preserve"> ADDIN ZOTERO_ITEM CSL_CITATION {"citationID":"dp7WbT3x","properties":{"formattedCitation":"[35]","plainCitation":"[35]"},"citationItems":[{"id":3681,"uris":["http://zotero.org/groups/271383/items/SP8RWBPQ"],"uri":["http://zotero.org/groups/271383/items/SP8RWBPQ"],"itemData":{"id":3681,"type":"report","title":"Energy prices and costs in Europe","collection-title":"Communication from the Commission to the European Parliament, the Council, the European economic and social committee of the regions","publisher":"European Commission","number":"COM/2014/021","author":[{"family":"European Commission","given":""}],"issued":{"date-parts":[["2014"]]}}}],"schema":"https://github.com/citation-style-language/schema/raw/master/csl-citation.json"} </w:instrText>
      </w:r>
      <w:r w:rsidR="003C0622" w:rsidRPr="00BF5048">
        <w:rPr>
          <w:rFonts w:eastAsia="Times New Roman" w:cs="Times New Roman"/>
          <w:lang w:val="en-US" w:eastAsia="es-ES"/>
        </w:rPr>
        <w:fldChar w:fldCharType="separate"/>
      </w:r>
      <w:r w:rsidR="00B06A88" w:rsidRPr="00B06A88">
        <w:rPr>
          <w:rFonts w:cs="Times New Roman"/>
        </w:rPr>
        <w:t>[35]</w:t>
      </w:r>
      <w:r w:rsidR="003C0622" w:rsidRPr="00BF5048">
        <w:rPr>
          <w:rFonts w:eastAsia="Times New Roman" w:cs="Times New Roman"/>
          <w:lang w:val="en-US" w:eastAsia="es-ES"/>
        </w:rPr>
        <w:fldChar w:fldCharType="end"/>
      </w:r>
      <w:r w:rsidRPr="00BF5048">
        <w:rPr>
          <w:rFonts w:eastAsia="Times New Roman" w:cs="Times New Roman"/>
          <w:lang w:val="en-US" w:eastAsia="es-ES"/>
        </w:rPr>
        <w:t xml:space="preserve"> </w:t>
      </w:r>
      <w:r w:rsidR="003C0622" w:rsidRPr="00BF5048">
        <w:rPr>
          <w:rFonts w:eastAsia="Times New Roman" w:cs="Times New Roman"/>
          <w:lang w:val="en-US" w:eastAsia="es-ES"/>
        </w:rPr>
        <w:fldChar w:fldCharType="begin"/>
      </w:r>
      <w:r w:rsidR="00B06A88">
        <w:rPr>
          <w:rFonts w:eastAsia="Times New Roman" w:cs="Times New Roman"/>
          <w:lang w:val="en-US" w:eastAsia="es-ES"/>
        </w:rPr>
        <w:instrText xml:space="preserve"> ADDIN ZOTERO_ITEM CSL_CITATION {"citationID":"VBIKjWKB","properties":{"formattedCitation":"[36]","plainCitation":"[36]"},"citationItems":[{"id":3682,"uris":["http://zotero.org/groups/271383/items/N2X4KQP4"],"uri":["http://zotero.org/groups/271383/items/N2X4KQP4"],"itemData":{"id":3682,"type":"report","title":"Subsidies and costs of EU energy. Final report","publisher":"Ecofys by order of: European Commission","author":[{"family":"Alberici","given":"S."},{"family":"Boeve","given":"S."},{"family":"Breevoort","given":"P.","non-dropping-particle":"van"},{"family":"Deng","given":"Y."},{"family":"Förster","given":"S."},{"family":"Gardiner","given":"A."},{"family":"Gastel","given":"V.","non-dropping-particle":"van"},{"family":"Grave","given":"K."},{"family":"Groenenberg","given":"G."},{"family":"Jager","given":"D.","non-dropping-particle":"de"},{"family":"Klaassen","given":"E."},{"family":"Pouwels","given":"W."},{"family":"Smith","given":"M."},{"family":"Visser","given":"E.","non-dropping-particle":"de"},{"family":"Winkel","given":"T."},{"family":"Wouters","given":"K."}],"issued":{"date-parts":[["2014"]]}}}],"schema":"https://github.com/citation-style-language/schema/raw/master/csl-citation.json"} </w:instrText>
      </w:r>
      <w:r w:rsidR="003C0622" w:rsidRPr="00BF5048">
        <w:rPr>
          <w:rFonts w:eastAsia="Times New Roman" w:cs="Times New Roman"/>
          <w:lang w:val="en-US" w:eastAsia="es-ES"/>
        </w:rPr>
        <w:fldChar w:fldCharType="separate"/>
      </w:r>
      <w:r w:rsidR="00B06A88" w:rsidRPr="00B06A88">
        <w:rPr>
          <w:rFonts w:cs="Times New Roman"/>
        </w:rPr>
        <w:t>[36]</w:t>
      </w:r>
      <w:r w:rsidR="003C0622" w:rsidRPr="00BF5048">
        <w:rPr>
          <w:rFonts w:eastAsia="Times New Roman" w:cs="Times New Roman"/>
          <w:lang w:val="en-US" w:eastAsia="es-ES"/>
        </w:rPr>
        <w:fldChar w:fldCharType="end"/>
      </w:r>
      <w:r w:rsidRPr="00BF5048">
        <w:rPr>
          <w:rFonts w:eastAsia="Times New Roman" w:cs="Times New Roman"/>
          <w:lang w:val="en-US" w:eastAsia="es-ES"/>
        </w:rPr>
        <w:t xml:space="preserve"> and, hence, the investment decisions across the economy. Such increases could be ameliorated with a well-designed mechanism for recycling revenues from subsidies </w:t>
      </w:r>
      <w:r w:rsidR="003C0622" w:rsidRPr="00BF5048">
        <w:rPr>
          <w:rFonts w:eastAsia="Times New Roman" w:cs="Times New Roman"/>
          <w:lang w:val="en-US" w:eastAsia="es-ES"/>
        </w:rPr>
        <w:fldChar w:fldCharType="begin"/>
      </w:r>
      <w:r w:rsidR="00B06A88">
        <w:rPr>
          <w:rFonts w:eastAsia="Times New Roman" w:cs="Times New Roman"/>
          <w:lang w:val="en-US" w:eastAsia="es-ES"/>
        </w:rPr>
        <w:instrText xml:space="preserve"> ADDIN ZOTERO_ITEM CSL_CITATION {"citationID":"Yn2qWoIP","properties":{"formattedCitation":"[37]","plainCitation":"[37]"},"citationItems":[{"id":3683,"uris":["http://zotero.org/groups/271383/items/NI8CJABI"],"uri":["http://zotero.org/groups/271383/items/NI8CJABI"],"itemData":{"id":3683,"type":"article-journal","title":"Are green hopes too rosy? Employment and welfare impacts of renewable energy promotion","container-title":"Energy Economics","page":"277-285","volume":"36","source":"ScienceDirect","abstract":"In view of pressing unemployment problems, policy makers across all parties jump on the prospects of renewable energy promotion as a job creation engine which can boost economic well-being. Our analytical model shows that initial labor market rigidities in theory provide some scope for such a double dividend. However, the practical outcome of renewable energy promotion might be sobering. Our computable general equilibrium analysis of subsidized electricity production from renewable energy sources (RES-E) in Germany suggests that the prospects for employment and welfare gains are quite limited and hinge crucially on the level of the subsidy rate and the financing mechanism. If RES-E subsidies are financed by labor taxes, welfare and employment effects are strictly negative for a broad range of subsidy rates. The use of an electricity tax to fund RES-E subsidies generates minor benefits for small subsidy rates but these benefits quickly turn into significant losses as the subsidy rate exceeds some threshold value.","DOI":"10.1016/j.eneco.2012.08.029","ISSN":"0140-9883","shortTitle":"Are green hopes too rosy?","journalAbbreviation":"Energy Economics","author":[{"family":"Böhringer","given":"Christoph"},{"family":"Keller","given":"Andreas"},{"family":"Werf","given":"Edwin","non-dropping-particle":"van der"}],"issued":{"date-parts":[["2013",3]]}}}],"schema":"https://github.com/citation-style-language/schema/raw/master/csl-citation.json"} </w:instrText>
      </w:r>
      <w:r w:rsidR="003C0622" w:rsidRPr="00BF5048">
        <w:rPr>
          <w:rFonts w:eastAsia="Times New Roman" w:cs="Times New Roman"/>
          <w:lang w:val="en-US" w:eastAsia="es-ES"/>
        </w:rPr>
        <w:fldChar w:fldCharType="separate"/>
      </w:r>
      <w:r w:rsidR="00B06A88" w:rsidRPr="00B06A88">
        <w:rPr>
          <w:rFonts w:cs="Times New Roman"/>
        </w:rPr>
        <w:t>[37]</w:t>
      </w:r>
      <w:r w:rsidR="003C0622" w:rsidRPr="00BF5048">
        <w:rPr>
          <w:rFonts w:eastAsia="Times New Roman" w:cs="Times New Roman"/>
          <w:lang w:val="en-US" w:eastAsia="es-ES"/>
        </w:rPr>
        <w:fldChar w:fldCharType="end"/>
      </w:r>
      <w:r w:rsidRPr="00BF5048">
        <w:rPr>
          <w:rFonts w:eastAsia="Times New Roman" w:cs="Times New Roman"/>
          <w:lang w:val="en-US" w:eastAsia="es-ES"/>
        </w:rPr>
        <w:t xml:space="preserve"> and from a further integration on the EU electricity market but the extent to which they do needs further investigation</w:t>
      </w:r>
      <w:r w:rsidR="000D57D1">
        <w:rPr>
          <w:rFonts w:eastAsia="Times New Roman" w:cs="Times New Roman"/>
          <w:lang w:val="en-US" w:eastAsia="es-ES"/>
        </w:rPr>
        <w:t xml:space="preserve">, which is </w:t>
      </w:r>
      <w:r w:rsidRPr="00BF5048">
        <w:rPr>
          <w:rFonts w:eastAsia="Times New Roman" w:cs="Times New Roman"/>
          <w:lang w:val="en-US" w:eastAsia="es-ES"/>
        </w:rPr>
        <w:t>beyond the scope of this paper.</w:t>
      </w:r>
      <w:r w:rsidRPr="000F39F8">
        <w:rPr>
          <w:rFonts w:eastAsia="Times New Roman" w:cs="Times New Roman"/>
          <w:lang w:val="en-US" w:eastAsia="es-ES"/>
        </w:rPr>
        <w:t xml:space="preserve"> </w:t>
      </w:r>
    </w:p>
    <w:p w:rsidR="00B360ED" w:rsidRDefault="00B360ED" w:rsidP="002A70C7">
      <w:pPr>
        <w:spacing w:after="0"/>
        <w:rPr>
          <w:rFonts w:eastAsia="Times New Roman" w:cs="Times New Roman"/>
          <w:lang w:val="en-US" w:eastAsia="es-ES"/>
        </w:rPr>
      </w:pPr>
      <w:r>
        <w:rPr>
          <w:rFonts w:eastAsia="Times New Roman" w:cs="Times New Roman"/>
          <w:lang w:val="en-US" w:eastAsia="es-ES"/>
        </w:rPr>
        <w:t xml:space="preserve">Besides, data availability has restricted the exercise to </w:t>
      </w:r>
      <w:r w:rsidR="00B921C2">
        <w:rPr>
          <w:rFonts w:eastAsia="Times New Roman" w:cs="Times New Roman"/>
          <w:lang w:val="en-US" w:eastAsia="es-ES"/>
        </w:rPr>
        <w:t>the</w:t>
      </w:r>
      <w:r>
        <w:rPr>
          <w:rFonts w:eastAsia="Times New Roman" w:cs="Times New Roman"/>
          <w:lang w:val="en-US" w:eastAsia="es-ES"/>
        </w:rPr>
        <w:t xml:space="preserve"> period</w:t>
      </w:r>
      <w:r w:rsidR="00B921C2">
        <w:rPr>
          <w:rFonts w:eastAsia="Times New Roman" w:cs="Times New Roman"/>
          <w:lang w:val="en-US" w:eastAsia="es-ES"/>
        </w:rPr>
        <w:t xml:space="preserve"> 1995-2009</w:t>
      </w:r>
      <w:r>
        <w:rPr>
          <w:rFonts w:eastAsia="Times New Roman" w:cs="Times New Roman"/>
          <w:lang w:val="en-US" w:eastAsia="es-ES"/>
        </w:rPr>
        <w:t xml:space="preserve">. </w:t>
      </w:r>
      <w:r w:rsidRPr="00D354E2">
        <w:rPr>
          <w:rFonts w:eastAsia="Times New Roman" w:cs="Times New Roman"/>
          <w:lang w:eastAsia="es-ES_tradnl"/>
        </w:rPr>
        <w:t xml:space="preserve">The World Input-Output Database </w:t>
      </w:r>
      <w:r>
        <w:rPr>
          <w:rFonts w:eastAsia="Times New Roman" w:cs="Times New Roman"/>
          <w:lang w:eastAsia="es-ES_tradnl"/>
        </w:rPr>
        <w:t xml:space="preserve">contains data </w:t>
      </w:r>
      <w:r w:rsidRPr="00D354E2">
        <w:rPr>
          <w:rFonts w:eastAsia="Times New Roman" w:cs="Times New Roman"/>
          <w:lang w:eastAsia="es-ES_tradnl"/>
        </w:rPr>
        <w:t>for the period 1995</w:t>
      </w:r>
      <w:r w:rsidR="00B921C2">
        <w:rPr>
          <w:rFonts w:eastAsia="Times New Roman" w:cs="Times New Roman"/>
          <w:lang w:eastAsia="es-ES_tradnl"/>
        </w:rPr>
        <w:t>-</w:t>
      </w:r>
      <w:r w:rsidRPr="00D354E2">
        <w:rPr>
          <w:rFonts w:eastAsia="Times New Roman" w:cs="Times New Roman"/>
          <w:lang w:eastAsia="es-ES_tradnl"/>
        </w:rPr>
        <w:t xml:space="preserve">2011. However, the deflators that are necessary for </w:t>
      </w:r>
      <w:r>
        <w:rPr>
          <w:rFonts w:eastAsia="Times New Roman" w:cs="Times New Roman"/>
          <w:lang w:eastAsia="es-ES_tradnl"/>
        </w:rPr>
        <w:t>the exercise</w:t>
      </w:r>
      <w:r w:rsidRPr="00D354E2">
        <w:rPr>
          <w:rFonts w:eastAsia="Times New Roman" w:cs="Times New Roman"/>
          <w:lang w:eastAsia="es-ES_tradnl"/>
        </w:rPr>
        <w:t xml:space="preserve"> are only available until 2009. </w:t>
      </w:r>
      <w:r>
        <w:rPr>
          <w:rFonts w:eastAsia="Times New Roman" w:cs="Times New Roman"/>
          <w:lang w:eastAsia="es-ES_tradnl"/>
        </w:rPr>
        <w:t xml:space="preserve">Future exercises may expand the analysis </w:t>
      </w:r>
      <w:r w:rsidRPr="00D354E2">
        <w:rPr>
          <w:rFonts w:eastAsia="Times New Roman" w:cs="Times New Roman"/>
          <w:lang w:eastAsia="es-ES_tradnl"/>
        </w:rPr>
        <w:t>beyond 2009</w:t>
      </w:r>
      <w:r>
        <w:rPr>
          <w:rFonts w:eastAsia="Times New Roman" w:cs="Times New Roman"/>
          <w:lang w:eastAsia="es-ES_tradnl"/>
        </w:rPr>
        <w:t xml:space="preserve"> as soon as the data </w:t>
      </w:r>
      <w:r w:rsidR="000D57D1">
        <w:rPr>
          <w:rFonts w:eastAsia="Times New Roman" w:cs="Times New Roman"/>
          <w:lang w:eastAsia="es-ES_tradnl"/>
        </w:rPr>
        <w:t>are</w:t>
      </w:r>
      <w:r>
        <w:rPr>
          <w:rFonts w:eastAsia="Times New Roman" w:cs="Times New Roman"/>
          <w:lang w:eastAsia="es-ES_tradnl"/>
        </w:rPr>
        <w:t xml:space="preserve"> available</w:t>
      </w:r>
      <w:r w:rsidRPr="00D354E2">
        <w:rPr>
          <w:rFonts w:eastAsia="Times New Roman" w:cs="Times New Roman"/>
          <w:lang w:eastAsia="es-ES_tradnl"/>
        </w:rPr>
        <w:t xml:space="preserve">. </w:t>
      </w:r>
      <w:r>
        <w:rPr>
          <w:rFonts w:eastAsia="Times New Roman" w:cs="Times New Roman"/>
          <w:lang w:val="en-US" w:eastAsia="es-ES"/>
        </w:rPr>
        <w:t xml:space="preserve"> </w:t>
      </w:r>
    </w:p>
    <w:p w:rsidR="002C2386" w:rsidRPr="007D6448" w:rsidRDefault="002C2386" w:rsidP="002C2386">
      <w:pPr>
        <w:pStyle w:val="PlainText"/>
        <w:spacing w:line="360" w:lineRule="auto"/>
        <w:jc w:val="both"/>
        <w:rPr>
          <w:rFonts w:ascii="Times New Roman" w:hAnsi="Times New Roman" w:cs="Times New Roman"/>
          <w:szCs w:val="22"/>
        </w:rPr>
      </w:pPr>
      <w:r w:rsidRPr="007350A1">
        <w:rPr>
          <w:rFonts w:ascii="Times New Roman" w:hAnsi="Times New Roman" w:cs="Times New Roman"/>
          <w:szCs w:val="22"/>
        </w:rPr>
        <w:t>Finally, it is important to highlight that this database has been constructed by integrating data fr</w:t>
      </w:r>
      <w:r>
        <w:rPr>
          <w:rFonts w:ascii="Times New Roman" w:hAnsi="Times New Roman" w:cs="Times New Roman"/>
          <w:szCs w:val="22"/>
        </w:rPr>
        <w:t>o</w:t>
      </w:r>
      <w:r w:rsidRPr="007350A1">
        <w:rPr>
          <w:rFonts w:ascii="Times New Roman" w:hAnsi="Times New Roman" w:cs="Times New Roman"/>
          <w:szCs w:val="22"/>
        </w:rPr>
        <w:t xml:space="preserve">m different official statistics, mainly the National Accounts and Input-Output Tables developed by National Statistics Institutes and trade statistics from EUROSTAT and United Nations. Accordingly, the level of accuracy of the database is aligned with the quality standards of </w:t>
      </w:r>
      <w:r>
        <w:rPr>
          <w:rFonts w:ascii="Times New Roman" w:hAnsi="Times New Roman" w:cs="Times New Roman"/>
          <w:szCs w:val="22"/>
        </w:rPr>
        <w:t xml:space="preserve">the data in </w:t>
      </w:r>
      <w:r w:rsidRPr="007350A1">
        <w:rPr>
          <w:rFonts w:ascii="Times New Roman" w:hAnsi="Times New Roman" w:cs="Times New Roman"/>
          <w:szCs w:val="22"/>
        </w:rPr>
        <w:t xml:space="preserve">those </w:t>
      </w:r>
      <w:r>
        <w:rPr>
          <w:rFonts w:ascii="Times New Roman" w:hAnsi="Times New Roman" w:cs="Times New Roman"/>
          <w:szCs w:val="22"/>
        </w:rPr>
        <w:t>sources</w:t>
      </w:r>
      <w:r w:rsidRPr="007350A1">
        <w:rPr>
          <w:rFonts w:ascii="Times New Roman" w:hAnsi="Times New Roman" w:cs="Times New Roman"/>
          <w:szCs w:val="22"/>
        </w:rPr>
        <w:t xml:space="preserve">. </w:t>
      </w:r>
      <w:r>
        <w:rPr>
          <w:rFonts w:ascii="Times New Roman" w:hAnsi="Times New Roman" w:cs="Times New Roman"/>
          <w:szCs w:val="22"/>
        </w:rPr>
        <w:t xml:space="preserve"> It is possible that</w:t>
      </w:r>
      <w:r w:rsidRPr="007350A1">
        <w:rPr>
          <w:rFonts w:ascii="Times New Roman" w:hAnsi="Times New Roman" w:cs="Times New Roman"/>
          <w:szCs w:val="22"/>
        </w:rPr>
        <w:t xml:space="preserve"> the final dataset derived from the integration process might </w:t>
      </w:r>
      <w:r>
        <w:rPr>
          <w:rFonts w:ascii="Times New Roman" w:hAnsi="Times New Roman" w:cs="Times New Roman"/>
          <w:szCs w:val="22"/>
        </w:rPr>
        <w:t xml:space="preserve">have </w:t>
      </w:r>
      <w:r w:rsidRPr="007350A1">
        <w:rPr>
          <w:rFonts w:ascii="Times New Roman" w:hAnsi="Times New Roman" w:cs="Times New Roman"/>
          <w:szCs w:val="22"/>
        </w:rPr>
        <w:t xml:space="preserve">deviated </w:t>
      </w:r>
      <w:r>
        <w:rPr>
          <w:rFonts w:ascii="Times New Roman" w:hAnsi="Times New Roman" w:cs="Times New Roman"/>
          <w:szCs w:val="22"/>
        </w:rPr>
        <w:t xml:space="preserve">slightly </w:t>
      </w:r>
      <w:r w:rsidRPr="007350A1">
        <w:rPr>
          <w:rFonts w:ascii="Times New Roman" w:hAnsi="Times New Roman" w:cs="Times New Roman"/>
          <w:szCs w:val="22"/>
        </w:rPr>
        <w:t xml:space="preserve">from </w:t>
      </w:r>
      <w:r>
        <w:rPr>
          <w:rFonts w:ascii="Times New Roman" w:hAnsi="Times New Roman" w:cs="Times New Roman"/>
          <w:szCs w:val="22"/>
        </w:rPr>
        <w:t xml:space="preserve">the </w:t>
      </w:r>
      <w:r w:rsidRPr="007350A1">
        <w:rPr>
          <w:rFonts w:ascii="Times New Roman" w:hAnsi="Times New Roman" w:cs="Times New Roman"/>
          <w:szCs w:val="22"/>
        </w:rPr>
        <w:t>original data</w:t>
      </w:r>
      <w:r>
        <w:rPr>
          <w:rFonts w:ascii="Times New Roman" w:hAnsi="Times New Roman" w:cs="Times New Roman"/>
          <w:szCs w:val="22"/>
        </w:rPr>
        <w:t xml:space="preserve">, partly as a result of </w:t>
      </w:r>
      <w:r w:rsidRPr="007350A1">
        <w:rPr>
          <w:rFonts w:ascii="Times New Roman" w:hAnsi="Times New Roman" w:cs="Times New Roman"/>
          <w:szCs w:val="22"/>
        </w:rPr>
        <w:t xml:space="preserve">errors during the integration process, although </w:t>
      </w:r>
      <w:r>
        <w:rPr>
          <w:rFonts w:ascii="Times New Roman" w:hAnsi="Times New Roman" w:cs="Times New Roman"/>
          <w:szCs w:val="22"/>
        </w:rPr>
        <w:t>such errors</w:t>
      </w:r>
      <w:r w:rsidRPr="007350A1">
        <w:rPr>
          <w:rFonts w:ascii="Times New Roman" w:hAnsi="Times New Roman" w:cs="Times New Roman"/>
          <w:szCs w:val="22"/>
        </w:rPr>
        <w:t xml:space="preserve"> </w:t>
      </w:r>
      <w:r w:rsidRPr="007350A1">
        <w:rPr>
          <w:rFonts w:ascii="Times New Roman" w:hAnsi="Times New Roman" w:cs="Times New Roman"/>
          <w:szCs w:val="22"/>
        </w:rPr>
        <w:lastRenderedPageBreak/>
        <w:t>are normally detected and corrected in the updated versions. Thus, even if we cannot provide a</w:t>
      </w:r>
      <w:r w:rsidR="009A273B">
        <w:rPr>
          <w:rFonts w:ascii="Times New Roman" w:hAnsi="Times New Roman" w:cs="Times New Roman"/>
          <w:szCs w:val="22"/>
        </w:rPr>
        <w:t xml:space="preserve"> formal</w:t>
      </w:r>
      <w:r w:rsidRPr="007350A1">
        <w:rPr>
          <w:rFonts w:ascii="Times New Roman" w:hAnsi="Times New Roman" w:cs="Times New Roman"/>
          <w:szCs w:val="22"/>
        </w:rPr>
        <w:t xml:space="preserve"> interval of confidence </w:t>
      </w:r>
      <w:r w:rsidR="009A273B">
        <w:rPr>
          <w:rFonts w:ascii="Times New Roman" w:hAnsi="Times New Roman" w:cs="Times New Roman"/>
          <w:szCs w:val="22"/>
        </w:rPr>
        <w:t>for</w:t>
      </w:r>
      <w:r w:rsidRPr="007350A1">
        <w:rPr>
          <w:rFonts w:ascii="Times New Roman" w:hAnsi="Times New Roman" w:cs="Times New Roman"/>
          <w:szCs w:val="22"/>
        </w:rPr>
        <w:t xml:space="preserve"> our results, the accuracy of the results should be understood </w:t>
      </w:r>
      <w:r>
        <w:rPr>
          <w:rFonts w:ascii="Times New Roman" w:hAnsi="Times New Roman" w:cs="Times New Roman"/>
          <w:szCs w:val="22"/>
        </w:rPr>
        <w:t>i</w:t>
      </w:r>
      <w:r w:rsidRPr="007350A1">
        <w:rPr>
          <w:rFonts w:ascii="Times New Roman" w:hAnsi="Times New Roman" w:cs="Times New Roman"/>
          <w:szCs w:val="22"/>
        </w:rPr>
        <w:t>n the context of the quality of official statistics that have been used to build the database</w:t>
      </w:r>
      <w:r w:rsidR="005B1822">
        <w:rPr>
          <w:rStyle w:val="FootnoteReference"/>
          <w:rFonts w:ascii="Times New Roman" w:hAnsi="Times New Roman" w:cs="Times New Roman"/>
          <w:szCs w:val="22"/>
        </w:rPr>
        <w:footnoteReference w:id="10"/>
      </w:r>
      <w:r w:rsidRPr="007350A1">
        <w:rPr>
          <w:rFonts w:ascii="Times New Roman" w:hAnsi="Times New Roman" w:cs="Times New Roman"/>
          <w:szCs w:val="22"/>
        </w:rPr>
        <w:t>.</w:t>
      </w:r>
      <w:r w:rsidRPr="007D6448" w:rsidDel="007350A1">
        <w:rPr>
          <w:rFonts w:ascii="Times New Roman" w:hAnsi="Times New Roman" w:cs="Times New Roman"/>
          <w:szCs w:val="22"/>
        </w:rPr>
        <w:t xml:space="preserve"> </w:t>
      </w:r>
    </w:p>
    <w:p w:rsidR="002C2386" w:rsidRDefault="002C2386" w:rsidP="002A70C7">
      <w:pPr>
        <w:spacing w:after="0"/>
        <w:rPr>
          <w:rFonts w:eastAsia="Times New Roman" w:cs="Times New Roman"/>
          <w:lang w:val="en-US" w:eastAsia="es-ES"/>
        </w:rPr>
      </w:pPr>
    </w:p>
    <w:p w:rsidR="00B42F94" w:rsidRPr="004F03CB" w:rsidRDefault="00B42F94" w:rsidP="00B42F94">
      <w:pPr>
        <w:pStyle w:val="Heading1"/>
        <w:rPr>
          <w:rFonts w:cs="Times New Roman"/>
        </w:rPr>
      </w:pPr>
      <w:r>
        <w:rPr>
          <w:rFonts w:cs="Times New Roman"/>
        </w:rPr>
        <w:t>Conclusions</w:t>
      </w:r>
    </w:p>
    <w:p w:rsidR="00A212BB" w:rsidRPr="00AA22AC" w:rsidRDefault="0099569C" w:rsidP="004F03CB">
      <w:pPr>
        <w:spacing w:after="0"/>
        <w:rPr>
          <w:rFonts w:cs="Times New Roman"/>
        </w:rPr>
      </w:pPr>
      <w:r w:rsidRPr="00AA22AC">
        <w:rPr>
          <w:rFonts w:cs="Times New Roman"/>
        </w:rPr>
        <w:t xml:space="preserve">The results </w:t>
      </w:r>
      <w:r w:rsidR="002218F8">
        <w:rPr>
          <w:rFonts w:cs="Times New Roman"/>
        </w:rPr>
        <w:t xml:space="preserve">presented here </w:t>
      </w:r>
      <w:r w:rsidRPr="00AA22AC">
        <w:rPr>
          <w:rFonts w:cs="Times New Roman"/>
        </w:rPr>
        <w:t xml:space="preserve">provide some </w:t>
      </w:r>
      <w:r w:rsidR="00C07237">
        <w:rPr>
          <w:rFonts w:cs="Times New Roman"/>
        </w:rPr>
        <w:t>new</w:t>
      </w:r>
      <w:r w:rsidR="006D64C7">
        <w:rPr>
          <w:rFonts w:cs="Times New Roman"/>
        </w:rPr>
        <w:t>,</w:t>
      </w:r>
      <w:r w:rsidR="00C07237">
        <w:rPr>
          <w:rFonts w:cs="Times New Roman"/>
        </w:rPr>
        <w:t xml:space="preserve"> </w:t>
      </w:r>
      <w:r w:rsidRPr="00AA22AC">
        <w:rPr>
          <w:rFonts w:cs="Times New Roman"/>
        </w:rPr>
        <w:t>interesting evidence on the implications of the changes in</w:t>
      </w:r>
      <w:r w:rsidR="005D204E">
        <w:rPr>
          <w:rFonts w:cs="Times New Roman"/>
        </w:rPr>
        <w:t xml:space="preserve"> the</w:t>
      </w:r>
      <w:r w:rsidRPr="00AA22AC">
        <w:rPr>
          <w:rFonts w:cs="Times New Roman"/>
        </w:rPr>
        <w:t xml:space="preserve"> </w:t>
      </w:r>
      <w:r w:rsidR="00992FC6">
        <w:rPr>
          <w:rFonts w:cs="Times New Roman"/>
        </w:rPr>
        <w:t>input structure</w:t>
      </w:r>
      <w:r w:rsidR="00992FC6" w:rsidRPr="00AA22AC">
        <w:rPr>
          <w:rFonts w:cs="Times New Roman"/>
        </w:rPr>
        <w:t xml:space="preserve"> </w:t>
      </w:r>
      <w:r w:rsidR="005D204E">
        <w:rPr>
          <w:rFonts w:cs="Times New Roman"/>
        </w:rPr>
        <w:t xml:space="preserve">of </w:t>
      </w:r>
      <w:r w:rsidR="005D204E" w:rsidRPr="00AA22AC">
        <w:rPr>
          <w:rFonts w:cs="Times New Roman"/>
        </w:rPr>
        <w:t xml:space="preserve">the European </w:t>
      </w:r>
      <w:r w:rsidR="000D1107">
        <w:rPr>
          <w:rFonts w:cs="Times New Roman"/>
        </w:rPr>
        <w:t>electricity and gas supply</w:t>
      </w:r>
      <w:r w:rsidR="005D204E" w:rsidRPr="00AA22AC">
        <w:rPr>
          <w:rFonts w:cs="Times New Roman"/>
        </w:rPr>
        <w:t xml:space="preserve"> sector </w:t>
      </w:r>
      <w:r w:rsidRPr="00AA22AC">
        <w:rPr>
          <w:rFonts w:cs="Times New Roman"/>
        </w:rPr>
        <w:t>in the 14 years from 1995 to 2009.</w:t>
      </w:r>
      <w:r w:rsidR="004315BF" w:rsidRPr="00AA22AC">
        <w:rPr>
          <w:rFonts w:cs="Times New Roman"/>
        </w:rPr>
        <w:t xml:space="preserve"> </w:t>
      </w:r>
      <w:r w:rsidR="00193D70" w:rsidRPr="00AA22AC">
        <w:rPr>
          <w:rFonts w:cs="Times New Roman"/>
        </w:rPr>
        <w:t xml:space="preserve">The </w:t>
      </w:r>
      <w:r w:rsidR="00282136" w:rsidRPr="00AA22AC">
        <w:rPr>
          <w:rFonts w:cs="Times New Roman"/>
        </w:rPr>
        <w:t xml:space="preserve">use of a </w:t>
      </w:r>
      <w:r w:rsidR="00446082" w:rsidRPr="004F03CB">
        <w:t>multiregional input-output</w:t>
      </w:r>
      <w:r w:rsidR="00282136" w:rsidRPr="00AA22AC">
        <w:rPr>
          <w:rFonts w:cs="Times New Roman"/>
        </w:rPr>
        <w:t xml:space="preserve"> model allows us to capture</w:t>
      </w:r>
      <w:r w:rsidR="00C07237">
        <w:rPr>
          <w:rFonts w:cs="Times New Roman"/>
        </w:rPr>
        <w:t>,</w:t>
      </w:r>
      <w:r w:rsidR="00282136" w:rsidRPr="00AA22AC">
        <w:rPr>
          <w:rFonts w:cs="Times New Roman"/>
        </w:rPr>
        <w:t xml:space="preserve"> not only the impacts</w:t>
      </w:r>
      <w:r w:rsidR="003857D8" w:rsidRPr="00AA22AC">
        <w:rPr>
          <w:rFonts w:cs="Times New Roman"/>
        </w:rPr>
        <w:t xml:space="preserve"> directly and indirectly</w:t>
      </w:r>
      <w:r w:rsidR="00282136" w:rsidRPr="00AA22AC">
        <w:rPr>
          <w:rFonts w:cs="Times New Roman"/>
        </w:rPr>
        <w:t xml:space="preserve"> generated in </w:t>
      </w:r>
      <w:r w:rsidR="003857D8" w:rsidRPr="00AA22AC">
        <w:rPr>
          <w:rFonts w:cs="Times New Roman"/>
        </w:rPr>
        <w:t xml:space="preserve">each of the member states, but also the </w:t>
      </w:r>
      <w:r w:rsidR="00282136" w:rsidRPr="00AA22AC">
        <w:rPr>
          <w:rFonts w:cs="Times New Roman"/>
        </w:rPr>
        <w:t xml:space="preserve">employment </w:t>
      </w:r>
      <w:r w:rsidR="003857D8" w:rsidRPr="00AA22AC">
        <w:rPr>
          <w:rFonts w:cs="Times New Roman"/>
        </w:rPr>
        <w:t>effects</w:t>
      </w:r>
      <w:r w:rsidR="00282136" w:rsidRPr="00AA22AC">
        <w:rPr>
          <w:rFonts w:cs="Times New Roman"/>
        </w:rPr>
        <w:t xml:space="preserve"> </w:t>
      </w:r>
      <w:r w:rsidR="005D204E">
        <w:rPr>
          <w:rFonts w:cs="Times New Roman"/>
        </w:rPr>
        <w:t xml:space="preserve">generated </w:t>
      </w:r>
      <w:r w:rsidR="003857D8" w:rsidRPr="00AA22AC">
        <w:rPr>
          <w:rFonts w:cs="Times New Roman"/>
        </w:rPr>
        <w:t xml:space="preserve">abroad </w:t>
      </w:r>
      <w:r w:rsidR="006D64C7">
        <w:rPr>
          <w:rFonts w:cs="Times New Roman"/>
        </w:rPr>
        <w:t>as a result of</w:t>
      </w:r>
      <w:r w:rsidR="005D204E" w:rsidRPr="00AA22AC">
        <w:rPr>
          <w:rFonts w:cs="Times New Roman"/>
        </w:rPr>
        <w:t xml:space="preserve"> </w:t>
      </w:r>
      <w:r w:rsidR="003857D8" w:rsidRPr="00AA22AC">
        <w:rPr>
          <w:rFonts w:cs="Times New Roman"/>
        </w:rPr>
        <w:t>international trade</w:t>
      </w:r>
      <w:r w:rsidR="00C07237">
        <w:rPr>
          <w:rFonts w:cs="Times New Roman"/>
        </w:rPr>
        <w:t>, something that closes a gap in this research line</w:t>
      </w:r>
      <w:r w:rsidR="00BD73CC" w:rsidRPr="00AA22AC">
        <w:rPr>
          <w:rFonts w:cs="Times New Roman"/>
        </w:rPr>
        <w:t>.</w:t>
      </w:r>
      <w:r w:rsidR="004315BF" w:rsidRPr="00AA22AC">
        <w:rPr>
          <w:rFonts w:cs="Times New Roman"/>
        </w:rPr>
        <w:t xml:space="preserve"> </w:t>
      </w:r>
    </w:p>
    <w:p w:rsidR="00214024" w:rsidRDefault="003857D8" w:rsidP="004F03CB">
      <w:pPr>
        <w:spacing w:after="0"/>
        <w:rPr>
          <w:rFonts w:cs="Times New Roman"/>
        </w:rPr>
      </w:pPr>
      <w:r w:rsidRPr="00AA22AC">
        <w:rPr>
          <w:rFonts w:cs="Times New Roman"/>
        </w:rPr>
        <w:t xml:space="preserve">The analysis shows that the change in the </w:t>
      </w:r>
      <w:r w:rsidR="005D204E">
        <w:rPr>
          <w:rFonts w:cs="Times New Roman"/>
        </w:rPr>
        <w:t>input structure</w:t>
      </w:r>
      <w:r w:rsidR="005D204E" w:rsidRPr="00AA22AC">
        <w:rPr>
          <w:rFonts w:cs="Times New Roman"/>
        </w:rPr>
        <w:t xml:space="preserve"> </w:t>
      </w:r>
      <w:r w:rsidRPr="00AA22AC">
        <w:rPr>
          <w:rFonts w:cs="Times New Roman"/>
        </w:rPr>
        <w:t xml:space="preserve">of the European </w:t>
      </w:r>
      <w:r w:rsidR="000D1107">
        <w:rPr>
          <w:rFonts w:cs="Times New Roman"/>
        </w:rPr>
        <w:t>electricity and gas supply</w:t>
      </w:r>
      <w:r w:rsidRPr="00AA22AC">
        <w:rPr>
          <w:rFonts w:cs="Times New Roman"/>
        </w:rPr>
        <w:t xml:space="preserve"> sector</w:t>
      </w:r>
      <w:r w:rsidR="008D7515">
        <w:rPr>
          <w:rFonts w:cs="Times New Roman"/>
        </w:rPr>
        <w:t>, motivated in significant part by the desire for a shift to</w:t>
      </w:r>
      <w:r w:rsidR="005D204E">
        <w:rPr>
          <w:rFonts w:cs="Times New Roman"/>
        </w:rPr>
        <w:t>wards</w:t>
      </w:r>
      <w:r w:rsidR="008D7515">
        <w:rPr>
          <w:rFonts w:cs="Times New Roman"/>
        </w:rPr>
        <w:t xml:space="preserve"> a green economy,</w:t>
      </w:r>
      <w:r w:rsidRPr="00AA22AC">
        <w:rPr>
          <w:rFonts w:cs="Times New Roman"/>
        </w:rPr>
        <w:t xml:space="preserve"> had a net positive impact on employment </w:t>
      </w:r>
      <w:r w:rsidR="005D204E">
        <w:rPr>
          <w:rFonts w:cs="Times New Roman"/>
        </w:rPr>
        <w:t xml:space="preserve">in the EU </w:t>
      </w:r>
      <w:r w:rsidR="006D64C7">
        <w:rPr>
          <w:rFonts w:cs="Times New Roman"/>
        </w:rPr>
        <w:t xml:space="preserve">as a whole </w:t>
      </w:r>
      <w:r w:rsidRPr="00AA22AC">
        <w:rPr>
          <w:rFonts w:cs="Times New Roman"/>
        </w:rPr>
        <w:t>(+530 k-jobs)</w:t>
      </w:r>
      <w:r w:rsidR="005D204E">
        <w:rPr>
          <w:rFonts w:cs="Times New Roman"/>
        </w:rPr>
        <w:t>,</w:t>
      </w:r>
      <w:r w:rsidR="00214024" w:rsidRPr="00AA22AC">
        <w:rPr>
          <w:rFonts w:cs="Times New Roman"/>
        </w:rPr>
        <w:t xml:space="preserve"> and</w:t>
      </w:r>
      <w:r w:rsidRPr="00AA22AC">
        <w:rPr>
          <w:rFonts w:cs="Times New Roman"/>
        </w:rPr>
        <w:t xml:space="preserve"> </w:t>
      </w:r>
      <w:r w:rsidR="006D64C7">
        <w:rPr>
          <w:rFonts w:cs="Times New Roman"/>
        </w:rPr>
        <w:t>specifically</w:t>
      </w:r>
      <w:r w:rsidR="005D204E">
        <w:rPr>
          <w:rFonts w:cs="Times New Roman"/>
        </w:rPr>
        <w:t xml:space="preserve"> </w:t>
      </w:r>
      <w:r w:rsidRPr="00AA22AC">
        <w:rPr>
          <w:rFonts w:cs="Times New Roman"/>
        </w:rPr>
        <w:t xml:space="preserve">in 21 out of 27 </w:t>
      </w:r>
      <w:r w:rsidR="005D204E">
        <w:rPr>
          <w:rFonts w:cs="Times New Roman"/>
        </w:rPr>
        <w:t xml:space="preserve">of its </w:t>
      </w:r>
      <w:r w:rsidRPr="00AA22AC">
        <w:rPr>
          <w:rFonts w:cs="Times New Roman"/>
        </w:rPr>
        <w:t xml:space="preserve">member states. </w:t>
      </w:r>
      <w:r w:rsidR="00214024" w:rsidRPr="00AA22AC">
        <w:rPr>
          <w:rFonts w:cs="Times New Roman"/>
        </w:rPr>
        <w:t xml:space="preserve">Furthermore, </w:t>
      </w:r>
      <w:r w:rsidR="008D7515">
        <w:rPr>
          <w:rFonts w:cs="Times New Roman"/>
        </w:rPr>
        <w:t>it shows</w:t>
      </w:r>
      <w:r w:rsidR="00214024" w:rsidRPr="00AA22AC">
        <w:rPr>
          <w:rFonts w:cs="Times New Roman"/>
        </w:rPr>
        <w:t xml:space="preserve"> that one third of the employment generated was due to spill-over effects. In</w:t>
      </w:r>
      <w:r w:rsidR="00214024">
        <w:rPr>
          <w:rFonts w:cs="Times New Roman"/>
        </w:rPr>
        <w:t xml:space="preserve"> other words, 176 k-jobs were generated in other member states different from those in which the change in the </w:t>
      </w:r>
      <w:r w:rsidR="000D1107">
        <w:rPr>
          <w:rFonts w:cs="Times New Roman"/>
        </w:rPr>
        <w:t>electricity and gas supply</w:t>
      </w:r>
      <w:r w:rsidR="00214024">
        <w:rPr>
          <w:rFonts w:cs="Times New Roman"/>
        </w:rPr>
        <w:t xml:space="preserve"> sector took place. </w:t>
      </w:r>
      <w:r w:rsidR="00AA22AC">
        <w:rPr>
          <w:rFonts w:cs="Times New Roman"/>
        </w:rPr>
        <w:t>These</w:t>
      </w:r>
      <w:r w:rsidR="00214024">
        <w:rPr>
          <w:rFonts w:cs="Times New Roman"/>
        </w:rPr>
        <w:t xml:space="preserve"> spill-over effects have </w:t>
      </w:r>
      <w:r w:rsidR="00AA22AC">
        <w:rPr>
          <w:rFonts w:cs="Times New Roman"/>
        </w:rPr>
        <w:t>traditionally</w:t>
      </w:r>
      <w:r w:rsidR="00214024">
        <w:rPr>
          <w:rFonts w:cs="Times New Roman"/>
        </w:rPr>
        <w:t xml:space="preserve"> been ignored when assessing the impacts of</w:t>
      </w:r>
      <w:r w:rsidR="00AA22AC">
        <w:rPr>
          <w:rFonts w:cs="Times New Roman"/>
        </w:rPr>
        <w:t xml:space="preserve"> the deployment of new energy technologies. However, </w:t>
      </w:r>
      <w:r w:rsidR="008D7515">
        <w:rPr>
          <w:rFonts w:cs="Times New Roman"/>
        </w:rPr>
        <w:t>i</w:t>
      </w:r>
      <w:r w:rsidR="00AA22AC">
        <w:rPr>
          <w:rFonts w:cs="Times New Roman"/>
        </w:rPr>
        <w:t xml:space="preserve">n the light of </w:t>
      </w:r>
      <w:r w:rsidR="006D64C7">
        <w:rPr>
          <w:rFonts w:cs="Times New Roman"/>
        </w:rPr>
        <w:t>these</w:t>
      </w:r>
      <w:r w:rsidR="00AA22AC">
        <w:rPr>
          <w:rFonts w:cs="Times New Roman"/>
        </w:rPr>
        <w:t xml:space="preserve"> results, spill-over effects should be taken into account in order to give a more accurate picture of the employment effects of European energy and climate policies</w:t>
      </w:r>
      <w:r w:rsidR="003C015D">
        <w:rPr>
          <w:rFonts w:cs="Times New Roman"/>
        </w:rPr>
        <w:t xml:space="preserve">, as is being done in other areas such as trade policy </w:t>
      </w:r>
      <w:r w:rsidR="003C0622">
        <w:rPr>
          <w:rFonts w:cs="Times New Roman"/>
        </w:rPr>
        <w:fldChar w:fldCharType="begin"/>
      </w:r>
      <w:r w:rsidR="00AC248F">
        <w:rPr>
          <w:rFonts w:cs="Times New Roman"/>
        </w:rPr>
        <w:instrText xml:space="preserve"> ADDIN ZOTERO_ITEM CSL_CITATION {"citationID":"guhk1gbj6","properties":{"formattedCitation":"[40]","plainCitation":"[40]"},"citationItems":[{"id":1098,"uris":["http://zotero.org/users/1684209/items/A4TF9CBF"],"uri":["http://zotero.org/users/1684209/items/A4TF9CBF"],"itemData":{"id":1098,"type":"book","title":"EU Exports to the World: Effects on employment and income","publisher":"Publication Office of the European Union","publisher-place":"Luxembourg","number-of-pages":"302","event-place":"Luxembourg","ISBN":"978-92-79-44581-1","author":[{"family":"Arto","given":"Iñaki"},{"family":"Rueda-Cantuche","given":"José Manuel"},{"family":"Amores","given":"Antonio F."},{"family":"Dietzenbacher","given":"Erik"},{"family":"Sousa","given":"Nuno"},{"family":"Montinari","given":"Letizia"},{"family":"Markandya","given":"Anil"}],"issued":{"date-parts":[["2015"]]}}}],"schema":"https://github.com/citation-style-language/schema/raw/master/csl-citation.json"} </w:instrText>
      </w:r>
      <w:r w:rsidR="003C0622">
        <w:rPr>
          <w:rFonts w:cs="Times New Roman"/>
        </w:rPr>
        <w:fldChar w:fldCharType="separate"/>
      </w:r>
      <w:r w:rsidR="00AC248F" w:rsidRPr="00AC248F">
        <w:rPr>
          <w:rFonts w:cs="Times New Roman"/>
        </w:rPr>
        <w:t>[40]</w:t>
      </w:r>
      <w:r w:rsidR="003C0622">
        <w:rPr>
          <w:rFonts w:cs="Times New Roman"/>
        </w:rPr>
        <w:fldChar w:fldCharType="end"/>
      </w:r>
      <w:r w:rsidR="003C015D">
        <w:rPr>
          <w:rFonts w:cs="Times New Roman"/>
        </w:rPr>
        <w:t>.</w:t>
      </w:r>
      <w:r w:rsidR="00D00B65">
        <w:rPr>
          <w:rFonts w:cs="Times New Roman"/>
        </w:rPr>
        <w:t xml:space="preserve"> </w:t>
      </w:r>
    </w:p>
    <w:p w:rsidR="004A1AB3" w:rsidRPr="004A1AB3" w:rsidRDefault="004A1AB3" w:rsidP="004A1AB3">
      <w:pPr>
        <w:spacing w:after="0"/>
        <w:rPr>
          <w:rFonts w:cs="Times New Roman"/>
        </w:rPr>
      </w:pPr>
      <w:r w:rsidRPr="004A1AB3">
        <w:rPr>
          <w:rFonts w:cs="Times New Roman"/>
        </w:rPr>
        <w:t>P</w:t>
      </w:r>
      <w:r w:rsidR="00022E7E">
        <w:rPr>
          <w:rFonts w:cs="Times New Roman"/>
        </w:rPr>
        <w:t xml:space="preserve">revious studies </w:t>
      </w:r>
      <w:r w:rsidR="003C0622">
        <w:rPr>
          <w:rFonts w:cs="Times New Roman"/>
        </w:rPr>
        <w:fldChar w:fldCharType="begin"/>
      </w:r>
      <w:r w:rsidR="00AC248F">
        <w:rPr>
          <w:rFonts w:cs="Times New Roman"/>
        </w:rPr>
        <w:instrText xml:space="preserve"> ADDIN ZOTERO_ITEM CSL_CITATION {"citationID":"ALITffxV","properties":{"formattedCitation":"[41]","plainCitation":"[41]"},"citationItems":[{"id":3690,"uris":["http://zotero.org/groups/271383/items/T8FN2K4V"],"uri":["http://zotero.org/groups/271383/items/T8FN2K4V"],"itemData":{"id":3690,"type":"report","title":"Gross employment from renewable energy in Germany in 2013. A first estimate","publisher":"Research project commissioned by the Federal Ministry for Economic Affairs and Energy","author":[{"family":"O’Sullivan","given":"M."},{"family":"Edler","given":"Dietmar"},{"family":"Bickel","given":"P."},{"family":"Lehr","given":"U."},{"family":"Peter","given":"F."},{"family":"Sakowski","given":"F."}],"issued":{"date-parts":[["2014"]]}}}],"schema":"https://github.com/citation-style-language/schema/raw/master/csl-citation.json"} </w:instrText>
      </w:r>
      <w:r w:rsidR="003C0622">
        <w:rPr>
          <w:rFonts w:cs="Times New Roman"/>
        </w:rPr>
        <w:fldChar w:fldCharType="separate"/>
      </w:r>
      <w:r w:rsidR="00AC248F" w:rsidRPr="00AC248F">
        <w:rPr>
          <w:rFonts w:cs="Times New Roman"/>
        </w:rPr>
        <w:t>[41]</w:t>
      </w:r>
      <w:r w:rsidR="003C0622">
        <w:rPr>
          <w:rFonts w:cs="Times New Roman"/>
        </w:rPr>
        <w:fldChar w:fldCharType="end"/>
      </w:r>
      <w:r w:rsidRPr="004A1AB3">
        <w:rPr>
          <w:rFonts w:cs="Times New Roman"/>
        </w:rPr>
        <w:t xml:space="preserve"> have pointed out that the promotion of renewable energy </w:t>
      </w:r>
      <w:r w:rsidR="002218F8">
        <w:rPr>
          <w:rFonts w:cs="Times New Roman"/>
        </w:rPr>
        <w:t xml:space="preserve">supports </w:t>
      </w:r>
      <w:r w:rsidRPr="004A1AB3">
        <w:rPr>
          <w:rFonts w:cs="Times New Roman"/>
        </w:rPr>
        <w:t>not only the creation of jobs in the short</w:t>
      </w:r>
      <w:r w:rsidR="00BF5048">
        <w:rPr>
          <w:rFonts w:cs="Times New Roman"/>
        </w:rPr>
        <w:t xml:space="preserve"> to </w:t>
      </w:r>
      <w:r w:rsidRPr="004A1AB3">
        <w:rPr>
          <w:rFonts w:cs="Times New Roman"/>
        </w:rPr>
        <w:t>medium term, but</w:t>
      </w:r>
      <w:r w:rsidR="002218F8">
        <w:rPr>
          <w:rFonts w:cs="Times New Roman"/>
        </w:rPr>
        <w:t xml:space="preserve"> also</w:t>
      </w:r>
      <w:r w:rsidRPr="004A1AB3">
        <w:rPr>
          <w:rFonts w:cs="Times New Roman"/>
        </w:rPr>
        <w:t xml:space="preserve"> the development of a globally competitive industry in the longer term. </w:t>
      </w:r>
      <w:r w:rsidR="00022E7E">
        <w:rPr>
          <w:rFonts w:cs="Times New Roman"/>
        </w:rPr>
        <w:t>These new industries</w:t>
      </w:r>
      <w:r w:rsidRPr="004A1AB3">
        <w:rPr>
          <w:rFonts w:cs="Times New Roman"/>
        </w:rPr>
        <w:t xml:space="preserve"> (like the renewable energy industry)</w:t>
      </w:r>
      <w:r w:rsidR="00022E7E">
        <w:rPr>
          <w:rFonts w:cs="Times New Roman"/>
        </w:rPr>
        <w:t>, which</w:t>
      </w:r>
      <w:r w:rsidRPr="004A1AB3">
        <w:rPr>
          <w:rFonts w:cs="Times New Roman"/>
        </w:rPr>
        <w:t xml:space="preserve"> are knowledge-intensive</w:t>
      </w:r>
      <w:r w:rsidR="00022E7E">
        <w:rPr>
          <w:rFonts w:cs="Times New Roman"/>
        </w:rPr>
        <w:t>,</w:t>
      </w:r>
      <w:r w:rsidRPr="004A1AB3">
        <w:rPr>
          <w:rFonts w:cs="Times New Roman"/>
        </w:rPr>
        <w:t xml:space="preserve"> enable leading countries to maintain first-</w:t>
      </w:r>
      <w:r w:rsidR="00022E7E">
        <w:rPr>
          <w:rFonts w:cs="Times New Roman"/>
        </w:rPr>
        <w:t xml:space="preserve">mover advantages </w:t>
      </w:r>
      <w:r w:rsidR="002218F8">
        <w:rPr>
          <w:rFonts w:cs="Times New Roman"/>
        </w:rPr>
        <w:t xml:space="preserve">for </w:t>
      </w:r>
      <w:r w:rsidR="00022E7E">
        <w:rPr>
          <w:rFonts w:cs="Times New Roman"/>
        </w:rPr>
        <w:t>longer, since</w:t>
      </w:r>
      <w:r w:rsidRPr="004A1AB3">
        <w:rPr>
          <w:rFonts w:cs="Times New Roman"/>
        </w:rPr>
        <w:t xml:space="preserve"> competition via </w:t>
      </w:r>
      <w:r w:rsidR="00022E7E">
        <w:rPr>
          <w:rFonts w:cs="Times New Roman"/>
        </w:rPr>
        <w:t xml:space="preserve">labour </w:t>
      </w:r>
      <w:r w:rsidRPr="004A1AB3">
        <w:rPr>
          <w:rFonts w:cs="Times New Roman"/>
        </w:rPr>
        <w:t>cost</w:t>
      </w:r>
      <w:r w:rsidR="00022E7E">
        <w:rPr>
          <w:rFonts w:cs="Times New Roman"/>
        </w:rPr>
        <w:t>s</w:t>
      </w:r>
      <w:r w:rsidRPr="004A1AB3">
        <w:rPr>
          <w:rFonts w:cs="Times New Roman"/>
        </w:rPr>
        <w:t xml:space="preserve"> is not </w:t>
      </w:r>
      <w:r w:rsidR="00022E7E">
        <w:rPr>
          <w:rFonts w:cs="Times New Roman"/>
        </w:rPr>
        <w:t>feasible in many cases</w:t>
      </w:r>
      <w:r w:rsidRPr="004A1AB3">
        <w:rPr>
          <w:rFonts w:cs="Times New Roman"/>
        </w:rPr>
        <w:t xml:space="preserve">, </w:t>
      </w:r>
      <w:r w:rsidR="00022E7E">
        <w:rPr>
          <w:rFonts w:cs="Times New Roman"/>
        </w:rPr>
        <w:t>which</w:t>
      </w:r>
      <w:r w:rsidRPr="004A1AB3">
        <w:rPr>
          <w:rFonts w:cs="Times New Roman"/>
        </w:rPr>
        <w:t xml:space="preserve"> limits the possibilities of </w:t>
      </w:r>
      <w:r w:rsidRPr="00022E7E">
        <w:rPr>
          <w:rFonts w:cs="Times New Roman"/>
        </w:rPr>
        <w:t xml:space="preserve">relocation </w:t>
      </w:r>
      <w:r w:rsidR="003C0622" w:rsidRPr="00022E7E">
        <w:rPr>
          <w:rFonts w:cs="Times New Roman"/>
        </w:rPr>
        <w:fldChar w:fldCharType="begin"/>
      </w:r>
      <w:r w:rsidR="00AC248F">
        <w:rPr>
          <w:rFonts w:cs="Times New Roman"/>
        </w:rPr>
        <w:instrText xml:space="preserve"> ADDIN ZOTERO_ITEM CSL_CITATION {"citationID":"mcWz2N8h","properties":{"formattedCitation":"[42], [43]","plainCitation":"[42], [43]"},"citationItems":[{"id":3691,"uris":["http://zotero.org/groups/271383/items/GNZMVHQ4"],"uri":["http://zotero.org/groups/271383/items/GNZMVHQ4"],"itemData":{"id":3691,"type":"article-journal","title":"Benchmarking green innovation","container-title":"Mineral Economics","page":"79-101","volume":"24","issue":"2-3","source":"link.springer.com","abstract":"Competences for green technologies in Newly Industrializing Countries (NICs) are becoming increasingly urgent from a global perspective. We define NIC as countries which undergo rapid economic growth with a corresponding change in economic structure from mostly agricultural societies to a society dominated by the industrial sector and increasing services. Green technologies open up opportunities for reducing emissions; the prospect of exporting them can provide incentives for NICs to develop them as key technologies for their economies. In addition, this could trigger further demand for green technologies in both low-income economies and traditional member countries of the Organization for Economic Co-operation and Development (OECD). In order to assess the challenges associated with this, a benchmarking exercise is performed and its benefits and limitations discussed. From a conceptual point of view, technological benchmarking of green technologies (sustainability benchmarking) can be distinguished from capability benchmarking. For both types of benchmarking, a top–down perspective (overall level of the economy) and a sectoral bottom–up perspective (focusing on the important field of industrial energy efficiency technologies) is taken. Traditional OECD countries and Newly Industrializing Countries are benchmarked in this process, complemented with a look, in selected cases, to low-income economies. We focus on energy-related green technologies though a broader view occurs also on other green technologies like material efficiency or water efficiency. The empirical analysis shows a wide range of results. From a top–down view, it can be seen that some NICs have been catching up and are in the same benchmark clusters as a variety of traditional OECD countries. In the more detailed bottom–up view, this trend is also starting for industrial energy efficiency technologies; however it is not as pronounced yet, as on the more aggregated level of all green technologies. The comparisons between capability benchmarking and sustainability benchmarking show some parallels, but also differences. By and large, countries with a higher capability are also receiving a higher evaluation with regard to sustainability benchmarking. However, the variations within each capability cluster and group also show that other factors are important. Looking into these factors and their role for explaining the differences and dynamics for green innovation, provides room for further research.","DOI":"10.1007/s13563-012-0016-y","ISSN":"2191-2203, 2191-2211","journalAbbreviation":"Miner Econ","language":"en","author":[{"family":"Walz","given":"Rainer"},{"family":"Eichhammer","given":"Wolfgang"}],"issued":{"date-parts":[["2012",2,28]]}}},{"id":3694,"uris":["http://zotero.org/groups/271383/items/ZVQUF9E5"],"uri":["http://zotero.org/groups/271383/items/ZVQUF9E5"],"itemData":{"id":3694,"type":"article-journal","title":"Technology-specific absorptive capacities for green technologies in Newly Industrialising Countries","container-title":"International Journal of Technology and Globalisation","page":"212-229","volume":"5","issue":"3-4","source":"inderscienceonline.com (Atypon)","abstract":"Technological competences in the sustainability fields are a key indicator for the absorptive capacity of sustainability technologies and for the ability to export them. International publications, transnational patents and successes in foreign trade indicate to what extent a country is already able to participate in global technology markets. The analysed NICs can be grouped into four country clusters with different levels of absorptive capacities for green technologies. The resulting pattern shows various strengths and weaknesses of the analysed countries. There is a strong need for strategic positioning of the countries and for coordination of the various policy fields involved.","DOI":"10.1504/IJTG.2011.039765","ISSN":"1476-5667","journalAbbreviation":"International Journal of Technology and Globalisation","author":[{"family":"Walz","given":"Rainer"},{"family":"Marscheider-Weidemann","given":"Frank"}],"issued":{"date-parts":[["2011",1,1]]}}}],"schema":"https://github.com/citation-style-language/schema/raw/master/csl-citation.json"} </w:instrText>
      </w:r>
      <w:r w:rsidR="003C0622" w:rsidRPr="00022E7E">
        <w:rPr>
          <w:rFonts w:cs="Times New Roman"/>
        </w:rPr>
        <w:fldChar w:fldCharType="separate"/>
      </w:r>
      <w:r w:rsidR="00AC248F" w:rsidRPr="00AC248F">
        <w:rPr>
          <w:rFonts w:cs="Times New Roman"/>
        </w:rPr>
        <w:t>[42], [43]</w:t>
      </w:r>
      <w:r w:rsidR="003C0622" w:rsidRPr="00022E7E">
        <w:rPr>
          <w:rFonts w:cs="Times New Roman"/>
        </w:rPr>
        <w:fldChar w:fldCharType="end"/>
      </w:r>
      <w:r w:rsidRPr="00022E7E">
        <w:rPr>
          <w:rFonts w:cs="Times New Roman"/>
        </w:rPr>
        <w:t xml:space="preserve">. Hence, certain export-oriented countries have </w:t>
      </w:r>
      <w:r w:rsidR="002218F8">
        <w:rPr>
          <w:rFonts w:cs="Times New Roman"/>
        </w:rPr>
        <w:t xml:space="preserve">created </w:t>
      </w:r>
      <w:r w:rsidRPr="00022E7E">
        <w:rPr>
          <w:rFonts w:cs="Times New Roman"/>
        </w:rPr>
        <w:t xml:space="preserve">enabling environments (via </w:t>
      </w:r>
      <w:r w:rsidR="001A265B">
        <w:rPr>
          <w:rFonts w:cs="Times New Roman"/>
        </w:rPr>
        <w:t xml:space="preserve">economic </w:t>
      </w:r>
      <w:r w:rsidRPr="00022E7E">
        <w:rPr>
          <w:rFonts w:cs="Times New Roman"/>
        </w:rPr>
        <w:t>instruments, regulations, etc</w:t>
      </w:r>
      <w:r w:rsidRPr="004A1AB3">
        <w:rPr>
          <w:rFonts w:cs="Times New Roman"/>
        </w:rPr>
        <w:t xml:space="preserve">.) for the development of these industries, with the hope that </w:t>
      </w:r>
      <w:r w:rsidRPr="004A1AB3">
        <w:rPr>
          <w:rFonts w:cs="Times New Roman"/>
        </w:rPr>
        <w:lastRenderedPageBreak/>
        <w:t xml:space="preserve">other countries will follow the promotion of these technologies, becoming new markets for the domestic industry </w:t>
      </w:r>
      <w:r w:rsidR="003C0622">
        <w:rPr>
          <w:rFonts w:cs="Times New Roman"/>
        </w:rPr>
        <w:fldChar w:fldCharType="begin"/>
      </w:r>
      <w:r w:rsidR="00AC248F">
        <w:rPr>
          <w:rFonts w:cs="Times New Roman"/>
        </w:rPr>
        <w:instrText xml:space="preserve"> ADDIN ZOTERO_ITEM CSL_CITATION {"citationID":"acOmSytY","properties":{"formattedCitation":"[44]","plainCitation":"[44]"},"citationItems":[{"id":3689,"uris":["http://zotero.org/groups/271383/items/BWPVNQ2B"],"uri":["http://zotero.org/groups/271383/items/BWPVNQ2B"],"itemData":{"id":3689,"type":"report","title":"Employment and growth effects of sustainable energies in the European Union. Final report","publisher":"Fraunhofer-ISI","publisher-place":"Karlsruhe, Germany","event-place":"Karlsruhe, Germany","author":[{"family":"Duscha","given":"V."},{"family":"Ragwitz","given":"M."},{"family":"Breitschopf","given":"B."},{"family":"Schade","given":"W."},{"family":"Walz","given":"R."},{"family":"Pfaff","given":"M."},{"family":"Visser","given":"E.","non-dropping-particle":"de"},{"family":"Resch","given":"G."},{"family":"Nathani","given":"C."},{"family":"Zagamé","given":"P."},{"family":"Fougeyrollas","given":"A."},{"family":"Boitier","given":"B."}],"issued":{"date-parts":[["2014"]]}}}],"schema":"https://github.com/citation-style-language/schema/raw/master/csl-citation.json"} </w:instrText>
      </w:r>
      <w:r w:rsidR="003C0622">
        <w:rPr>
          <w:rFonts w:cs="Times New Roman"/>
        </w:rPr>
        <w:fldChar w:fldCharType="separate"/>
      </w:r>
      <w:r w:rsidR="00AC248F" w:rsidRPr="00AC248F">
        <w:rPr>
          <w:rFonts w:cs="Times New Roman"/>
        </w:rPr>
        <w:t>[44]</w:t>
      </w:r>
      <w:r w:rsidR="003C0622">
        <w:rPr>
          <w:rFonts w:cs="Times New Roman"/>
        </w:rPr>
        <w:fldChar w:fldCharType="end"/>
      </w:r>
      <w:r w:rsidRPr="004A1AB3">
        <w:rPr>
          <w:rFonts w:cs="Times New Roman"/>
        </w:rPr>
        <w:t>. Our results about the relevance of spill-over</w:t>
      </w:r>
      <w:r>
        <w:rPr>
          <w:rFonts w:cs="Times New Roman"/>
        </w:rPr>
        <w:t xml:space="preserve"> effects</w:t>
      </w:r>
      <w:r w:rsidRPr="004A1AB3">
        <w:rPr>
          <w:rFonts w:cs="Times New Roman"/>
        </w:rPr>
        <w:t xml:space="preserve"> </w:t>
      </w:r>
      <w:r w:rsidR="00BF5048">
        <w:rPr>
          <w:rFonts w:cs="Times New Roman"/>
        </w:rPr>
        <w:t xml:space="preserve">partly </w:t>
      </w:r>
      <w:r w:rsidRPr="004A1AB3">
        <w:rPr>
          <w:rFonts w:cs="Times New Roman"/>
        </w:rPr>
        <w:t xml:space="preserve">corroborate </w:t>
      </w:r>
      <w:r w:rsidR="00BF5048">
        <w:rPr>
          <w:rFonts w:cs="Times New Roman"/>
        </w:rPr>
        <w:t xml:space="preserve">this and suggest the </w:t>
      </w:r>
      <w:r w:rsidRPr="004A1AB3">
        <w:rPr>
          <w:rFonts w:cs="Times New Roman"/>
        </w:rPr>
        <w:t>strategy makes sense</w:t>
      </w:r>
      <w:r>
        <w:rPr>
          <w:rFonts w:cs="Times New Roman"/>
        </w:rPr>
        <w:t xml:space="preserve">, since </w:t>
      </w:r>
      <w:r w:rsidRPr="004A1AB3">
        <w:rPr>
          <w:rFonts w:cs="Times New Roman"/>
        </w:rPr>
        <w:t>changes in the energy mix of some countries benefit other countries involved in the production of renewable energy-related goods and services.</w:t>
      </w:r>
    </w:p>
    <w:p w:rsidR="00AA22AC" w:rsidRDefault="008D7515" w:rsidP="00AA22AC">
      <w:pPr>
        <w:spacing w:after="0"/>
        <w:rPr>
          <w:rFonts w:cs="Times New Roman"/>
        </w:rPr>
      </w:pPr>
      <w:r w:rsidRPr="008D7515">
        <w:rPr>
          <w:rFonts w:cs="Times New Roman"/>
        </w:rPr>
        <w:t>The analysis also shows which trading partners gain</w:t>
      </w:r>
      <w:r w:rsidR="006D64C7">
        <w:rPr>
          <w:rFonts w:cs="Times New Roman"/>
        </w:rPr>
        <w:t>ed</w:t>
      </w:r>
      <w:r w:rsidRPr="008D7515">
        <w:rPr>
          <w:rFonts w:cs="Times New Roman"/>
        </w:rPr>
        <w:t xml:space="preserve"> and los</w:t>
      </w:r>
      <w:r w:rsidR="006D64C7">
        <w:rPr>
          <w:rFonts w:cs="Times New Roman"/>
        </w:rPr>
        <w:t>t in employment terms</w:t>
      </w:r>
      <w:r w:rsidRPr="008D7515">
        <w:rPr>
          <w:rFonts w:cs="Times New Roman"/>
        </w:rPr>
        <w:t xml:space="preserve"> as a result of the </w:t>
      </w:r>
      <w:r w:rsidR="005D204E">
        <w:rPr>
          <w:rFonts w:cs="Times New Roman"/>
        </w:rPr>
        <w:t>structural</w:t>
      </w:r>
      <w:r w:rsidRPr="008D7515">
        <w:rPr>
          <w:rFonts w:cs="Times New Roman"/>
        </w:rPr>
        <w:t xml:space="preserve"> changes. In this case</w:t>
      </w:r>
      <w:r w:rsidR="005D204E">
        <w:rPr>
          <w:rFonts w:cs="Times New Roman"/>
        </w:rPr>
        <w:t>,</w:t>
      </w:r>
      <w:r w:rsidRPr="008D7515">
        <w:rPr>
          <w:rFonts w:cs="Times New Roman"/>
        </w:rPr>
        <w:t xml:space="preserve"> </w:t>
      </w:r>
      <w:r w:rsidR="00AA22AC" w:rsidRPr="008D7515">
        <w:rPr>
          <w:rFonts w:cs="Times New Roman"/>
        </w:rPr>
        <w:t xml:space="preserve">Russia </w:t>
      </w:r>
      <w:r w:rsidRPr="008D7515">
        <w:rPr>
          <w:rFonts w:cs="Times New Roman"/>
        </w:rPr>
        <w:t xml:space="preserve">was a major beneficiary </w:t>
      </w:r>
      <w:r w:rsidR="00AA22AC" w:rsidRPr="008D7515">
        <w:rPr>
          <w:rFonts w:cs="Times New Roman"/>
        </w:rPr>
        <w:t xml:space="preserve">due to the increase in the use of </w:t>
      </w:r>
      <w:r w:rsidR="00603C18">
        <w:rPr>
          <w:rFonts w:cs="Times New Roman"/>
        </w:rPr>
        <w:t>g</w:t>
      </w:r>
      <w:r w:rsidR="00AA22AC" w:rsidRPr="008D7515">
        <w:rPr>
          <w:rFonts w:cs="Times New Roman"/>
        </w:rPr>
        <w:t xml:space="preserve">as in the </w:t>
      </w:r>
      <w:r w:rsidR="000D1107">
        <w:rPr>
          <w:rFonts w:cs="Times New Roman"/>
        </w:rPr>
        <w:t>electricity and gas supply</w:t>
      </w:r>
      <w:r w:rsidR="00457CC0">
        <w:rPr>
          <w:rFonts w:cs="Times New Roman"/>
        </w:rPr>
        <w:t xml:space="preserve"> sector</w:t>
      </w:r>
      <w:r w:rsidRPr="008D7515">
        <w:rPr>
          <w:rFonts w:cs="Times New Roman"/>
        </w:rPr>
        <w:t>, while</w:t>
      </w:r>
      <w:r w:rsidR="00AA22AC" w:rsidRPr="008D7515">
        <w:rPr>
          <w:rFonts w:cs="Times New Roman"/>
        </w:rPr>
        <w:t xml:space="preserve"> Australia </w:t>
      </w:r>
      <w:r w:rsidRPr="008D7515">
        <w:rPr>
          <w:rFonts w:cs="Times New Roman"/>
        </w:rPr>
        <w:t xml:space="preserve">was a loser </w:t>
      </w:r>
      <w:r w:rsidR="001A265B">
        <w:rPr>
          <w:rFonts w:cs="Times New Roman"/>
        </w:rPr>
        <w:t>due to the</w:t>
      </w:r>
      <w:r w:rsidRPr="008D7515">
        <w:rPr>
          <w:rFonts w:cs="Times New Roman"/>
        </w:rPr>
        <w:t xml:space="preserve"> </w:t>
      </w:r>
      <w:r w:rsidR="00AA22AC" w:rsidRPr="008D7515">
        <w:rPr>
          <w:rFonts w:cs="Times New Roman"/>
        </w:rPr>
        <w:t xml:space="preserve">negative effect </w:t>
      </w:r>
      <w:r w:rsidRPr="008D7515">
        <w:rPr>
          <w:rFonts w:cs="Times New Roman"/>
        </w:rPr>
        <w:t xml:space="preserve">of </w:t>
      </w:r>
      <w:r w:rsidR="001A265B">
        <w:rPr>
          <w:rFonts w:cs="Times New Roman"/>
        </w:rPr>
        <w:t>the</w:t>
      </w:r>
      <w:r w:rsidRPr="008D7515">
        <w:rPr>
          <w:rFonts w:cs="Times New Roman"/>
        </w:rPr>
        <w:t xml:space="preserve"> fall in</w:t>
      </w:r>
      <w:r w:rsidR="001A265B">
        <w:rPr>
          <w:rFonts w:cs="Times New Roman"/>
        </w:rPr>
        <w:t xml:space="preserve"> the</w:t>
      </w:r>
      <w:r w:rsidRPr="008D7515">
        <w:rPr>
          <w:rFonts w:cs="Times New Roman"/>
        </w:rPr>
        <w:t xml:space="preserve"> demand for coal.</w:t>
      </w:r>
    </w:p>
    <w:p w:rsidR="008D7515" w:rsidRDefault="005B3269" w:rsidP="004F03CB">
      <w:pPr>
        <w:rPr>
          <w:rFonts w:eastAsia="Times New Roman" w:cs="Times New Roman"/>
          <w:lang w:val="en-US"/>
        </w:rPr>
      </w:pPr>
      <w:r>
        <w:rPr>
          <w:rFonts w:eastAsia="Times New Roman" w:cs="Times New Roman"/>
          <w:lang w:val="en-US"/>
        </w:rPr>
        <w:t>Finally and in conclusion, o</w:t>
      </w:r>
      <w:r w:rsidR="003A4C9A" w:rsidRPr="008D7515">
        <w:rPr>
          <w:rFonts w:eastAsia="Times New Roman" w:cs="Times New Roman"/>
          <w:lang w:val="en-US"/>
        </w:rPr>
        <w:t xml:space="preserve">ur results support a relatively positive </w:t>
      </w:r>
      <w:r>
        <w:rPr>
          <w:rFonts w:eastAsia="Times New Roman" w:cs="Times New Roman"/>
          <w:lang w:val="en-US"/>
        </w:rPr>
        <w:t xml:space="preserve">impact on employment from historical deployment of renewables and gas in the </w:t>
      </w:r>
      <w:r w:rsidR="00010B5B">
        <w:rPr>
          <w:rFonts w:eastAsia="Times New Roman" w:cs="Times New Roman"/>
          <w:lang w:val="en-US"/>
        </w:rPr>
        <w:t>EU</w:t>
      </w:r>
      <w:r>
        <w:rPr>
          <w:rFonts w:eastAsia="Times New Roman" w:cs="Times New Roman"/>
          <w:lang w:val="en-US"/>
        </w:rPr>
        <w:t xml:space="preserve">. </w:t>
      </w:r>
      <w:r w:rsidR="003A4C9A" w:rsidRPr="008D7515">
        <w:rPr>
          <w:rFonts w:eastAsia="Times New Roman" w:cs="Times New Roman"/>
          <w:lang w:val="en-US"/>
        </w:rPr>
        <w:t>Given our findings</w:t>
      </w:r>
      <w:r w:rsidR="00603C18">
        <w:rPr>
          <w:rFonts w:eastAsia="Times New Roman" w:cs="Times New Roman"/>
          <w:lang w:val="en-US"/>
        </w:rPr>
        <w:t>,</w:t>
      </w:r>
      <w:r>
        <w:rPr>
          <w:rFonts w:eastAsia="Times New Roman" w:cs="Times New Roman"/>
          <w:lang w:val="en-US"/>
        </w:rPr>
        <w:t xml:space="preserve"> the forward looking </w:t>
      </w:r>
      <w:r w:rsidR="008F306E">
        <w:rPr>
          <w:rFonts w:eastAsia="Times New Roman" w:cs="Times New Roman"/>
          <w:lang w:val="en-US"/>
        </w:rPr>
        <w:t>estimates for the EU</w:t>
      </w:r>
      <w:r w:rsidR="006520AB">
        <w:rPr>
          <w:rFonts w:eastAsia="Times New Roman" w:cs="Times New Roman"/>
          <w:lang w:val="en-US"/>
        </w:rPr>
        <w:t xml:space="preserve"> </w:t>
      </w:r>
      <w:r w:rsidR="003C0622" w:rsidRPr="008D7515">
        <w:rPr>
          <w:rFonts w:eastAsia="Times New Roman" w:cs="Times New Roman"/>
          <w:lang w:val="en-US"/>
        </w:rPr>
        <w:fldChar w:fldCharType="begin"/>
      </w:r>
      <w:r w:rsidR="00D36FFD">
        <w:rPr>
          <w:rFonts w:eastAsia="Times New Roman" w:cs="Times New Roman"/>
          <w:lang w:val="en-US"/>
        </w:rPr>
        <w:instrText xml:space="preserve"> ADDIN ZOTERO_ITEM CSL_CITATION {"citationID":"i7wwTHH9","properties":{"formattedCitation":"[9]","plainCitation":"[9]"},"citationItems":[{"id":3220,"uris":["http://zotero.org/groups/271383/items/4I6DEDEH"],"uri":["http://zotero.org/groups/271383/items/4I6DEDEH"],"itemData":{"id":3220,"type":"article","title":"EmployRES - The impact of renewable energy policy on economic growth and employment in the European Union, Final Report","publisher":"European Commission, DG Energy and Transport","author":[{"family":"Ragwitz","given":"M."},{"family":"Schade","given":"W."},{"family":"Breischopf","given":"B."},{"family":"Walz","given":"R."},{"family":"Helfrich","given":"N."},{"family":"Rathmann","given":"M."},{"family":"Resch","given":"G."},{"family":"Panzer","given":"C."},{"family":"Faber","given":"T."},{"family":"Haas","given":"R."},{"family":"Nathani","given":"C."},{"family":"Holzhey","given":"M."},{"family":"Konstantinaviciute","given":"I."},{"family":"Zagame","given":"P."},{"family":"Fougeyrollas","given":"A."},{"family":"Le Hir","given":"B."}],"issued":{"date-parts":[["2009"]]}}}],"schema":"https://github.com/citation-style-language/schema/raw/master/csl-citation.json"} </w:instrText>
      </w:r>
      <w:r w:rsidR="003C0622" w:rsidRPr="008D7515">
        <w:rPr>
          <w:rFonts w:eastAsia="Times New Roman" w:cs="Times New Roman"/>
          <w:lang w:val="en-US"/>
        </w:rPr>
        <w:fldChar w:fldCharType="separate"/>
      </w:r>
      <w:r w:rsidR="00D36FFD" w:rsidRPr="00D36FFD">
        <w:rPr>
          <w:rFonts w:cs="Times New Roman"/>
        </w:rPr>
        <w:t>[9]</w:t>
      </w:r>
      <w:r w:rsidR="003C0622" w:rsidRPr="008D7515">
        <w:rPr>
          <w:rFonts w:eastAsia="Times New Roman" w:cs="Times New Roman"/>
          <w:lang w:val="en-US"/>
        </w:rPr>
        <w:fldChar w:fldCharType="end"/>
      </w:r>
      <w:r w:rsidR="00927AA5" w:rsidRPr="008D7515">
        <w:rPr>
          <w:rFonts w:eastAsia="Times New Roman" w:cs="Times New Roman"/>
          <w:lang w:val="en-US"/>
        </w:rPr>
        <w:t xml:space="preserve"> </w:t>
      </w:r>
      <w:r w:rsidR="003A4C9A" w:rsidRPr="008D7515">
        <w:rPr>
          <w:rFonts w:eastAsia="Times New Roman" w:cs="Times New Roman"/>
          <w:lang w:val="en-US"/>
        </w:rPr>
        <w:t xml:space="preserve">and </w:t>
      </w:r>
      <w:r w:rsidR="003C0622" w:rsidRPr="008D7515">
        <w:rPr>
          <w:rFonts w:eastAsia="Times New Roman" w:cs="Times New Roman"/>
          <w:lang w:val="en-US"/>
        </w:rPr>
        <w:fldChar w:fldCharType="begin"/>
      </w:r>
      <w:r w:rsidR="00D36FFD">
        <w:rPr>
          <w:rFonts w:eastAsia="Times New Roman" w:cs="Times New Roman"/>
          <w:lang w:val="en-US"/>
        </w:rPr>
        <w:instrText xml:space="preserve"> ADDIN ZOTERO_ITEM CSL_CITATION {"citationID":"2z7nhckB","properties":{"formattedCitation":"[10]","plainCitation":"[10]"},"citationItems":[{"id":3214,"uris":["http://zotero.org/groups/271383/items/HX9JE4FJ"],"uri":["http://zotero.org/groups/271383/items/HX9JE4FJ"],"itemData":{"id":3214,"type":"article","title":"Employment effects of selected scenarios from the energy roadmap 2050. Final report for the European Commission (DG Energy)","publisher":"Cambridge Econometrics","author":[{"family":"Cambridge Econometrics","given":""}],"issued":{"date-parts":[["2013"]]}}}],"schema":"https://github.com/citation-style-language/schema/raw/master/csl-citation.json"} </w:instrText>
      </w:r>
      <w:r w:rsidR="003C0622" w:rsidRPr="008D7515">
        <w:rPr>
          <w:rFonts w:eastAsia="Times New Roman" w:cs="Times New Roman"/>
          <w:lang w:val="en-US"/>
        </w:rPr>
        <w:fldChar w:fldCharType="separate"/>
      </w:r>
      <w:r w:rsidR="00D36FFD" w:rsidRPr="00D36FFD">
        <w:rPr>
          <w:rFonts w:cs="Times New Roman"/>
        </w:rPr>
        <w:t>[10]</w:t>
      </w:r>
      <w:r w:rsidR="003C0622" w:rsidRPr="008D7515">
        <w:rPr>
          <w:rFonts w:eastAsia="Times New Roman" w:cs="Times New Roman"/>
          <w:lang w:val="en-US"/>
        </w:rPr>
        <w:fldChar w:fldCharType="end"/>
      </w:r>
      <w:r w:rsidR="003A4C9A" w:rsidRPr="008D7515">
        <w:rPr>
          <w:rFonts w:eastAsia="Times New Roman" w:cs="Times New Roman"/>
          <w:lang w:val="en-US"/>
        </w:rPr>
        <w:t xml:space="preserve"> do not appear to be overly optimistic.</w:t>
      </w:r>
      <w:r w:rsidR="004315BF" w:rsidRPr="008D7515">
        <w:rPr>
          <w:rFonts w:eastAsia="Times New Roman" w:cs="Times New Roman"/>
          <w:lang w:val="en-US"/>
        </w:rPr>
        <w:t xml:space="preserve"> </w:t>
      </w:r>
      <w:r w:rsidR="00580CFF" w:rsidRPr="008D7515">
        <w:rPr>
          <w:rFonts w:eastAsia="Times New Roman" w:cs="Times New Roman"/>
          <w:lang w:val="en-US"/>
        </w:rPr>
        <w:t>Of course a direct comparison is not possible as the changes being compared are different</w:t>
      </w:r>
      <w:r w:rsidR="00580CFF">
        <w:rPr>
          <w:rFonts w:eastAsia="Times New Roman" w:cs="Times New Roman"/>
          <w:lang w:val="en-US"/>
        </w:rPr>
        <w:t>,</w:t>
      </w:r>
      <w:r w:rsidR="00580CFF" w:rsidRPr="008D7515">
        <w:rPr>
          <w:rFonts w:eastAsia="Times New Roman" w:cs="Times New Roman"/>
          <w:lang w:val="en-US"/>
        </w:rPr>
        <w:t xml:space="preserve"> but an overall picture of a small gain in employment from the technology shifts involved in moving to a lower carbon future is probably righ</w:t>
      </w:r>
      <w:r w:rsidR="00580CFF">
        <w:rPr>
          <w:rFonts w:eastAsia="Times New Roman" w:cs="Times New Roman"/>
          <w:lang w:val="en-US"/>
        </w:rPr>
        <w:t>t.</w:t>
      </w:r>
    </w:p>
    <w:p w:rsidR="009A0028" w:rsidRPr="004F03CB" w:rsidRDefault="009A0028" w:rsidP="009A0028">
      <w:pPr>
        <w:rPr>
          <w:rFonts w:eastAsia="Times New Roman" w:cs="Times New Roman"/>
          <w:b/>
          <w:lang w:val="en-US"/>
        </w:rPr>
      </w:pPr>
      <w:r>
        <w:rPr>
          <w:rFonts w:eastAsia="Times New Roman" w:cs="Times New Roman"/>
          <w:b/>
          <w:lang w:val="en-US"/>
        </w:rPr>
        <w:t>Glossary</w:t>
      </w:r>
    </w:p>
    <w:p w:rsidR="009E568C" w:rsidRPr="008B4F8E" w:rsidRDefault="009E568C" w:rsidP="008B4F8E">
      <w:pPr>
        <w:rPr>
          <w:rFonts w:eastAsia="Times New Roman" w:cs="Times New Roman"/>
          <w:lang w:val="en-US"/>
        </w:rPr>
      </w:pPr>
      <w:r w:rsidRPr="008B4F8E">
        <w:rPr>
          <w:rFonts w:eastAsia="Times New Roman" w:cs="Times New Roman"/>
          <w:lang w:val="en-US"/>
        </w:rPr>
        <w:t>Multiregional input-output model:</w:t>
      </w:r>
      <w:r>
        <w:rPr>
          <w:rFonts w:eastAsia="Times New Roman" w:cs="Times New Roman"/>
          <w:lang w:val="en-US"/>
        </w:rPr>
        <w:t xml:space="preserve"> Quantitative representation of the interdependencies of sectors and final users from many countries or regions. The single region model was proposed by </w:t>
      </w:r>
      <w:proofErr w:type="spellStart"/>
      <w:r w:rsidRPr="008B4F8E">
        <w:rPr>
          <w:lang/>
        </w:rPr>
        <w:t>Wassily</w:t>
      </w:r>
      <w:proofErr w:type="spellEnd"/>
      <w:r w:rsidRPr="008B4F8E">
        <w:rPr>
          <w:lang/>
        </w:rPr>
        <w:t xml:space="preserve"> Leontief</w:t>
      </w:r>
      <w:r>
        <w:rPr>
          <w:lang/>
        </w:rPr>
        <w:t xml:space="preserve">. The multiregional extension is </w:t>
      </w:r>
      <w:r w:rsidRPr="008B4F8E">
        <w:rPr>
          <w:rFonts w:eastAsia="Times New Roman" w:cs="Times New Roman"/>
          <w:lang w:val="en-US"/>
        </w:rPr>
        <w:t>based on the</w:t>
      </w:r>
      <w:r>
        <w:rPr>
          <w:rFonts w:eastAsia="Times New Roman" w:cs="Times New Roman"/>
          <w:lang w:val="en-US"/>
        </w:rPr>
        <w:t xml:space="preserve"> </w:t>
      </w:r>
      <w:r w:rsidRPr="008B4F8E">
        <w:rPr>
          <w:rFonts w:eastAsia="Times New Roman" w:cs="Times New Roman" w:hint="eastAsia"/>
          <w:lang w:val="en-US"/>
        </w:rPr>
        <w:t>“</w:t>
      </w:r>
      <w:r w:rsidRPr="008B4F8E">
        <w:rPr>
          <w:rFonts w:eastAsia="Times New Roman" w:cs="Times New Roman"/>
          <w:lang w:val="en-US"/>
        </w:rPr>
        <w:t>column-coefficient</w:t>
      </w:r>
      <w:r w:rsidRPr="008B4F8E">
        <w:rPr>
          <w:rFonts w:eastAsia="Times New Roman" w:cs="Times New Roman" w:hint="eastAsia"/>
          <w:lang w:val="en-US"/>
        </w:rPr>
        <w:t>”</w:t>
      </w:r>
      <w:r w:rsidRPr="008B4F8E">
        <w:rPr>
          <w:rFonts w:eastAsia="Times New Roman" w:cs="Times New Roman"/>
          <w:lang w:val="en-US"/>
        </w:rPr>
        <w:t xml:space="preserve"> model</w:t>
      </w:r>
      <w:r>
        <w:rPr>
          <w:rFonts w:eastAsia="Times New Roman" w:cs="Times New Roman"/>
          <w:lang w:val="en-US"/>
        </w:rPr>
        <w:t xml:space="preserve"> proposed by </w:t>
      </w:r>
      <w:proofErr w:type="spellStart"/>
      <w:r w:rsidRPr="008B4F8E">
        <w:rPr>
          <w:rFonts w:eastAsia="Times New Roman" w:cs="Times New Roman"/>
          <w:lang w:val="en-US"/>
        </w:rPr>
        <w:t>Chenery</w:t>
      </w:r>
      <w:proofErr w:type="spellEnd"/>
      <w:r w:rsidRPr="008B4F8E">
        <w:rPr>
          <w:rFonts w:eastAsia="Times New Roman" w:cs="Times New Roman" w:hint="eastAsia"/>
          <w:lang w:val="en-US"/>
        </w:rPr>
        <w:t>–</w:t>
      </w:r>
      <w:r w:rsidRPr="008B4F8E">
        <w:rPr>
          <w:rFonts w:eastAsia="Times New Roman" w:cs="Times New Roman"/>
          <w:lang w:val="en-US"/>
        </w:rPr>
        <w:t>Moses</w:t>
      </w:r>
      <w:r>
        <w:rPr>
          <w:rFonts w:eastAsia="Times New Roman" w:cs="Times New Roman"/>
          <w:lang w:val="en-US"/>
        </w:rPr>
        <w:t>.</w:t>
      </w:r>
      <w:r w:rsidRPr="008B4F8E">
        <w:rPr>
          <w:rFonts w:eastAsia="Times New Roman" w:cs="Times New Roman"/>
          <w:lang w:val="en-US"/>
        </w:rPr>
        <w:t xml:space="preserve"> </w:t>
      </w:r>
    </w:p>
    <w:p w:rsidR="009E568C" w:rsidRPr="008B4F8E" w:rsidRDefault="009E568C" w:rsidP="008B4F8E">
      <w:pPr>
        <w:rPr>
          <w:rFonts w:eastAsia="Times New Roman" w:cs="Times New Roman"/>
          <w:lang w:val="en-US"/>
        </w:rPr>
      </w:pPr>
      <w:r w:rsidRPr="008B4F8E">
        <w:rPr>
          <w:rFonts w:eastAsia="Times New Roman" w:cs="Times New Roman"/>
          <w:lang w:val="en-US"/>
        </w:rPr>
        <w:t xml:space="preserve">Spill-over effects: </w:t>
      </w:r>
      <w:r>
        <w:rPr>
          <w:rFonts w:eastAsia="Times New Roman" w:cs="Times New Roman"/>
          <w:lang w:val="en-US"/>
        </w:rPr>
        <w:t>E</w:t>
      </w:r>
      <w:r w:rsidRPr="008B4F8E">
        <w:rPr>
          <w:rFonts w:eastAsia="Times New Roman" w:cs="Times New Roman"/>
          <w:lang w:val="en-US"/>
        </w:rPr>
        <w:t xml:space="preserve">conomic </w:t>
      </w:r>
      <w:r>
        <w:rPr>
          <w:rFonts w:eastAsia="Times New Roman" w:cs="Times New Roman"/>
          <w:lang w:val="en-US"/>
        </w:rPr>
        <w:t>impact</w:t>
      </w:r>
      <w:r w:rsidRPr="008B4F8E">
        <w:rPr>
          <w:rFonts w:eastAsia="Times New Roman" w:cs="Times New Roman"/>
          <w:lang w:val="en-US"/>
        </w:rPr>
        <w:t xml:space="preserve"> in a </w:t>
      </w:r>
      <w:r>
        <w:rPr>
          <w:rFonts w:eastAsia="Times New Roman" w:cs="Times New Roman"/>
          <w:lang w:val="en-US"/>
        </w:rPr>
        <w:t xml:space="preserve">country or </w:t>
      </w:r>
      <w:r w:rsidRPr="008B4F8E">
        <w:rPr>
          <w:rFonts w:eastAsia="Times New Roman" w:cs="Times New Roman"/>
          <w:lang w:val="en-US"/>
        </w:rPr>
        <w:t xml:space="preserve">region </w:t>
      </w:r>
      <w:r>
        <w:rPr>
          <w:rFonts w:eastAsia="Times New Roman" w:cs="Times New Roman"/>
          <w:lang w:val="en-US"/>
        </w:rPr>
        <w:t xml:space="preserve">different from </w:t>
      </w:r>
      <w:r w:rsidRPr="008B4F8E">
        <w:rPr>
          <w:rFonts w:eastAsia="Times New Roman" w:cs="Times New Roman"/>
          <w:lang w:val="en-US"/>
        </w:rPr>
        <w:t xml:space="preserve">the one </w:t>
      </w:r>
      <w:r>
        <w:rPr>
          <w:rFonts w:eastAsia="Times New Roman" w:cs="Times New Roman"/>
          <w:lang w:val="en-US"/>
        </w:rPr>
        <w:t xml:space="preserve">where </w:t>
      </w:r>
      <w:r w:rsidRPr="008B4F8E">
        <w:rPr>
          <w:rFonts w:eastAsia="Times New Roman" w:cs="Times New Roman"/>
          <w:lang w:val="en-US"/>
        </w:rPr>
        <w:t xml:space="preserve">the exogenous </w:t>
      </w:r>
      <w:r>
        <w:rPr>
          <w:rFonts w:eastAsia="Times New Roman" w:cs="Times New Roman"/>
          <w:lang w:val="en-US"/>
        </w:rPr>
        <w:t>stimulus occurs</w:t>
      </w:r>
      <w:r w:rsidRPr="008B4F8E">
        <w:rPr>
          <w:rFonts w:eastAsia="Times New Roman" w:cs="Times New Roman"/>
          <w:lang w:val="en-US"/>
        </w:rPr>
        <w:t>.</w:t>
      </w:r>
    </w:p>
    <w:p w:rsidR="009E568C" w:rsidRDefault="009E568C" w:rsidP="004F03CB">
      <w:r>
        <w:t xml:space="preserve">Symmetric </w:t>
      </w:r>
      <w:r w:rsidR="00E26F71">
        <w:rPr>
          <w:rFonts w:eastAsia="Times New Roman" w:cs="Times New Roman"/>
          <w:lang w:val="en-US" w:eastAsia="es-ES"/>
        </w:rPr>
        <w:t>i</w:t>
      </w:r>
      <w:r w:rsidR="006B29DC">
        <w:rPr>
          <w:rFonts w:eastAsia="Times New Roman" w:cs="Times New Roman"/>
          <w:lang w:val="en-US" w:eastAsia="es-ES"/>
        </w:rPr>
        <w:t>nput-</w:t>
      </w:r>
      <w:r w:rsidR="00E26F71">
        <w:rPr>
          <w:rFonts w:eastAsia="Times New Roman" w:cs="Times New Roman"/>
          <w:lang w:val="en-US" w:eastAsia="es-ES"/>
        </w:rPr>
        <w:t>o</w:t>
      </w:r>
      <w:r w:rsidR="006B29DC">
        <w:rPr>
          <w:rFonts w:eastAsia="Times New Roman" w:cs="Times New Roman"/>
          <w:lang w:val="en-US" w:eastAsia="es-ES"/>
        </w:rPr>
        <w:t xml:space="preserve">utput </w:t>
      </w:r>
      <w:r>
        <w:t>tables</w:t>
      </w:r>
      <w:r w:rsidR="009815E2">
        <w:t>:</w:t>
      </w:r>
      <w:r w:rsidR="00535598">
        <w:t xml:space="preserve"> S</w:t>
      </w:r>
      <w:r>
        <w:t>ector-by-sector tables containing the transactions between sectors, the demand by final users and the contribution of value added components to production.</w:t>
      </w:r>
    </w:p>
    <w:p w:rsidR="00133434" w:rsidRPr="00E063B6" w:rsidRDefault="00133434" w:rsidP="004F03CB">
      <w:pPr>
        <w:rPr>
          <w:b/>
        </w:rPr>
      </w:pPr>
      <w:bookmarkStart w:id="8" w:name="_GoBack"/>
      <w:r w:rsidRPr="00E063B6">
        <w:rPr>
          <w:b/>
        </w:rPr>
        <w:t>Acknowledgements</w:t>
      </w:r>
    </w:p>
    <w:p w:rsidR="00133434" w:rsidRPr="00E063B6" w:rsidRDefault="00133434" w:rsidP="004F03CB">
      <w:pPr>
        <w:rPr>
          <w:b/>
        </w:rPr>
      </w:pPr>
      <w:r w:rsidRPr="00E063B6">
        <w:t>This work was supported by the European Union (H2020) under the grant agreement n°642260 (TRANSRISK project). Maria Victoria Román thanks the financial support from the Research Council of Norway (CICEP project). We also thank financial support from Science and Innovation Ministry of Spain (ECO2015-68023) and Basque Government (IT-799-13). The usual disclaimer applies.</w:t>
      </w:r>
    </w:p>
    <w:bookmarkEnd w:id="8"/>
    <w:p w:rsidR="00247023" w:rsidRPr="009815E2" w:rsidRDefault="00A212BB" w:rsidP="009815E2">
      <w:pPr>
        <w:pStyle w:val="Heading1"/>
        <w:numPr>
          <w:ilvl w:val="0"/>
          <w:numId w:val="0"/>
        </w:numPr>
        <w:ind w:left="432" w:hanging="432"/>
        <w:rPr>
          <w:rFonts w:cs="Times New Roman"/>
        </w:rPr>
      </w:pPr>
      <w:r w:rsidRPr="009815E2">
        <w:rPr>
          <w:rFonts w:cs="Times New Roman"/>
        </w:rPr>
        <w:t>References</w:t>
      </w:r>
    </w:p>
    <w:p w:rsidR="00AC248F" w:rsidRDefault="003C0622" w:rsidP="00AC248F">
      <w:pPr>
        <w:pStyle w:val="Bibliography"/>
      </w:pPr>
      <w:r w:rsidRPr="003C0622">
        <w:fldChar w:fldCharType="begin"/>
      </w:r>
      <w:r w:rsidR="00AC248F">
        <w:instrText xml:space="preserve"> ADDIN ZOTERO_BIBL {"custom":[]} CSL_BIBLIOGRAPHY </w:instrText>
      </w:r>
      <w:r w:rsidRPr="003C0622">
        <w:fldChar w:fldCharType="separate"/>
      </w:r>
      <w:r w:rsidR="00AC248F">
        <w:t>[1]</w:t>
      </w:r>
      <w:r w:rsidR="00AC248F">
        <w:tab/>
        <w:t>M. Renner, S. Sweeney, and J. Kubit, “Green jobs: towards decent work in a sustainable, low-carbon world,” United Nations Environment Programme, Nairobi, Kenya, 2008.</w:t>
      </w:r>
    </w:p>
    <w:p w:rsidR="00000000" w:rsidRDefault="00AC248F">
      <w:pPr>
        <w:pStyle w:val="Bibliography"/>
      </w:pPr>
      <w:r>
        <w:t>[2]</w:t>
      </w:r>
      <w:r>
        <w:tab/>
        <w:t>UNEP, “UNEP background paper on green jobs,” United Nations Environment Programme, Nairobi, Kenya, 2008.</w:t>
      </w:r>
    </w:p>
    <w:p w:rsidR="00000000" w:rsidRDefault="00AC248F">
      <w:pPr>
        <w:pStyle w:val="Bibliography"/>
      </w:pPr>
      <w:r>
        <w:lastRenderedPageBreak/>
        <w:t>[3]</w:t>
      </w:r>
      <w:r>
        <w:tab/>
        <w:t>European Commission, “20 20 by 2020. Europe’s climate change opportunity,” European Commission, COM/2014/30, 2008.</w:t>
      </w:r>
    </w:p>
    <w:p w:rsidR="00000000" w:rsidRDefault="00AC248F">
      <w:pPr>
        <w:pStyle w:val="Bibliography"/>
      </w:pPr>
      <w:r>
        <w:t>[4]</w:t>
      </w:r>
      <w:r>
        <w:tab/>
        <w:t>European Commission, “A policy framework for climate and energy in the period from 2020 to 2030,” European Commission, COM/2014/015, 2014.</w:t>
      </w:r>
    </w:p>
    <w:p w:rsidR="00000000" w:rsidRDefault="00AC248F">
      <w:pPr>
        <w:pStyle w:val="Bibliography"/>
      </w:pPr>
      <w:r>
        <w:t>[5]</w:t>
      </w:r>
      <w:r>
        <w:tab/>
        <w:t>P. Drummond, “Country Report: The European Union. Contribution to CECILIA2050 Deliverable 1.2: Review of the existing instrument mix at EU level and in selected Member States,” University College London, London, UK, 2013.</w:t>
      </w:r>
    </w:p>
    <w:p w:rsidR="00000000" w:rsidRDefault="00AC248F">
      <w:pPr>
        <w:pStyle w:val="Bibliography"/>
      </w:pPr>
      <w:r>
        <w:t>[6]</w:t>
      </w:r>
      <w:r>
        <w:tab/>
        <w:t xml:space="preserve">S. Jenner, F. Groba, and J. Indvik, “Assessing the strength and effectiveness of renewable electricity feed-in tariffs in European Union countries,” </w:t>
      </w:r>
      <w:r>
        <w:rPr>
          <w:i/>
          <w:iCs/>
        </w:rPr>
        <w:t>Energy Policy</w:t>
      </w:r>
      <w:r>
        <w:t>, vol. 52, pp. 385–401, Jan. 2013.</w:t>
      </w:r>
    </w:p>
    <w:p w:rsidR="00000000" w:rsidRDefault="00AC248F">
      <w:pPr>
        <w:pStyle w:val="Bibliography"/>
      </w:pPr>
      <w:r>
        <w:t>[7]</w:t>
      </w:r>
      <w:r>
        <w:tab/>
        <w:t xml:space="preserve">L. Cameron and B. van der Zwaan, “Employment factors for wind and solar energy technologies: A literature review,” </w:t>
      </w:r>
      <w:r>
        <w:rPr>
          <w:i/>
          <w:iCs/>
        </w:rPr>
        <w:t>Renew. Sustain. Energy Rev.</w:t>
      </w:r>
      <w:r>
        <w:t>, vol. 45, pp. 160–172, May 2015.</w:t>
      </w:r>
    </w:p>
    <w:p w:rsidR="00000000" w:rsidRDefault="00AC248F">
      <w:pPr>
        <w:pStyle w:val="Bibliography"/>
      </w:pPr>
      <w:r>
        <w:t>[8]</w:t>
      </w:r>
      <w:r>
        <w:tab/>
        <w:t xml:space="preserve">M. Ortega, P. del Río, P. Ruiz, and C. Thiel, “Employment effects of renewable electricity deployment. A novel methodology,” </w:t>
      </w:r>
      <w:r>
        <w:rPr>
          <w:i/>
          <w:iCs/>
        </w:rPr>
        <w:t>Energy</w:t>
      </w:r>
      <w:r>
        <w:t>, vol. 91, pp. 940–951, Nov. 2015.</w:t>
      </w:r>
    </w:p>
    <w:p w:rsidR="00000000" w:rsidRDefault="00AC248F">
      <w:pPr>
        <w:pStyle w:val="Bibliography"/>
      </w:pPr>
      <w:r>
        <w:t>[9]</w:t>
      </w:r>
      <w:r>
        <w:tab/>
        <w:t>M. Ragwitz, W. Schade, B. Breischopf, R. Walz, N. Helfrich, M. Rathmann, G. Resch, C. Panzer, T. Faber, R. Haas, C. Nathani, M. Holzhey, I. Konstantinaviciute, P. Zagame, A. Fougeyrollas, and B. Le Hir, “EmployRES - The impact of renewable energy policy on economic growth and employment in the European Union, Final Report.” European Commission, DG Energy and Transport, 2009.</w:t>
      </w:r>
    </w:p>
    <w:p w:rsidR="00000000" w:rsidRDefault="00AC248F">
      <w:pPr>
        <w:pStyle w:val="Bibliography"/>
      </w:pPr>
      <w:r>
        <w:t>[10]</w:t>
      </w:r>
      <w:r>
        <w:tab/>
        <w:t>Cambridge Econometrics, “Employment effects of selected scenarios from the energy roadmap 2050. Final report for the European Commission (DG Energy).” Cambridge Econometrics, 2013.</w:t>
      </w:r>
    </w:p>
    <w:p w:rsidR="00000000" w:rsidRDefault="00AC248F">
      <w:pPr>
        <w:pStyle w:val="Bibliography"/>
      </w:pPr>
      <w:r>
        <w:t>[11]</w:t>
      </w:r>
      <w:r>
        <w:tab/>
        <w:t>European Commission, “A Roadmap for moving to a competitive low carbon economy in 2050. Communication from the Commission to the European Parliament, the Council, the European Economic and Social Committee and the Committee of the Regions. COM(2011) 112 final.” 2011.</w:t>
      </w:r>
    </w:p>
    <w:p w:rsidR="00000000" w:rsidRDefault="00AC248F">
      <w:pPr>
        <w:pStyle w:val="Bibliography"/>
      </w:pPr>
      <w:r>
        <w:t>[12]</w:t>
      </w:r>
      <w:r>
        <w:tab/>
        <w:t xml:space="preserve">B. Moreno and A. J. López, “The effect of renewable energy on employment. The case of Asturias (Spain),” </w:t>
      </w:r>
      <w:r>
        <w:rPr>
          <w:i/>
          <w:iCs/>
        </w:rPr>
        <w:t>Renew. Sustain. Energy Rev.</w:t>
      </w:r>
      <w:r>
        <w:t>, vol. 12, no. 3, pp. 732–751, Apr. 2008.</w:t>
      </w:r>
    </w:p>
    <w:p w:rsidR="00000000" w:rsidRDefault="00AC248F">
      <w:pPr>
        <w:pStyle w:val="Bibliography"/>
      </w:pPr>
      <w:r>
        <w:t>[13]</w:t>
      </w:r>
      <w:r>
        <w:tab/>
        <w:t xml:space="preserve">M. Wei, S. Patadia, and D. M. Kammen, “Putting renewables and energy efficiency to work: How many jobs can the clean energy industry generate in the US?,” </w:t>
      </w:r>
      <w:r>
        <w:rPr>
          <w:i/>
          <w:iCs/>
        </w:rPr>
        <w:t>Energy Policy</w:t>
      </w:r>
      <w:r>
        <w:t>, vol. 38, no. 2, pp. 919–931, Feb. 2010.</w:t>
      </w:r>
    </w:p>
    <w:p w:rsidR="00000000" w:rsidRDefault="00AC248F">
      <w:pPr>
        <w:pStyle w:val="Bibliography"/>
      </w:pPr>
      <w:r>
        <w:t>[14]</w:t>
      </w:r>
      <w:r>
        <w:tab/>
        <w:t xml:space="preserve">W. Cai, Y. Mu, C. Wang, and J. Chen, “Distributional employment impacts of renewable and new energy–A case study of China,” </w:t>
      </w:r>
      <w:r>
        <w:rPr>
          <w:i/>
          <w:iCs/>
        </w:rPr>
        <w:t>Renew. Sustain. Energy Rev.</w:t>
      </w:r>
      <w:r>
        <w:t>, vol. 39, pp. 1155–1163, Nov. 2014.</w:t>
      </w:r>
    </w:p>
    <w:p w:rsidR="00000000" w:rsidRDefault="00AC248F">
      <w:pPr>
        <w:pStyle w:val="Bibliography"/>
      </w:pPr>
      <w:r>
        <w:t>[15]</w:t>
      </w:r>
      <w:r>
        <w:tab/>
        <w:t xml:space="preserve">U. Lehr, J. Nitsch, M. Kratzat, C. Lutz, and D. Edler, “Renewable energy and employment in Germany,” </w:t>
      </w:r>
      <w:r>
        <w:rPr>
          <w:i/>
          <w:iCs/>
        </w:rPr>
        <w:t>Energy Policy</w:t>
      </w:r>
      <w:r>
        <w:t>, vol. 36, no. 1, pp. 108–117, Jan. 2008.</w:t>
      </w:r>
    </w:p>
    <w:p w:rsidR="00000000" w:rsidRDefault="00AC248F">
      <w:pPr>
        <w:pStyle w:val="Bibliography"/>
      </w:pPr>
      <w:r>
        <w:t>[16]</w:t>
      </w:r>
      <w:r>
        <w:tab/>
        <w:t xml:space="preserve">M. Markaki, A. Belegri-Roboli, P. Michaelides, S. Mirasgedis, and D. P. Lalas, “The impact of clean energy investments on the Greek economy: An input–output analysis (2010–2020),” </w:t>
      </w:r>
      <w:r>
        <w:rPr>
          <w:i/>
          <w:iCs/>
        </w:rPr>
        <w:t>Energy Policy</w:t>
      </w:r>
      <w:r>
        <w:t>, vol. 57, pp. 263–275, Jun. 2013.</w:t>
      </w:r>
    </w:p>
    <w:p w:rsidR="00000000" w:rsidRDefault="00AC248F">
      <w:pPr>
        <w:pStyle w:val="Bibliography"/>
      </w:pPr>
      <w:r>
        <w:t>[17]</w:t>
      </w:r>
      <w:r>
        <w:tab/>
        <w:t xml:space="preserve">E. Dietzenbacher, B. Los, R. Stehrer, M. Timmer, and G. de Vries, “The construction of world input-output tables in the WIOD project,” </w:t>
      </w:r>
      <w:r>
        <w:rPr>
          <w:i/>
          <w:iCs/>
        </w:rPr>
        <w:t>Econ. Syst. Res.</w:t>
      </w:r>
      <w:r>
        <w:t>, vol. 25, no. 1, pp. 71–98, Mar. 2013.</w:t>
      </w:r>
    </w:p>
    <w:p w:rsidR="00000000" w:rsidRDefault="00AC248F">
      <w:pPr>
        <w:pStyle w:val="Bibliography"/>
      </w:pPr>
      <w:r>
        <w:t>[18]</w:t>
      </w:r>
      <w:r>
        <w:tab/>
        <w:t>M. Timmer, “The World Input</w:t>
      </w:r>
      <w:r>
        <w:rPr>
          <w:rFonts w:ascii="Cambria Math" w:hAnsi="Cambria Math" w:cs="Cambria Math"/>
        </w:rPr>
        <w:t>‐</w:t>
      </w:r>
      <w:r>
        <w:t>Output Database (WIOD): Contents, Sources and Methods.” WIOD Background document available at www.wiod.org, 2012.</w:t>
      </w:r>
    </w:p>
    <w:p w:rsidR="00000000" w:rsidRDefault="00AC248F">
      <w:pPr>
        <w:pStyle w:val="Bibliography"/>
      </w:pPr>
      <w:r>
        <w:t>[19]</w:t>
      </w:r>
      <w:r>
        <w:tab/>
        <w:t xml:space="preserve">S. Herreras Martínez, J. van Eijck, M. Pereira da Cunha, J. J. M. Guilhoto, A. Walter, and A. Faaij, “Analysis of socio-economic impacts of sustainable sugarcane–ethanol production by </w:t>
      </w:r>
      <w:r>
        <w:lastRenderedPageBreak/>
        <w:t xml:space="preserve">means of inter-regional Input–Output analysis: Demonstrated for Northeast Brazil,” </w:t>
      </w:r>
      <w:r>
        <w:rPr>
          <w:i/>
          <w:iCs/>
        </w:rPr>
        <w:t>Renew. Sustain. Energy Rev.</w:t>
      </w:r>
      <w:r>
        <w:t>, vol. 28, pp. 290–316, Dec. 2013.</w:t>
      </w:r>
    </w:p>
    <w:p w:rsidR="00000000" w:rsidRDefault="00AC248F">
      <w:pPr>
        <w:pStyle w:val="Bibliography"/>
      </w:pPr>
      <w:r>
        <w:t>[20]</w:t>
      </w:r>
      <w:r>
        <w:tab/>
        <w:t xml:space="preserve">R. Madlener and M. Koller, “Economic and CO2 mitigation impacts of promoting biomass heating systems: An input–output study for Vorarlberg, Austria,” </w:t>
      </w:r>
      <w:r>
        <w:rPr>
          <w:i/>
          <w:iCs/>
        </w:rPr>
        <w:t>Energy Policy</w:t>
      </w:r>
      <w:r>
        <w:t>, vol. 35, no. 12, pp. 6021–6035, Dec. 2007.</w:t>
      </w:r>
    </w:p>
    <w:p w:rsidR="00000000" w:rsidRDefault="00AC248F">
      <w:pPr>
        <w:pStyle w:val="Bibliography"/>
      </w:pPr>
      <w:r>
        <w:t>[21]</w:t>
      </w:r>
      <w:r>
        <w:tab/>
        <w:t xml:space="preserve">F. Neuwahl, A. Löschel, I. Mongelli, and L. Delgado, “Employment impacts of EU biofuels policy: Combining bottom-up technology information and sectoral market simulations in an input–output framework,” </w:t>
      </w:r>
      <w:r>
        <w:rPr>
          <w:i/>
          <w:iCs/>
        </w:rPr>
        <w:t>Ecol. Econ.</w:t>
      </w:r>
      <w:r>
        <w:t>, vol. 68, no. 1–2, pp. 447–460, Dec. 2008.</w:t>
      </w:r>
    </w:p>
    <w:p w:rsidR="00000000" w:rsidRDefault="00AC248F">
      <w:pPr>
        <w:pStyle w:val="Bibliography"/>
      </w:pPr>
      <w:r>
        <w:t>[22]</w:t>
      </w:r>
      <w:r>
        <w:tab/>
        <w:t xml:space="preserve">T. Silalertruksa, S. H. Gheewala, K. Hünecke, and U. R. Fritsche, “Biofuels and employment effects: Implications for socio-economic development in Thailand,” </w:t>
      </w:r>
      <w:r>
        <w:rPr>
          <w:i/>
          <w:iCs/>
        </w:rPr>
        <w:t>Biomass Bioenergy</w:t>
      </w:r>
      <w:r>
        <w:t>, vol. 46, pp. 409–418, Nov. 2012.</w:t>
      </w:r>
    </w:p>
    <w:p w:rsidR="00000000" w:rsidRDefault="00AC248F">
      <w:pPr>
        <w:pStyle w:val="Bibliography"/>
      </w:pPr>
      <w:r>
        <w:t>[23]</w:t>
      </w:r>
      <w:r>
        <w:tab/>
        <w:t xml:space="preserve">T. Qi, L. Zhou, X. Zhang, and X. Ren, “Regional economic output and employment impact of coal-to-liquids (CTL) industry in China: An input–output analysis,” </w:t>
      </w:r>
      <w:r>
        <w:rPr>
          <w:i/>
          <w:iCs/>
        </w:rPr>
        <w:t>Energy</w:t>
      </w:r>
      <w:r>
        <w:t>, vol. 46, no. 1, pp. 259–263, Oct. 2012.</w:t>
      </w:r>
    </w:p>
    <w:p w:rsidR="00000000" w:rsidRDefault="00AC248F">
      <w:pPr>
        <w:pStyle w:val="Bibliography"/>
      </w:pPr>
      <w:r>
        <w:t>[24]</w:t>
      </w:r>
      <w:r>
        <w:tab/>
        <w:t xml:space="preserve">S. Hienuki, Y. Kudoh, and H. Hondo, “Life cycle employment effect of geothermal power generation using an extended input–output model: the case of Japan,” </w:t>
      </w:r>
      <w:r>
        <w:rPr>
          <w:i/>
          <w:iCs/>
        </w:rPr>
        <w:t>J. Clean. Prod.</w:t>
      </w:r>
      <w:r>
        <w:t>, vol. 93, pp. 203–212, Apr. 2015.</w:t>
      </w:r>
    </w:p>
    <w:p w:rsidR="00000000" w:rsidRDefault="00AC248F">
      <w:pPr>
        <w:pStyle w:val="Bibliography"/>
      </w:pPr>
      <w:r>
        <w:t>[25]</w:t>
      </w:r>
      <w:r>
        <w:tab/>
        <w:t xml:space="preserve">S. Mirasgedis, C. Tourkolias, E. Pavlakis, and D. Diakoulaki, “A methodological framework for assessing the employment effects associated with energy efficiency interventions in buildings,” </w:t>
      </w:r>
      <w:r>
        <w:rPr>
          <w:i/>
          <w:iCs/>
        </w:rPr>
        <w:t>Energy Build.</w:t>
      </w:r>
      <w:r>
        <w:t>, vol. 82, pp. 275–286, Oct. 2014.</w:t>
      </w:r>
    </w:p>
    <w:p w:rsidR="00000000" w:rsidRDefault="00AC248F">
      <w:pPr>
        <w:pStyle w:val="Bibliography"/>
      </w:pPr>
      <w:r>
        <w:t>[26]</w:t>
      </w:r>
      <w:r>
        <w:tab/>
        <w:t xml:space="preserve">C. Tourkolias and S. Mirasgedis, “Quantification and monetization of employment benefits associated with renewable energy technologies in Greece,” </w:t>
      </w:r>
      <w:r>
        <w:rPr>
          <w:i/>
          <w:iCs/>
        </w:rPr>
        <w:t>Renew. Sustain. Energy Rev.</w:t>
      </w:r>
      <w:r>
        <w:t>, vol. 15, no. 6, pp. 2876–2886, Aug. 2011.</w:t>
      </w:r>
    </w:p>
    <w:p w:rsidR="00000000" w:rsidRDefault="00AC248F">
      <w:pPr>
        <w:pStyle w:val="Bibliography"/>
      </w:pPr>
      <w:r>
        <w:t>[27]</w:t>
      </w:r>
      <w:r>
        <w:tab/>
        <w:t xml:space="preserve">A. Ziegelmann, M. Mohr, and H. Unger, “Net employment effects of an extension of renewable-energy systems in the Federal Republic of Germany,” </w:t>
      </w:r>
      <w:r>
        <w:rPr>
          <w:i/>
          <w:iCs/>
        </w:rPr>
        <w:t>Appl. Energy</w:t>
      </w:r>
      <w:r>
        <w:t>, vol. 65, no. 1–4, pp. 329–338, Apr. 2000.</w:t>
      </w:r>
    </w:p>
    <w:p w:rsidR="00000000" w:rsidRDefault="00AC248F">
      <w:pPr>
        <w:pStyle w:val="Bibliography"/>
      </w:pPr>
      <w:r>
        <w:t>[28]</w:t>
      </w:r>
      <w:r>
        <w:tab/>
        <w:t xml:space="preserve">B. V. Mathiesen, H. Lund, and K. Karlsson, “100% Renewable energy systems, climate mitigation and economic growth,” </w:t>
      </w:r>
      <w:r>
        <w:rPr>
          <w:i/>
          <w:iCs/>
        </w:rPr>
        <w:t>Appl. Energy</w:t>
      </w:r>
      <w:r>
        <w:t>, vol. 88, no. 2, pp. 488–501, Feb. 2011.</w:t>
      </w:r>
    </w:p>
    <w:p w:rsidR="00000000" w:rsidRDefault="00AC248F">
      <w:pPr>
        <w:pStyle w:val="Bibliography"/>
      </w:pPr>
      <w:r>
        <w:t>[29]</w:t>
      </w:r>
      <w:r>
        <w:tab/>
        <w:t xml:space="preserve">L. Mundaca, R. Román, and J. M. Cansino, “Towards a Green Energy Economy? A macroeconomic-climate evaluation of Sweden’s CO2 emissions,” </w:t>
      </w:r>
      <w:r>
        <w:rPr>
          <w:i/>
          <w:iCs/>
        </w:rPr>
        <w:t>Appl. Energy</w:t>
      </w:r>
      <w:r>
        <w:t>, vol. 148, pp. 196–209, Jun. 2015.</w:t>
      </w:r>
    </w:p>
    <w:p w:rsidR="00000000" w:rsidRDefault="00AC248F">
      <w:pPr>
        <w:pStyle w:val="Bibliography"/>
      </w:pPr>
      <w:r>
        <w:t>[30]</w:t>
      </w:r>
      <w:r>
        <w:tab/>
        <w:t xml:space="preserve">B. Su and B. W. Ang, “Multiplicative decomposition of aggregate carbon intensity change using input–output analysis,” </w:t>
      </w:r>
      <w:r>
        <w:rPr>
          <w:i/>
          <w:iCs/>
        </w:rPr>
        <w:t>Appl. Energy</w:t>
      </w:r>
      <w:r>
        <w:t>, vol. 154, pp. 13–20, Sep. 2015.</w:t>
      </w:r>
    </w:p>
    <w:p w:rsidR="00000000" w:rsidRDefault="00AC248F">
      <w:pPr>
        <w:pStyle w:val="Bibliography"/>
      </w:pPr>
      <w:r>
        <w:t>[31]</w:t>
      </w:r>
      <w:r>
        <w:tab/>
        <w:t xml:space="preserve">I. Arto and E. Dietzenbacher, “Drivers of the Growth in Global Greenhouse Gas Emissions,” </w:t>
      </w:r>
      <w:r>
        <w:rPr>
          <w:i/>
          <w:iCs/>
        </w:rPr>
        <w:t>Environ. Sci. Technol.</w:t>
      </w:r>
      <w:r>
        <w:t>, vol. 48, no. 10, pp. 5388–5394, May 2014.</w:t>
      </w:r>
    </w:p>
    <w:p w:rsidR="00000000" w:rsidRDefault="00AC248F">
      <w:pPr>
        <w:pStyle w:val="Bibliography"/>
      </w:pPr>
      <w:r>
        <w:t>[32]</w:t>
      </w:r>
      <w:r>
        <w:tab/>
        <w:t>International Energy Agency, 2014. [Online]. Available: http://www.iea.org.</w:t>
      </w:r>
    </w:p>
    <w:p w:rsidR="00000000" w:rsidRDefault="00AC248F">
      <w:pPr>
        <w:pStyle w:val="Bibliography"/>
      </w:pPr>
      <w:r>
        <w:t>[33]</w:t>
      </w:r>
      <w:r>
        <w:tab/>
        <w:t xml:space="preserve">P. Rafaj, M. Amann, J. Siri, and H. Wuester, “Changes in European greenhouse gas and air pollutant emissions 1960–2010: decomposition of determining factors,” </w:t>
      </w:r>
      <w:r>
        <w:rPr>
          <w:i/>
          <w:iCs/>
        </w:rPr>
        <w:t>Clim. Change</w:t>
      </w:r>
      <w:r>
        <w:t>, vol. 124, no. 3, pp. 477–504, Jul. 2013.</w:t>
      </w:r>
    </w:p>
    <w:p w:rsidR="00000000" w:rsidRDefault="00AC248F">
      <w:pPr>
        <w:pStyle w:val="Bibliography"/>
      </w:pPr>
      <w:r>
        <w:t>[34]</w:t>
      </w:r>
      <w:r>
        <w:tab/>
        <w:t xml:space="preserve">J. Murray and M. Lenzen, “The Sustainability Practicioner’s Guide to Multi–Regional Input–Output Analysis,” </w:t>
      </w:r>
      <w:r>
        <w:rPr>
          <w:i/>
          <w:iCs/>
        </w:rPr>
        <w:t>Common Ground Champaign IL</w:t>
      </w:r>
      <w:r>
        <w:t>, 2013.</w:t>
      </w:r>
    </w:p>
    <w:p w:rsidR="00000000" w:rsidRDefault="00AC248F">
      <w:pPr>
        <w:pStyle w:val="Bibliography"/>
      </w:pPr>
      <w:r>
        <w:t>[35]</w:t>
      </w:r>
      <w:r>
        <w:tab/>
        <w:t>European Commission, “Energy prices and costs in Europe,” European Commission, COM/2014/021, 2014.</w:t>
      </w:r>
    </w:p>
    <w:p w:rsidR="00000000" w:rsidRDefault="00AC248F">
      <w:pPr>
        <w:pStyle w:val="Bibliography"/>
      </w:pPr>
      <w:r>
        <w:t>[36]</w:t>
      </w:r>
      <w:r>
        <w:tab/>
        <w:t>S. Alberici, S. Boeve, P. van Breevoort, Y. Deng, S. Förster, A. Gardiner, V. van Gastel, K. Grave, G. Groenenberg, D. de Jager, E. Klaassen, W. Pouwels, M. Smith, E. de Visser, T. Winkel, and K. Wouters, “Subsidies and costs of EU energy. Final report,” Ecofys by order of: European Commission, 2014.</w:t>
      </w:r>
    </w:p>
    <w:p w:rsidR="00000000" w:rsidRDefault="00AC248F">
      <w:pPr>
        <w:pStyle w:val="Bibliography"/>
      </w:pPr>
      <w:r>
        <w:lastRenderedPageBreak/>
        <w:t>[37]</w:t>
      </w:r>
      <w:r>
        <w:tab/>
        <w:t xml:space="preserve">C. Böhringer, A. Keller, and E. van der Werf, “Are green hopes too rosy? Employment and welfare impacts of renewable energy promotion,” </w:t>
      </w:r>
      <w:r>
        <w:rPr>
          <w:i/>
          <w:iCs/>
        </w:rPr>
        <w:t>Energy Econ.</w:t>
      </w:r>
      <w:r>
        <w:t>, vol. 36, pp. 277–285, Mar. 2013.</w:t>
      </w:r>
    </w:p>
    <w:p w:rsidR="00000000" w:rsidRDefault="00AC248F">
      <w:pPr>
        <w:pStyle w:val="Bibliography"/>
      </w:pPr>
      <w:r>
        <w:t>[38]</w:t>
      </w:r>
      <w:r>
        <w:tab/>
        <w:t xml:space="preserve">C. F. Manski, “Communicating uncertainty in official economic statistics: an appraisal fifty years after Morgenstern,” </w:t>
      </w:r>
      <w:r>
        <w:rPr>
          <w:i/>
          <w:iCs/>
        </w:rPr>
        <w:t>J. Econ. Lit.</w:t>
      </w:r>
      <w:r>
        <w:t>, vol. 53, no. 3, pp. 631–653, 2015.</w:t>
      </w:r>
    </w:p>
    <w:p w:rsidR="00000000" w:rsidRDefault="00AC248F">
      <w:pPr>
        <w:pStyle w:val="Bibliography"/>
      </w:pPr>
      <w:r>
        <w:t>[39]</w:t>
      </w:r>
      <w:r>
        <w:tab/>
        <w:t>E. Casey and D. Smyth, “Uncertainty in Macroeconomic Data: The Case of Ireland,” Working paper, 2015.</w:t>
      </w:r>
    </w:p>
    <w:p w:rsidR="00000000" w:rsidRDefault="00AC248F">
      <w:pPr>
        <w:pStyle w:val="Bibliography"/>
      </w:pPr>
      <w:r>
        <w:t>[40]</w:t>
      </w:r>
      <w:r>
        <w:tab/>
        <w:t xml:space="preserve">I. Arto, J. M. Rueda-Cantuche, A. F. Amores, E. Dietzenbacher, N. Sousa, L. Montinari, and A. Markandya, </w:t>
      </w:r>
      <w:r>
        <w:rPr>
          <w:i/>
          <w:iCs/>
        </w:rPr>
        <w:t>EU Exports to the World: Effects on employment and income</w:t>
      </w:r>
      <w:r>
        <w:t>. Luxembourg: Publication Office of the European Union, 2015.</w:t>
      </w:r>
    </w:p>
    <w:p w:rsidR="00000000" w:rsidRDefault="00AC248F">
      <w:pPr>
        <w:pStyle w:val="Bibliography"/>
      </w:pPr>
      <w:r>
        <w:t>[41]</w:t>
      </w:r>
      <w:r>
        <w:tab/>
        <w:t>M. O’Sullivan, D. Edler, P. Bickel, U. Lehr, F. Peter, and F. Sakowski, “Gross employment from renewable energy in Germany in 2013. A first estimate,” Research project commissioned by the Federal Ministry for Economic Affairs and Energy, 2014.</w:t>
      </w:r>
    </w:p>
    <w:p w:rsidR="00000000" w:rsidRDefault="00AC248F">
      <w:pPr>
        <w:pStyle w:val="Bibliography"/>
      </w:pPr>
      <w:r>
        <w:t>[42]</w:t>
      </w:r>
      <w:r>
        <w:tab/>
        <w:t xml:space="preserve">R. Walz and W. Eichhammer, “Benchmarking green innovation,” </w:t>
      </w:r>
      <w:r>
        <w:rPr>
          <w:i/>
          <w:iCs/>
        </w:rPr>
        <w:t>Miner. Econ.</w:t>
      </w:r>
      <w:r>
        <w:t>, vol. 24, no. 2–3, pp. 79–101, Feb. 2012.</w:t>
      </w:r>
    </w:p>
    <w:p w:rsidR="00000000" w:rsidRDefault="00AC248F">
      <w:pPr>
        <w:pStyle w:val="Bibliography"/>
      </w:pPr>
      <w:r>
        <w:t>[43]</w:t>
      </w:r>
      <w:r>
        <w:tab/>
        <w:t xml:space="preserve">R. Walz and F. Marscheider-Weidemann, “Technology-specific absorptive capacities for green technologies in Newly Industrialising Countries,” </w:t>
      </w:r>
      <w:r>
        <w:rPr>
          <w:i/>
          <w:iCs/>
        </w:rPr>
        <w:t>Int. J. Technol. Glob.</w:t>
      </w:r>
      <w:r>
        <w:t>, vol. 5, no. 3–4, pp. 212–229, Jan. 2011.</w:t>
      </w:r>
    </w:p>
    <w:p w:rsidR="00000000" w:rsidRDefault="00AC248F">
      <w:pPr>
        <w:pStyle w:val="Bibliography"/>
      </w:pPr>
      <w:r>
        <w:t>[44]</w:t>
      </w:r>
      <w:r>
        <w:tab/>
        <w:t>V. Duscha, M. Ragwitz, B. Breitschopf, W. Schade, R. Walz, M. Pfaff, E. de Visser, G. Resch, C. Nathani, P. Zagamé, A. Fougeyrollas, and B. Boitier, “Employment and growth effects of sustainable energies in the European Union. Final report,” Fraunhofer-ISI, Karlsruhe, Germany, 2014.</w:t>
      </w:r>
    </w:p>
    <w:p w:rsidR="001F2A4A" w:rsidRDefault="003C0622" w:rsidP="004F03CB">
      <w:pPr>
        <w:pStyle w:val="Default"/>
        <w:jc w:val="both"/>
        <w:rPr>
          <w:rFonts w:ascii="Times New Roman" w:hAnsi="Times New Roman" w:cs="Times New Roman"/>
          <w:sz w:val="22"/>
          <w:szCs w:val="22"/>
        </w:rPr>
      </w:pPr>
      <w:r>
        <w:rPr>
          <w:rFonts w:ascii="Times New Roman" w:hAnsi="Times New Roman" w:cs="Times New Roman"/>
          <w:sz w:val="22"/>
          <w:szCs w:val="22"/>
        </w:rPr>
        <w:fldChar w:fldCharType="end"/>
      </w:r>
    </w:p>
    <w:p w:rsidR="001F2A4A" w:rsidRDefault="001F2A4A">
      <w:pPr>
        <w:spacing w:before="0" w:after="200" w:line="276" w:lineRule="auto"/>
        <w:jc w:val="left"/>
        <w:rPr>
          <w:rFonts w:cs="Times New Roman"/>
          <w:color w:val="000000"/>
        </w:rPr>
      </w:pPr>
      <w:r>
        <w:rPr>
          <w:rFonts w:cs="Times New Roman"/>
        </w:rPr>
        <w:br w:type="page"/>
      </w:r>
    </w:p>
    <w:p w:rsidR="00B83870" w:rsidRDefault="00F428C7" w:rsidP="008D7515">
      <w:pPr>
        <w:pStyle w:val="Heading1"/>
        <w:numPr>
          <w:ilvl w:val="0"/>
          <w:numId w:val="0"/>
        </w:numPr>
        <w:rPr>
          <w:rFonts w:eastAsia="Times New Roman"/>
          <w:lang w:eastAsia="en-GB"/>
        </w:rPr>
      </w:pPr>
      <w:r>
        <w:rPr>
          <w:rFonts w:eastAsia="Times New Roman"/>
          <w:lang w:eastAsia="en-GB"/>
        </w:rPr>
        <w:lastRenderedPageBreak/>
        <w:t>Appendix</w:t>
      </w:r>
      <w:r w:rsidR="001F2A4A">
        <w:rPr>
          <w:rFonts w:eastAsia="Times New Roman"/>
          <w:lang w:eastAsia="en-GB"/>
        </w:rPr>
        <w:t xml:space="preserve"> A</w:t>
      </w:r>
    </w:p>
    <w:p w:rsidR="00B83870" w:rsidRPr="00022E7E" w:rsidRDefault="00B83870">
      <w:pPr>
        <w:spacing w:before="0" w:after="200" w:line="276" w:lineRule="auto"/>
        <w:jc w:val="left"/>
        <w:rPr>
          <w:rFonts w:eastAsia="Times New Roman"/>
          <w:highlight w:val="magenta"/>
          <w:lang w:eastAsia="en-GB"/>
        </w:rPr>
      </w:pPr>
    </w:p>
    <w:p w:rsidR="009E1055" w:rsidRDefault="00B921C2" w:rsidP="00A3022C">
      <w:pPr>
        <w:spacing w:after="0"/>
        <w:rPr>
          <w:rFonts w:cs="Times New Roman"/>
          <w:sz w:val="18"/>
          <w:szCs w:val="18"/>
        </w:rPr>
      </w:pPr>
      <w:r>
        <w:rPr>
          <w:rFonts w:cs="Times New Roman"/>
          <w:noProof/>
          <w:sz w:val="18"/>
          <w:szCs w:val="18"/>
          <w:lang w:val="en-US"/>
        </w:rPr>
        <w:drawing>
          <wp:inline distT="0" distB="0" distL="0" distR="0">
            <wp:extent cx="4602480" cy="57073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2480" cy="5707380"/>
                    </a:xfrm>
                    <a:prstGeom prst="rect">
                      <a:avLst/>
                    </a:prstGeom>
                    <a:noFill/>
                  </pic:spPr>
                </pic:pic>
              </a:graphicData>
            </a:graphic>
          </wp:inline>
        </w:drawing>
      </w:r>
    </w:p>
    <w:p w:rsidR="00A3022C" w:rsidRDefault="00A3022C" w:rsidP="00A3022C">
      <w:pPr>
        <w:spacing w:after="0"/>
        <w:rPr>
          <w:rFonts w:cs="Times New Roman"/>
          <w:sz w:val="18"/>
          <w:szCs w:val="18"/>
        </w:rPr>
      </w:pPr>
      <w:r w:rsidRPr="00580CFF">
        <w:rPr>
          <w:rFonts w:cs="Times New Roman"/>
          <w:sz w:val="18"/>
          <w:szCs w:val="18"/>
        </w:rPr>
        <w:t>Source: International Energy Agency</w:t>
      </w:r>
    </w:p>
    <w:p w:rsidR="009E1055" w:rsidRPr="00580CFF" w:rsidRDefault="009E1055" w:rsidP="00A3022C">
      <w:pPr>
        <w:spacing w:after="0"/>
        <w:rPr>
          <w:rFonts w:cs="Times New Roman"/>
          <w:sz w:val="18"/>
          <w:szCs w:val="18"/>
        </w:rPr>
      </w:pPr>
      <w:r>
        <w:rPr>
          <w:rFonts w:cs="Times New Roman"/>
          <w:sz w:val="18"/>
          <w:szCs w:val="18"/>
        </w:rPr>
        <w:t xml:space="preserve">Note: the change has been calculated as the difference between the share of each technology in the </w:t>
      </w:r>
      <w:r w:rsidRPr="009E1055">
        <w:rPr>
          <w:rFonts w:cs="Times New Roman"/>
          <w:sz w:val="18"/>
          <w:szCs w:val="18"/>
        </w:rPr>
        <w:t>electricity and heat generation mix in</w:t>
      </w:r>
      <w:r>
        <w:rPr>
          <w:rFonts w:cs="Times New Roman"/>
          <w:sz w:val="18"/>
          <w:szCs w:val="18"/>
        </w:rPr>
        <w:t xml:space="preserve"> 2009 minus the share in 1995</w:t>
      </w:r>
    </w:p>
    <w:p w:rsidR="00A3022C" w:rsidRDefault="00A3022C" w:rsidP="00A3022C">
      <w:pPr>
        <w:pStyle w:val="Caption"/>
        <w:rPr>
          <w:rFonts w:cs="Times New Roman"/>
        </w:rPr>
      </w:pPr>
      <w:bookmarkStart w:id="9" w:name="_Ref436216151"/>
      <w:r w:rsidRPr="00580CFF">
        <w:t>Figure A</w:t>
      </w:r>
      <w:r w:rsidR="000C6558" w:rsidRPr="00580CFF">
        <w:t>.</w:t>
      </w:r>
      <w:r w:rsidR="003C0622" w:rsidRPr="00580CFF">
        <w:fldChar w:fldCharType="begin"/>
      </w:r>
      <w:r w:rsidR="00ED741A" w:rsidRPr="00580CFF">
        <w:instrText xml:space="preserve"> SEQ Figure_A \* ARABIC </w:instrText>
      </w:r>
      <w:r w:rsidR="003C0622" w:rsidRPr="00580CFF">
        <w:fldChar w:fldCharType="separate"/>
      </w:r>
      <w:r w:rsidR="009133D0" w:rsidRPr="00580CFF">
        <w:rPr>
          <w:noProof/>
        </w:rPr>
        <w:t>1</w:t>
      </w:r>
      <w:r w:rsidR="003C0622" w:rsidRPr="00580CFF">
        <w:rPr>
          <w:noProof/>
        </w:rPr>
        <w:fldChar w:fldCharType="end"/>
      </w:r>
      <w:bookmarkEnd w:id="9"/>
      <w:r w:rsidRPr="00580CFF">
        <w:t xml:space="preserve">: </w:t>
      </w:r>
      <w:r w:rsidR="009E1055">
        <w:t xml:space="preserve">Change in the </w:t>
      </w:r>
      <w:r w:rsidRPr="00580CFF">
        <w:t>electricity and heat generation mix in the EU, 1995 and 2009 (%)</w:t>
      </w:r>
    </w:p>
    <w:p w:rsidR="00B83870" w:rsidRDefault="00B83870">
      <w:pPr>
        <w:spacing w:before="0" w:after="200" w:line="276" w:lineRule="auto"/>
        <w:jc w:val="left"/>
        <w:rPr>
          <w:rFonts w:eastAsia="Times New Roman"/>
          <w:lang w:eastAsia="en-GB"/>
        </w:rPr>
      </w:pPr>
    </w:p>
    <w:p w:rsidR="00B83870" w:rsidRDefault="00B83870">
      <w:pPr>
        <w:spacing w:before="0" w:after="200" w:line="276" w:lineRule="auto"/>
        <w:jc w:val="left"/>
        <w:rPr>
          <w:rFonts w:eastAsia="Times New Roman"/>
          <w:lang w:eastAsia="en-GB"/>
        </w:rPr>
      </w:pPr>
    </w:p>
    <w:p w:rsidR="00B83870" w:rsidRDefault="00B83870">
      <w:pPr>
        <w:spacing w:before="0" w:after="200" w:line="276" w:lineRule="auto"/>
        <w:jc w:val="left"/>
        <w:rPr>
          <w:rFonts w:eastAsia="Times New Roman"/>
          <w:lang w:eastAsia="en-GB"/>
        </w:rPr>
      </w:pPr>
    </w:p>
    <w:p w:rsidR="007373B2" w:rsidRDefault="007373B2">
      <w:pPr>
        <w:spacing w:before="0" w:after="200" w:line="276" w:lineRule="auto"/>
        <w:jc w:val="left"/>
        <w:rPr>
          <w:rFonts w:eastAsia="Times New Roman"/>
          <w:lang w:eastAsia="en-GB"/>
        </w:rPr>
        <w:sectPr w:rsidR="007373B2" w:rsidSect="00B83870">
          <w:footerReference w:type="default" r:id="rId126"/>
          <w:pgSz w:w="11906" w:h="16838"/>
          <w:pgMar w:top="1440" w:right="1440" w:bottom="1440" w:left="1440" w:header="709" w:footer="709" w:gutter="0"/>
          <w:cols w:space="708"/>
          <w:docGrid w:linePitch="360"/>
        </w:sectPr>
      </w:pPr>
    </w:p>
    <w:p w:rsidR="007373B2" w:rsidRDefault="007373B2" w:rsidP="007373B2">
      <w:pPr>
        <w:pStyle w:val="Caption"/>
        <w:rPr>
          <w:rFonts w:eastAsia="Times New Roman"/>
          <w:lang w:eastAsia="en-GB"/>
        </w:rPr>
      </w:pPr>
      <w:bookmarkStart w:id="10" w:name="_Ref411499868"/>
      <w:r>
        <w:lastRenderedPageBreak/>
        <w:t>Table A</w:t>
      </w:r>
      <w:r w:rsidR="000C6558">
        <w:t>.</w:t>
      </w:r>
      <w:r w:rsidR="003C0622">
        <w:fldChar w:fldCharType="begin"/>
      </w:r>
      <w:r w:rsidR="00ED741A">
        <w:instrText xml:space="preserve"> SEQ Table_A \* ARABIC </w:instrText>
      </w:r>
      <w:r w:rsidR="003C0622">
        <w:fldChar w:fldCharType="separate"/>
      </w:r>
      <w:r w:rsidR="009133D0">
        <w:rPr>
          <w:noProof/>
        </w:rPr>
        <w:t>1</w:t>
      </w:r>
      <w:r w:rsidR="003C0622">
        <w:rPr>
          <w:noProof/>
        </w:rPr>
        <w:fldChar w:fldCharType="end"/>
      </w:r>
      <w:bookmarkEnd w:id="10"/>
      <w:r w:rsidRPr="004F03CB">
        <w:rPr>
          <w:rFonts w:cs="Times New Roman"/>
        </w:rPr>
        <w:t>:</w:t>
      </w:r>
      <w:r>
        <w:rPr>
          <w:rFonts w:cs="Times New Roman"/>
        </w:rPr>
        <w:t xml:space="preserve"> </w:t>
      </w:r>
      <w:r w:rsidRPr="007373B2">
        <w:rPr>
          <w:rFonts w:cs="Times New Roman"/>
        </w:rPr>
        <w:t xml:space="preserve">Total impacts on employment </w:t>
      </w:r>
      <w:r>
        <w:rPr>
          <w:rFonts w:cs="Times New Roman"/>
        </w:rPr>
        <w:t xml:space="preserve">by sector in the </w:t>
      </w:r>
      <w:r w:rsidRPr="007373B2">
        <w:rPr>
          <w:rFonts w:cs="Times New Roman"/>
        </w:rPr>
        <w:t>EU</w:t>
      </w:r>
      <w:r>
        <w:rPr>
          <w:rFonts w:cs="Times New Roman"/>
        </w:rPr>
        <w:t xml:space="preserve"> member states</w:t>
      </w:r>
      <w:r w:rsidRPr="007373B2">
        <w:rPr>
          <w:rFonts w:cs="Times New Roman"/>
        </w:rPr>
        <w:t xml:space="preserve"> due to changes in the input structure of the EU </w:t>
      </w:r>
      <w:r w:rsidR="00022E7E">
        <w:rPr>
          <w:rFonts w:cs="Times New Roman"/>
        </w:rPr>
        <w:t>e</w:t>
      </w:r>
      <w:r w:rsidRPr="007373B2">
        <w:rPr>
          <w:rFonts w:cs="Times New Roman"/>
        </w:rPr>
        <w:t>lectricit</w:t>
      </w:r>
      <w:r w:rsidR="00022E7E">
        <w:rPr>
          <w:rFonts w:cs="Times New Roman"/>
        </w:rPr>
        <w:t>y and g</w:t>
      </w:r>
      <w:r w:rsidRPr="007373B2">
        <w:rPr>
          <w:rFonts w:cs="Times New Roman"/>
        </w:rPr>
        <w:t>as sector</w:t>
      </w:r>
      <w:r>
        <w:rPr>
          <w:rFonts w:cs="Times New Roman"/>
        </w:rPr>
        <w:t xml:space="preserve"> between 1995 and 2009</w:t>
      </w:r>
      <w:r w:rsidRPr="007373B2">
        <w:rPr>
          <w:rFonts w:cs="Times New Roman"/>
        </w:rPr>
        <w:t xml:space="preserve"> (Thousands jobs)</w:t>
      </w:r>
    </w:p>
    <w:tbl>
      <w:tblPr>
        <w:tblW w:w="13401" w:type="dxa"/>
        <w:tblInd w:w="93" w:type="dxa"/>
        <w:tblCellMar>
          <w:left w:w="57" w:type="dxa"/>
          <w:right w:w="57" w:type="dxa"/>
        </w:tblCellMar>
        <w:tblLook w:val="04A0"/>
      </w:tblPr>
      <w:tblGrid>
        <w:gridCol w:w="985"/>
        <w:gridCol w:w="443"/>
        <w:gridCol w:w="417"/>
        <w:gridCol w:w="443"/>
        <w:gridCol w:w="426"/>
        <w:gridCol w:w="528"/>
        <w:gridCol w:w="528"/>
        <w:gridCol w:w="461"/>
        <w:gridCol w:w="394"/>
        <w:gridCol w:w="399"/>
        <w:gridCol w:w="372"/>
        <w:gridCol w:w="528"/>
        <w:gridCol w:w="443"/>
        <w:gridCol w:w="443"/>
        <w:gridCol w:w="461"/>
        <w:gridCol w:w="372"/>
        <w:gridCol w:w="394"/>
        <w:gridCol w:w="426"/>
        <w:gridCol w:w="443"/>
        <w:gridCol w:w="443"/>
        <w:gridCol w:w="452"/>
        <w:gridCol w:w="443"/>
        <w:gridCol w:w="474"/>
        <w:gridCol w:w="408"/>
        <w:gridCol w:w="479"/>
        <w:gridCol w:w="435"/>
        <w:gridCol w:w="435"/>
        <w:gridCol w:w="452"/>
        <w:gridCol w:w="474"/>
      </w:tblGrid>
      <w:tr w:rsidR="00580CFF" w:rsidRPr="00444341" w:rsidTr="00444341">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Sector code</w:t>
            </w:r>
          </w:p>
        </w:tc>
        <w:tc>
          <w:tcPr>
            <w:tcW w:w="443"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AUT</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BEL</w:t>
            </w:r>
          </w:p>
        </w:tc>
        <w:tc>
          <w:tcPr>
            <w:tcW w:w="443"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BGR</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CYP</w:t>
            </w:r>
          </w:p>
        </w:tc>
        <w:tc>
          <w:tcPr>
            <w:tcW w:w="528"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CZE</w:t>
            </w:r>
          </w:p>
        </w:tc>
        <w:tc>
          <w:tcPr>
            <w:tcW w:w="528"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DEU</w:t>
            </w:r>
          </w:p>
        </w:tc>
        <w:tc>
          <w:tcPr>
            <w:tcW w:w="461"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DNK</w:t>
            </w:r>
          </w:p>
        </w:tc>
        <w:tc>
          <w:tcPr>
            <w:tcW w:w="394"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ESP</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EST</w:t>
            </w:r>
          </w:p>
        </w:tc>
        <w:tc>
          <w:tcPr>
            <w:tcW w:w="372"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FIN</w:t>
            </w:r>
          </w:p>
        </w:tc>
        <w:tc>
          <w:tcPr>
            <w:tcW w:w="528"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FRA</w:t>
            </w:r>
          </w:p>
        </w:tc>
        <w:tc>
          <w:tcPr>
            <w:tcW w:w="443"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GBR</w:t>
            </w:r>
          </w:p>
        </w:tc>
        <w:tc>
          <w:tcPr>
            <w:tcW w:w="443"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GRC</w:t>
            </w:r>
          </w:p>
        </w:tc>
        <w:tc>
          <w:tcPr>
            <w:tcW w:w="461"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HUN</w:t>
            </w:r>
          </w:p>
        </w:tc>
        <w:tc>
          <w:tcPr>
            <w:tcW w:w="372"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IRL</w:t>
            </w:r>
          </w:p>
        </w:tc>
        <w:tc>
          <w:tcPr>
            <w:tcW w:w="394"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ITA</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LTU</w:t>
            </w:r>
          </w:p>
        </w:tc>
        <w:tc>
          <w:tcPr>
            <w:tcW w:w="443"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LUX</w:t>
            </w:r>
          </w:p>
        </w:tc>
        <w:tc>
          <w:tcPr>
            <w:tcW w:w="443"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LVA</w:t>
            </w:r>
          </w:p>
        </w:tc>
        <w:tc>
          <w:tcPr>
            <w:tcW w:w="452"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MLT</w:t>
            </w:r>
          </w:p>
        </w:tc>
        <w:tc>
          <w:tcPr>
            <w:tcW w:w="443"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NLD</w:t>
            </w:r>
          </w:p>
        </w:tc>
        <w:tc>
          <w:tcPr>
            <w:tcW w:w="474"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POL</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PRT</w:t>
            </w:r>
          </w:p>
        </w:tc>
        <w:tc>
          <w:tcPr>
            <w:tcW w:w="479"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ROM</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SVK</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SVN</w:t>
            </w:r>
          </w:p>
        </w:tc>
        <w:tc>
          <w:tcPr>
            <w:tcW w:w="452"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SWE</w:t>
            </w:r>
          </w:p>
        </w:tc>
        <w:tc>
          <w:tcPr>
            <w:tcW w:w="474"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EU</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1.9</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3.4</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16.1</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-12.9</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-10.8</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-9.6</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-28.5</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5.3</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c7</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3.5</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c8</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-3.0</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c9</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3.4</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w:t>
            </w:r>
            <w:r w:rsidRPr="00444341">
              <w:rPr>
                <w:sz w:val="16"/>
                <w:szCs w:val="16"/>
              </w:rPr>
              <w:lastRenderedPageBreak/>
              <w:t>.2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5.6</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3.6</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5.2</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3.1</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2.5</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9.3</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9.7</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3.6</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26.5</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2.5</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4.0</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c17</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-9.6</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35.8</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15.7</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9.8</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3.7</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2.7</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64.2</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c18</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2.9</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3.8</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44.7</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44.5</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c19</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2.3</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2.4</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1.8</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14.3</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1.8</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2.7</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5.8</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10.9</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38.1</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10.8</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7.8</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37.9</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6.9</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6.7</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9.6</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10.6</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38.2</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3.5</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7.2</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c27</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4.6</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2.6</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3.4</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17.5</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c28</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-2.9</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2.7</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4.2</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c29</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2.3</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28.3</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2.7</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9.7</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18.5</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2.5</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21.8</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5.1</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159.0</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-25.0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5.8</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-10.3</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3.2</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1.9</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1.9</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11.5</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3.4</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c34</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4.8</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4.1</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1.9</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8.9</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-3.9</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41.0</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r>
      <w:tr w:rsidR="00444341" w:rsidRPr="00444341" w:rsidTr="00444341">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Total</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19.9</w:t>
            </w:r>
          </w:p>
        </w:tc>
        <w:tc>
          <w:tcPr>
            <w:tcW w:w="417"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-18.0</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95.1</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9.8</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39.7</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6.0</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7.7</w:t>
            </w:r>
          </w:p>
        </w:tc>
        <w:tc>
          <w:tcPr>
            <w:tcW w:w="52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46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54.9</w:t>
            </w:r>
          </w:p>
        </w:tc>
        <w:tc>
          <w:tcPr>
            <w:tcW w:w="37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39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50.5</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-7.2</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35.8</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124.2</w:t>
            </w:r>
          </w:p>
        </w:tc>
        <w:tc>
          <w:tcPr>
            <w:tcW w:w="408"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36.0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2.9</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14.3</w:t>
            </w:r>
          </w:p>
        </w:tc>
        <w:tc>
          <w:tcPr>
            <w:tcW w:w="47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529.5</w:t>
            </w:r>
          </w:p>
        </w:tc>
      </w:tr>
    </w:tbl>
    <w:p w:rsidR="00580CFF" w:rsidRDefault="00580CFF" w:rsidP="00580CFF">
      <w:pPr>
        <w:spacing w:after="0"/>
        <w:rPr>
          <w:rFonts w:cs="Times New Roman"/>
          <w:sz w:val="18"/>
          <w:szCs w:val="18"/>
        </w:rPr>
      </w:pPr>
      <w:r>
        <w:rPr>
          <w:rFonts w:cs="Times New Roman"/>
          <w:sz w:val="18"/>
          <w:szCs w:val="18"/>
        </w:rPr>
        <w:t xml:space="preserve">Note: sector codes can be found in </w:t>
      </w:r>
      <w:fldSimple w:instr=" REF _Ref436216513 \h  \* MERGEFORMAT ">
        <w:r w:rsidRPr="00580CFF">
          <w:rPr>
            <w:rFonts w:cs="Times New Roman"/>
            <w:sz w:val="18"/>
            <w:szCs w:val="18"/>
          </w:rPr>
          <w:t>Table A.3</w:t>
        </w:r>
      </w:fldSimple>
      <w:r>
        <w:rPr>
          <w:rFonts w:cs="Times New Roman"/>
          <w:sz w:val="18"/>
          <w:szCs w:val="18"/>
        </w:rPr>
        <w:t>.</w:t>
      </w:r>
    </w:p>
    <w:p w:rsidR="00013C9A" w:rsidRDefault="00580CFF" w:rsidP="00580CFF">
      <w:pPr>
        <w:spacing w:after="0"/>
        <w:rPr>
          <w:rFonts w:eastAsia="Times New Roman"/>
          <w:lang w:eastAsia="en-GB"/>
        </w:rPr>
      </w:pPr>
      <w:r w:rsidRPr="00C86424">
        <w:rPr>
          <w:rFonts w:cs="Times New Roman"/>
          <w:sz w:val="18"/>
          <w:szCs w:val="18"/>
        </w:rPr>
        <w:t>Source: own elaboration based on data from the World Input</w:t>
      </w:r>
      <w:r w:rsidR="00E26F71">
        <w:rPr>
          <w:rFonts w:cs="Times New Roman"/>
          <w:sz w:val="18"/>
          <w:szCs w:val="18"/>
        </w:rPr>
        <w:t>-</w:t>
      </w:r>
      <w:r w:rsidRPr="00C86424">
        <w:rPr>
          <w:rFonts w:cs="Times New Roman"/>
          <w:sz w:val="18"/>
          <w:szCs w:val="18"/>
        </w:rPr>
        <w:t>Output Database</w:t>
      </w:r>
      <w:r>
        <w:rPr>
          <w:rFonts w:cs="Times New Roman"/>
          <w:sz w:val="18"/>
          <w:szCs w:val="18"/>
        </w:rPr>
        <w:t>.</w:t>
      </w:r>
    </w:p>
    <w:p w:rsidR="00013C9A" w:rsidRDefault="00013C9A">
      <w:pPr>
        <w:spacing w:before="0" w:after="200" w:line="276" w:lineRule="auto"/>
        <w:jc w:val="left"/>
        <w:rPr>
          <w:rFonts w:eastAsia="Times New Roman"/>
          <w:lang w:eastAsia="en-GB"/>
        </w:rPr>
        <w:sectPr w:rsidR="00013C9A" w:rsidSect="00A07116">
          <w:pgSz w:w="16838" w:h="11906" w:orient="landscape"/>
          <w:pgMar w:top="1440" w:right="1440" w:bottom="1440" w:left="1440" w:header="709" w:footer="709" w:gutter="0"/>
          <w:cols w:space="708"/>
          <w:docGrid w:linePitch="360"/>
        </w:sectPr>
      </w:pPr>
    </w:p>
    <w:p w:rsidR="00013C9A" w:rsidRDefault="00013C9A" w:rsidP="00013C9A">
      <w:pPr>
        <w:pStyle w:val="Caption"/>
        <w:rPr>
          <w:rFonts w:eastAsia="Times New Roman"/>
          <w:lang w:eastAsia="en-GB"/>
        </w:rPr>
      </w:pPr>
      <w:bookmarkStart w:id="11" w:name="_Ref411527179"/>
      <w:r>
        <w:lastRenderedPageBreak/>
        <w:t>Table A</w:t>
      </w:r>
      <w:r w:rsidR="000C6558">
        <w:t>.</w:t>
      </w:r>
      <w:r w:rsidR="003C0622">
        <w:fldChar w:fldCharType="begin"/>
      </w:r>
      <w:r>
        <w:instrText xml:space="preserve"> SEQ Table_A \* ARABIC </w:instrText>
      </w:r>
      <w:r w:rsidR="003C0622">
        <w:fldChar w:fldCharType="separate"/>
      </w:r>
      <w:r w:rsidR="009133D0">
        <w:rPr>
          <w:noProof/>
        </w:rPr>
        <w:t>2</w:t>
      </w:r>
      <w:r w:rsidR="003C0622">
        <w:fldChar w:fldCharType="end"/>
      </w:r>
      <w:bookmarkEnd w:id="11"/>
      <w:r w:rsidRPr="004F03CB">
        <w:rPr>
          <w:rFonts w:cs="Times New Roman"/>
        </w:rPr>
        <w:t>:</w:t>
      </w:r>
      <w:r>
        <w:rPr>
          <w:rFonts w:cs="Times New Roman"/>
        </w:rPr>
        <w:t xml:space="preserve"> </w:t>
      </w:r>
      <w:r w:rsidRPr="007373B2">
        <w:rPr>
          <w:rFonts w:cs="Times New Roman"/>
        </w:rPr>
        <w:t>Total impact</w:t>
      </w:r>
      <w:r w:rsidRPr="007373B2">
        <w:rPr>
          <w:rFonts w:cs="Times New Roman"/>
        </w:rPr>
        <w:lastRenderedPageBreak/>
        <w:t xml:space="preserve">s on employment </w:t>
      </w:r>
      <w:r>
        <w:rPr>
          <w:rFonts w:cs="Times New Roman"/>
        </w:rPr>
        <w:t xml:space="preserve">by sector in non-EU </w:t>
      </w:r>
      <w:r w:rsidR="004D4CC8">
        <w:rPr>
          <w:rFonts w:cs="Times New Roman"/>
        </w:rPr>
        <w:t>countries</w:t>
      </w:r>
      <w:r w:rsidRPr="007373B2">
        <w:rPr>
          <w:rFonts w:cs="Times New Roman"/>
        </w:rPr>
        <w:t xml:space="preserve"> due to changes in the input structure of the EU </w:t>
      </w:r>
      <w:r w:rsidR="00022E7E">
        <w:rPr>
          <w:rFonts w:cs="Times New Roman"/>
        </w:rPr>
        <w:t>e</w:t>
      </w:r>
      <w:r w:rsidRPr="007373B2">
        <w:rPr>
          <w:rFonts w:cs="Times New Roman"/>
        </w:rPr>
        <w:t>lectricity</w:t>
      </w:r>
      <w:r w:rsidR="00022E7E">
        <w:rPr>
          <w:rFonts w:cs="Times New Roman"/>
        </w:rPr>
        <w:t xml:space="preserve"> and g</w:t>
      </w:r>
      <w:r w:rsidRPr="007373B2">
        <w:rPr>
          <w:rFonts w:cs="Times New Roman"/>
        </w:rPr>
        <w:t>as sector</w:t>
      </w:r>
      <w:r>
        <w:rPr>
          <w:rFonts w:cs="Times New Roman"/>
        </w:rPr>
        <w:t xml:space="preserve"> between 1995 and 2009</w:t>
      </w:r>
      <w:r w:rsidRPr="007373B2">
        <w:rPr>
          <w:rFonts w:cs="Times New Roman"/>
        </w:rPr>
        <w:t xml:space="preserve"> (Thousands jobs)</w:t>
      </w:r>
    </w:p>
    <w:tbl>
      <w:tblPr>
        <w:tblW w:w="7514" w:type="dxa"/>
        <w:tblInd w:w="93" w:type="dxa"/>
        <w:tblCellMar>
          <w:left w:w="57" w:type="dxa"/>
          <w:right w:w="57" w:type="dxa"/>
        </w:tblCellMar>
        <w:tblLook w:val="04A0"/>
      </w:tblPr>
      <w:tblGrid>
        <w:gridCol w:w="945"/>
        <w:gridCol w:w="435"/>
        <w:gridCol w:w="443"/>
        <w:gridCol w:w="452"/>
        <w:gridCol w:w="474"/>
        <w:gridCol w:w="399"/>
        <w:gridCol w:w="399"/>
        <w:gridCol w:w="381"/>
        <w:gridCol w:w="452"/>
        <w:gridCol w:w="470"/>
        <w:gridCol w:w="474"/>
        <w:gridCol w:w="434"/>
        <w:gridCol w:w="479"/>
        <w:gridCol w:w="435"/>
        <w:gridCol w:w="474"/>
        <w:gridCol w:w="474"/>
      </w:tblGrid>
      <w:tr w:rsidR="00580CFF" w:rsidRPr="00444341" w:rsidTr="00580CFF">
        <w:trPr>
          <w:trHeight w:val="225"/>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Sector code</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AUS</w:t>
            </w:r>
          </w:p>
        </w:tc>
        <w:tc>
          <w:tcPr>
            <w:tcW w:w="443"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BRA</w:t>
            </w:r>
          </w:p>
        </w:tc>
        <w:tc>
          <w:tcPr>
            <w:tcW w:w="452"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CAN</w:t>
            </w:r>
          </w:p>
        </w:tc>
        <w:tc>
          <w:tcPr>
            <w:tcW w:w="452"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CHN</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IND</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IDN</w:t>
            </w:r>
          </w:p>
        </w:tc>
        <w:tc>
          <w:tcPr>
            <w:tcW w:w="381"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JPN</w:t>
            </w:r>
          </w:p>
        </w:tc>
        <w:tc>
          <w:tcPr>
            <w:tcW w:w="452"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KOR</w:t>
            </w:r>
          </w:p>
        </w:tc>
        <w:tc>
          <w:tcPr>
            <w:tcW w:w="470"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MEX</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RUS</w:t>
            </w:r>
          </w:p>
        </w:tc>
        <w:tc>
          <w:tcPr>
            <w:tcW w:w="434"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TUR</w:t>
            </w:r>
          </w:p>
        </w:tc>
        <w:tc>
          <w:tcPr>
            <w:tcW w:w="479"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TWN</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USA</w:t>
            </w:r>
          </w:p>
        </w:tc>
        <w:tc>
          <w:tcPr>
            <w:tcW w:w="452"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proofErr w:type="spellStart"/>
            <w:r w:rsidRPr="00444341">
              <w:rPr>
                <w:rFonts w:eastAsia="Times New Roman" w:cs="Times New Roman"/>
                <w:color w:val="000000"/>
                <w:sz w:val="16"/>
                <w:szCs w:val="16"/>
                <w:lang w:eastAsia="en-GB"/>
              </w:rPr>
              <w:t>RoW</w:t>
            </w:r>
            <w:proofErr w:type="spellEnd"/>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580CFF" w:rsidRPr="00444341" w:rsidRDefault="00580CFF"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Total</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23.4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5.9</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54.6</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95.6</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9.5</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8.6</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3.4</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c4</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2.6</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3.3</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c6</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2.7</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7.1</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c7</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3.0</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7.8</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c8</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-2.5</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-1.8</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c9</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1.8</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5.7</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7.7</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3.2</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2.8</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9.2</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c13</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2.7</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8.2</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c14</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5.2</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23.3</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4.1</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c16</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4.1</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c17</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7.4</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7.9</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19.1</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c18</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5.7</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c19</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3.1</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3.6</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61.8</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34.4</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102.9</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1.9</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7.3</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4.4</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22.4</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4.4</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11.9</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c23</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37.6</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40.9</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89.3</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c24</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4.2</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c26</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0.8</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4.2</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c27</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2.3</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8.2</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c28</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1.0</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4.4</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c29</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1.4</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1.3</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7.2</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5.6</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16.9</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40.8</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0.3</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4.4</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5.1</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c32</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0.6</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c33</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c34</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74.2</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21.6</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0.4</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0.5</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3.3</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0.1</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22.5</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127.4</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c35</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0.7</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0.2</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0.9</w:t>
            </w:r>
          </w:p>
        </w:tc>
      </w:tr>
      <w:tr w:rsidR="00444341" w:rsidRPr="00444341" w:rsidTr="0043270F">
        <w:trPr>
          <w:trHeight w:val="225"/>
        </w:trPr>
        <w:tc>
          <w:tcPr>
            <w:tcW w:w="945" w:type="dxa"/>
            <w:tcBorders>
              <w:top w:val="nil"/>
              <w:left w:val="single" w:sz="4" w:space="0" w:color="auto"/>
              <w:bottom w:val="single" w:sz="4" w:space="0" w:color="auto"/>
              <w:right w:val="single" w:sz="4" w:space="0" w:color="auto"/>
            </w:tcBorders>
            <w:shd w:val="clear" w:color="auto" w:fill="auto"/>
            <w:noWrap/>
            <w:vAlign w:val="bottom"/>
            <w:hideMark/>
          </w:tcPr>
          <w:p w:rsidR="00444341" w:rsidRPr="00444341" w:rsidRDefault="00444341" w:rsidP="00580CFF">
            <w:pPr>
              <w:spacing w:before="0" w:after="0" w:line="240" w:lineRule="auto"/>
              <w:jc w:val="left"/>
              <w:rPr>
                <w:rFonts w:eastAsia="Times New Roman" w:cs="Times New Roman"/>
                <w:color w:val="000000"/>
                <w:sz w:val="16"/>
                <w:szCs w:val="16"/>
                <w:lang w:eastAsia="en-GB"/>
              </w:rPr>
            </w:pPr>
            <w:r w:rsidRPr="00444341">
              <w:rPr>
                <w:rFonts w:eastAsia="Times New Roman" w:cs="Times New Roman"/>
                <w:color w:val="000000"/>
                <w:sz w:val="16"/>
                <w:szCs w:val="16"/>
                <w:lang w:eastAsia="en-GB"/>
              </w:rPr>
              <w:t>Total</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-1.5</w:t>
            </w:r>
          </w:p>
        </w:tc>
        <w:tc>
          <w:tcPr>
            <w:tcW w:w="443"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8.8</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2.2</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165.9</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48.0</w:t>
            </w:r>
          </w:p>
        </w:tc>
        <w:tc>
          <w:tcPr>
            <w:tcW w:w="39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11.8</w:t>
            </w:r>
          </w:p>
        </w:tc>
        <w:tc>
          <w:tcPr>
            <w:tcW w:w="381"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4.0</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6.2</w:t>
            </w:r>
          </w:p>
        </w:tc>
        <w:tc>
          <w:tcPr>
            <w:tcW w:w="47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1.8</w:t>
            </w:r>
          </w:p>
        </w:tc>
        <w:tc>
          <w:tcPr>
            <w:tcW w:w="426"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170.6</w:t>
            </w:r>
          </w:p>
        </w:tc>
        <w:tc>
          <w:tcPr>
            <w:tcW w:w="434"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2.7</w:t>
            </w:r>
          </w:p>
        </w:tc>
        <w:tc>
          <w:tcPr>
            <w:tcW w:w="479"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3.0</w:t>
            </w:r>
          </w:p>
        </w:tc>
        <w:tc>
          <w:tcPr>
            <w:tcW w:w="435"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9.1</w:t>
            </w:r>
          </w:p>
        </w:tc>
        <w:tc>
          <w:tcPr>
            <w:tcW w:w="452"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212.3</w:t>
            </w:r>
          </w:p>
        </w:tc>
        <w:tc>
          <w:tcPr>
            <w:tcW w:w="460" w:type="dxa"/>
            <w:tcBorders>
              <w:top w:val="nil"/>
              <w:left w:val="nil"/>
              <w:bottom w:val="single" w:sz="4" w:space="0" w:color="auto"/>
              <w:right w:val="single" w:sz="4" w:space="0" w:color="auto"/>
            </w:tcBorders>
            <w:shd w:val="clear" w:color="auto" w:fill="auto"/>
            <w:noWrap/>
          </w:tcPr>
          <w:p w:rsidR="00444341" w:rsidRPr="00444341" w:rsidRDefault="00444341" w:rsidP="00580CFF">
            <w:pPr>
              <w:spacing w:before="0" w:after="0" w:line="240" w:lineRule="auto"/>
              <w:jc w:val="right"/>
              <w:rPr>
                <w:rFonts w:eastAsia="Times New Roman" w:cs="Times New Roman"/>
                <w:color w:val="000000"/>
                <w:sz w:val="16"/>
                <w:szCs w:val="16"/>
                <w:lang w:eastAsia="en-GB"/>
              </w:rPr>
            </w:pPr>
            <w:r w:rsidRPr="00444341">
              <w:rPr>
                <w:sz w:val="16"/>
                <w:szCs w:val="16"/>
              </w:rPr>
              <w:t>644.7</w:t>
            </w:r>
          </w:p>
        </w:tc>
      </w:tr>
    </w:tbl>
    <w:p w:rsidR="00F428C7" w:rsidRDefault="00F428C7" w:rsidP="00F428C7">
      <w:pPr>
        <w:spacing w:after="0"/>
        <w:rPr>
          <w:rFonts w:cs="Times New Roman"/>
          <w:sz w:val="18"/>
          <w:szCs w:val="18"/>
        </w:rPr>
      </w:pPr>
      <w:r>
        <w:rPr>
          <w:rFonts w:cs="Times New Roman"/>
          <w:sz w:val="18"/>
          <w:szCs w:val="18"/>
        </w:rPr>
        <w:t xml:space="preserve">Note: sector codes can be found in </w:t>
      </w:r>
      <w:fldSimple w:instr=" REF _Ref436216513 \h  \* MERGEFORMAT ">
        <w:r w:rsidRPr="00580CFF">
          <w:rPr>
            <w:rFonts w:cs="Times New Roman"/>
            <w:sz w:val="18"/>
            <w:szCs w:val="18"/>
          </w:rPr>
          <w:t>Table A.3</w:t>
        </w:r>
      </w:fldSimple>
      <w:r>
        <w:rPr>
          <w:rFonts w:cs="Times New Roman"/>
          <w:sz w:val="18"/>
          <w:szCs w:val="18"/>
        </w:rPr>
        <w:t>.</w:t>
      </w:r>
    </w:p>
    <w:p w:rsidR="00F428C7" w:rsidRDefault="00F428C7" w:rsidP="00F428C7">
      <w:pPr>
        <w:spacing w:after="0"/>
        <w:rPr>
          <w:rFonts w:cs="Times New Roman"/>
          <w:sz w:val="18"/>
          <w:szCs w:val="18"/>
        </w:rPr>
      </w:pPr>
      <w:r w:rsidRPr="00C86424">
        <w:rPr>
          <w:rFonts w:cs="Times New Roman"/>
          <w:sz w:val="18"/>
          <w:szCs w:val="18"/>
        </w:rPr>
        <w:t>Source: own elaboration based on data from the World Input</w:t>
      </w:r>
      <w:r w:rsidR="00E26F71">
        <w:rPr>
          <w:rFonts w:cs="Times New Roman"/>
          <w:sz w:val="18"/>
          <w:szCs w:val="18"/>
        </w:rPr>
        <w:t>-</w:t>
      </w:r>
      <w:r w:rsidRPr="00C86424">
        <w:rPr>
          <w:rFonts w:cs="Times New Roman"/>
          <w:sz w:val="18"/>
          <w:szCs w:val="18"/>
        </w:rPr>
        <w:t>Output Database</w:t>
      </w:r>
      <w:r>
        <w:rPr>
          <w:rFonts w:cs="Times New Roman"/>
          <w:sz w:val="18"/>
          <w:szCs w:val="18"/>
        </w:rPr>
        <w:t>.</w:t>
      </w:r>
    </w:p>
    <w:p w:rsidR="00F428C7" w:rsidRDefault="00F428C7">
      <w:pPr>
        <w:spacing w:before="0" w:after="200" w:line="276" w:lineRule="auto"/>
        <w:jc w:val="left"/>
        <w:rPr>
          <w:rFonts w:cs="Times New Roman"/>
          <w:sz w:val="18"/>
          <w:szCs w:val="18"/>
        </w:rPr>
      </w:pPr>
      <w:r>
        <w:rPr>
          <w:rFonts w:cs="Times New Roman"/>
          <w:sz w:val="18"/>
          <w:szCs w:val="18"/>
        </w:rPr>
        <w:br w:type="page"/>
      </w:r>
    </w:p>
    <w:p w:rsidR="00C428CF" w:rsidRPr="00F428C7" w:rsidRDefault="00C428CF" w:rsidP="00C428CF">
      <w:pPr>
        <w:pStyle w:val="Caption"/>
        <w:rPr>
          <w:rFonts w:eastAsia="Times New Roman"/>
          <w:lang w:eastAsia="en-GB"/>
        </w:rPr>
      </w:pPr>
      <w:bookmarkStart w:id="12" w:name="_Ref436216513"/>
      <w:r w:rsidRPr="00F428C7">
        <w:lastRenderedPageBreak/>
        <w:t>Table A</w:t>
      </w:r>
      <w:r w:rsidR="000C6558" w:rsidRPr="00F428C7">
        <w:t>.</w:t>
      </w:r>
      <w:r w:rsidR="003C0622">
        <w:fldChar w:fldCharType="begin"/>
      </w:r>
      <w:r w:rsidR="002F7BE4">
        <w:instrText xml:space="preserve"> SEQ Table_A \* ARABIC </w:instrText>
      </w:r>
      <w:r w:rsidR="003C0622">
        <w:fldChar w:fldCharType="separate"/>
      </w:r>
      <w:r w:rsidR="009133D0" w:rsidRPr="00F428C7">
        <w:rPr>
          <w:noProof/>
        </w:rPr>
        <w:t>3</w:t>
      </w:r>
      <w:r w:rsidR="003C0622">
        <w:rPr>
          <w:noProof/>
        </w:rPr>
        <w:fldChar w:fldCharType="end"/>
      </w:r>
      <w:bookmarkEnd w:id="12"/>
      <w:r w:rsidRPr="00F428C7">
        <w:rPr>
          <w:rFonts w:cs="Times New Roman"/>
        </w:rPr>
        <w:t>: Sector classification</w:t>
      </w:r>
    </w:p>
    <w:tbl>
      <w:tblPr>
        <w:tblW w:w="914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3"/>
        <w:gridCol w:w="7865"/>
      </w:tblGrid>
      <w:tr w:rsidR="00022E7E" w:rsidRPr="00F428C7" w:rsidTr="00F428C7">
        <w:trPr>
          <w:trHeight w:val="300"/>
        </w:trPr>
        <w:tc>
          <w:tcPr>
            <w:tcW w:w="1283" w:type="dxa"/>
            <w:shd w:val="clear" w:color="auto" w:fill="auto"/>
            <w:noWrap/>
            <w:vAlign w:val="bottom"/>
            <w:hideMark/>
          </w:tcPr>
          <w:p w:rsidR="00022E7E" w:rsidRPr="00F428C7" w:rsidRDefault="00022E7E" w:rsidP="00580CF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Sector code</w:t>
            </w:r>
          </w:p>
        </w:tc>
        <w:tc>
          <w:tcPr>
            <w:tcW w:w="7865" w:type="dxa"/>
            <w:shd w:val="clear" w:color="auto" w:fill="auto"/>
            <w:noWrap/>
            <w:vAlign w:val="bottom"/>
            <w:hideMark/>
          </w:tcPr>
          <w:p w:rsidR="00022E7E" w:rsidRPr="00F428C7" w:rsidRDefault="00022E7E" w:rsidP="00580CF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Sector</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c1</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Agriculture, Hunting, Forestry and Fishing</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c2</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Mining and Quarrying</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c3</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Food, Beverages and Tobacco</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c4</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Textiles and Textile Products</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c5</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Leather, Leather and Footwear</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c6</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Wood and Products of Wood and Cork</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c7</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Pulp, Paper, Paper , Printing and Publishing</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c8</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Coke, Refined Petroleum and Nuclear Fuel</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c9</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Chemicals and Chemical Products</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c10</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Rubber and Plastics</w:t>
            </w:r>
          </w:p>
        </w:tc>
      </w:tr>
      <w:tr w:rsidR="00C428CF" w:rsidRPr="00F428C7"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c11</w:t>
            </w:r>
          </w:p>
        </w:tc>
        <w:tc>
          <w:tcPr>
            <w:tcW w:w="7865"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Other Non-Metallic Mineral</w:t>
            </w:r>
          </w:p>
        </w:tc>
      </w:tr>
      <w:tr w:rsidR="00C428CF" w:rsidRPr="00580CFF" w:rsidTr="00F428C7">
        <w:trPr>
          <w:trHeight w:val="300"/>
        </w:trPr>
        <w:tc>
          <w:tcPr>
            <w:tcW w:w="1283" w:type="dxa"/>
            <w:shd w:val="clear" w:color="auto" w:fill="auto"/>
            <w:noWrap/>
            <w:vAlign w:val="bottom"/>
            <w:hideMark/>
          </w:tcPr>
          <w:p w:rsidR="00C428CF" w:rsidRPr="00F428C7"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c12</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F428C7">
              <w:rPr>
                <w:rFonts w:eastAsia="Times New Roman" w:cs="Times New Roman"/>
                <w:color w:val="000000"/>
                <w:lang w:val="en-US"/>
              </w:rPr>
              <w:t>Basic Metals and Fabricated Metal</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c13</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 xml:space="preserve">Machinery, </w:t>
            </w:r>
            <w:proofErr w:type="spellStart"/>
            <w:r w:rsidRPr="00580CFF">
              <w:rPr>
                <w:rFonts w:eastAsia="Times New Roman" w:cs="Times New Roman"/>
                <w:color w:val="000000"/>
                <w:lang w:val="en-US"/>
              </w:rPr>
              <w:t>Nec</w:t>
            </w:r>
            <w:proofErr w:type="spellEnd"/>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c14</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Electrical and Optical Equipment</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c15</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Transport Equipment</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c16</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 xml:space="preserve">Manufacturing, </w:t>
            </w:r>
            <w:proofErr w:type="spellStart"/>
            <w:r w:rsidRPr="00580CFF">
              <w:rPr>
                <w:rFonts w:eastAsia="Times New Roman" w:cs="Times New Roman"/>
                <w:color w:val="000000"/>
                <w:lang w:val="en-US"/>
              </w:rPr>
              <w:t>Nec</w:t>
            </w:r>
            <w:proofErr w:type="spellEnd"/>
            <w:r w:rsidRPr="00580CFF">
              <w:rPr>
                <w:rFonts w:eastAsia="Times New Roman" w:cs="Times New Roman"/>
                <w:color w:val="000000"/>
                <w:lang w:val="en-US"/>
              </w:rPr>
              <w:t>; Recycling</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c17</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Electricity, Gas and Water Supply</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c18</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Construction</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c19</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Sale, Maintenance and Repair of Motor Vehicles and Motorcycles; Retail Sale of Fuel</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c20</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Wholesale Trade and Commission Trade, Except of Motor Vehicles and Motorcycles</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c21</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Retail Trade, Except of Motor Vehicles and Motorcycles; Repair of Household Goods</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c22</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Hotels and Restaurants</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c23</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Inland Transport</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c24</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Water Transport</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c25</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Air Transport</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c26</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Other Supporting and Auxiliary Transport Activities; Activities of Travel Agencies</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c27</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Post and Telecommunications</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c28</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Financial Intermediation</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c29</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Real Estate Activities</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c30</w:t>
            </w:r>
          </w:p>
        </w:tc>
        <w:tc>
          <w:tcPr>
            <w:tcW w:w="7865" w:type="dxa"/>
            <w:shd w:val="clear" w:color="auto" w:fill="auto"/>
            <w:noWrap/>
            <w:vAlign w:val="bottom"/>
            <w:hideMark/>
          </w:tcPr>
          <w:p w:rsidR="00C428CF" w:rsidRPr="00580CFF" w:rsidRDefault="00C428CF" w:rsidP="009B0EBD">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 xml:space="preserve">Renting of </w:t>
            </w:r>
            <w:r w:rsidR="009B0EBD" w:rsidRPr="00580CFF">
              <w:rPr>
                <w:rFonts w:eastAsia="Times New Roman" w:cs="Times New Roman"/>
                <w:color w:val="000000"/>
                <w:lang w:val="en-US"/>
              </w:rPr>
              <w:t>Machinery</w:t>
            </w:r>
            <w:r w:rsidRPr="00580CFF">
              <w:rPr>
                <w:rFonts w:eastAsia="Times New Roman" w:cs="Times New Roman"/>
                <w:color w:val="000000"/>
                <w:lang w:val="en-US"/>
              </w:rPr>
              <w:t xml:space="preserve"> and Other Business Activities</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c31</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 xml:space="preserve">Public Admin and </w:t>
            </w:r>
            <w:proofErr w:type="spellStart"/>
            <w:r w:rsidRPr="00580CFF">
              <w:rPr>
                <w:rFonts w:eastAsia="Times New Roman" w:cs="Times New Roman"/>
                <w:color w:val="000000"/>
                <w:lang w:val="en-US"/>
              </w:rPr>
              <w:t>Defence</w:t>
            </w:r>
            <w:proofErr w:type="spellEnd"/>
            <w:r w:rsidRPr="00580CFF">
              <w:rPr>
                <w:rFonts w:eastAsia="Times New Roman" w:cs="Times New Roman"/>
                <w:color w:val="000000"/>
                <w:lang w:val="en-US"/>
              </w:rPr>
              <w:t>; Compulsory Social Security</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c32</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Education</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c33</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Health and Social Work</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c34</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Other Community, Social and Personal Services</w:t>
            </w:r>
          </w:p>
        </w:tc>
      </w:tr>
      <w:tr w:rsidR="00C428CF" w:rsidRPr="00580CFF" w:rsidTr="00F428C7">
        <w:trPr>
          <w:trHeight w:val="300"/>
        </w:trPr>
        <w:tc>
          <w:tcPr>
            <w:tcW w:w="1283"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c35</w:t>
            </w:r>
          </w:p>
        </w:tc>
        <w:tc>
          <w:tcPr>
            <w:tcW w:w="7865" w:type="dxa"/>
            <w:shd w:val="clear" w:color="auto" w:fill="auto"/>
            <w:noWrap/>
            <w:vAlign w:val="bottom"/>
            <w:hideMark/>
          </w:tcPr>
          <w:p w:rsidR="00C428CF" w:rsidRPr="00580CFF" w:rsidRDefault="00C428CF" w:rsidP="00C428CF">
            <w:pPr>
              <w:spacing w:before="0" w:after="0" w:line="240" w:lineRule="auto"/>
              <w:jc w:val="left"/>
              <w:rPr>
                <w:rFonts w:eastAsia="Times New Roman" w:cs="Times New Roman"/>
                <w:color w:val="000000"/>
                <w:lang w:val="en-US"/>
              </w:rPr>
            </w:pPr>
            <w:r w:rsidRPr="00580CFF">
              <w:rPr>
                <w:rFonts w:eastAsia="Times New Roman" w:cs="Times New Roman"/>
                <w:color w:val="000000"/>
                <w:lang w:val="en-US"/>
              </w:rPr>
              <w:t>Private Households with Employed Persons</w:t>
            </w:r>
          </w:p>
        </w:tc>
      </w:tr>
    </w:tbl>
    <w:p w:rsidR="00C428CF" w:rsidRPr="00C428CF" w:rsidRDefault="00C428CF" w:rsidP="00B42F94">
      <w:pPr>
        <w:spacing w:before="0" w:after="200" w:line="276" w:lineRule="auto"/>
        <w:jc w:val="left"/>
        <w:rPr>
          <w:lang w:val="en-US" w:eastAsia="en-GB"/>
        </w:rPr>
      </w:pPr>
    </w:p>
    <w:sectPr w:rsidR="00C428CF" w:rsidRPr="00C428CF" w:rsidSect="009C5AE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36D" w:rsidRDefault="0078236D" w:rsidP="00DA7AB2">
      <w:pPr>
        <w:spacing w:after="0" w:line="240" w:lineRule="auto"/>
      </w:pPr>
      <w:r>
        <w:separator/>
      </w:r>
    </w:p>
  </w:endnote>
  <w:endnote w:type="continuationSeparator" w:id="0">
    <w:p w:rsidR="0078236D" w:rsidRDefault="0078236D" w:rsidP="00DA7A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603123"/>
      <w:docPartObj>
        <w:docPartGallery w:val="Page Numbers (Bottom of Page)"/>
        <w:docPartUnique/>
      </w:docPartObj>
    </w:sdtPr>
    <w:sdtContent>
      <w:p w:rsidR="001C4E43" w:rsidRDefault="003C0622">
        <w:pPr>
          <w:pStyle w:val="Footer"/>
          <w:jc w:val="center"/>
        </w:pPr>
        <w:r>
          <w:fldChar w:fldCharType="begin"/>
        </w:r>
        <w:r w:rsidR="001C4E43">
          <w:instrText xml:space="preserve"> PAGE   \* MERGEFORMAT </w:instrText>
        </w:r>
        <w:r>
          <w:fldChar w:fldCharType="separate"/>
        </w:r>
        <w:r w:rsidR="00530707">
          <w:rPr>
            <w:noProof/>
          </w:rPr>
          <w:t>1</w:t>
        </w:r>
        <w:r>
          <w:rPr>
            <w:noProof/>
          </w:rPr>
          <w:fldChar w:fldCharType="end"/>
        </w:r>
      </w:p>
    </w:sdtContent>
  </w:sdt>
  <w:p w:rsidR="001C4E43" w:rsidRDefault="001C4E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36D" w:rsidRDefault="0078236D" w:rsidP="00DA7AB2">
      <w:pPr>
        <w:spacing w:after="0" w:line="240" w:lineRule="auto"/>
      </w:pPr>
      <w:r>
        <w:separator/>
      </w:r>
    </w:p>
  </w:footnote>
  <w:footnote w:type="continuationSeparator" w:id="0">
    <w:p w:rsidR="0078236D" w:rsidRDefault="0078236D" w:rsidP="00DA7AB2">
      <w:pPr>
        <w:spacing w:after="0" w:line="240" w:lineRule="auto"/>
      </w:pPr>
      <w:r>
        <w:continuationSeparator/>
      </w:r>
    </w:p>
  </w:footnote>
  <w:footnote w:id="1">
    <w:p w:rsidR="001C4E43" w:rsidRPr="00116DFD" w:rsidRDefault="001C4E43">
      <w:pPr>
        <w:pStyle w:val="FootnoteText"/>
        <w:rPr>
          <w:lang w:val="en-US"/>
        </w:rPr>
      </w:pPr>
      <w:r>
        <w:rPr>
          <w:rStyle w:val="FootnoteReference"/>
        </w:rPr>
        <w:footnoteRef/>
      </w:r>
      <w:r>
        <w:t xml:space="preserve"> This sector corresponds to the s</w:t>
      </w:r>
      <w:r w:rsidRPr="007A62E9">
        <w:t xml:space="preserve">ection E </w:t>
      </w:r>
      <w:r>
        <w:t>of the NACE 1 classification “</w:t>
      </w:r>
      <w:r w:rsidRPr="007A62E9">
        <w:t xml:space="preserve">Electricity, </w:t>
      </w:r>
      <w:r>
        <w:t>G</w:t>
      </w:r>
      <w:r w:rsidRPr="007A62E9">
        <w:t xml:space="preserve">as and </w:t>
      </w:r>
      <w:r>
        <w:t>W</w:t>
      </w:r>
      <w:r w:rsidRPr="007A62E9">
        <w:t>ater supply</w:t>
      </w:r>
      <w:r>
        <w:t>”; it covers the p</w:t>
      </w:r>
      <w:r w:rsidRPr="00AE4946">
        <w:t xml:space="preserve">roduction </w:t>
      </w:r>
      <w:r>
        <w:t>and distribution of electricity,</w:t>
      </w:r>
      <w:r w:rsidRPr="00AE4946">
        <w:t xml:space="preserve"> </w:t>
      </w:r>
      <w:r>
        <w:t>m</w:t>
      </w:r>
      <w:r w:rsidRPr="00AE4946">
        <w:t>anufacture of gas</w:t>
      </w:r>
      <w:r>
        <w:t>, distribution of gaseous fuels</w:t>
      </w:r>
      <w:r w:rsidRPr="00AE4946">
        <w:t xml:space="preserve">, </w:t>
      </w:r>
      <w:r>
        <w:t>s</w:t>
      </w:r>
      <w:r w:rsidRPr="00AE4946">
        <w:t>team and hot water supply</w:t>
      </w:r>
      <w:r>
        <w:t>,</w:t>
      </w:r>
      <w:r w:rsidRPr="00AE4946">
        <w:t xml:space="preserve"> and </w:t>
      </w:r>
      <w:r>
        <w:t>c</w:t>
      </w:r>
      <w:r w:rsidRPr="00AE4946">
        <w:t xml:space="preserve">ollection, purification and distribution of </w:t>
      </w:r>
      <w:r>
        <w:t>water.</w:t>
      </w:r>
    </w:p>
  </w:footnote>
  <w:footnote w:id="2">
    <w:p w:rsidR="001C4E43" w:rsidRPr="0043270F" w:rsidRDefault="001C4E43">
      <w:pPr>
        <w:pStyle w:val="FootnoteText"/>
        <w:rPr>
          <w:lang w:val="en-US"/>
        </w:rPr>
      </w:pPr>
      <w:r>
        <w:rPr>
          <w:rStyle w:val="FootnoteReference"/>
        </w:rPr>
        <w:footnoteRef/>
      </w:r>
      <w:r>
        <w:t xml:space="preserve"> </w:t>
      </w:r>
      <w:r w:rsidRPr="009711F3">
        <w:t>Notation: Bold-face, lower-case letters refer to vectors; bold-face, capital letters refer to matrices; italic</w:t>
      </w:r>
      <w:r>
        <w:t>,</w:t>
      </w:r>
      <w:r w:rsidRPr="009711F3">
        <w:t xml:space="preserve"> lower-case letters refer to elements of a vector or matrix; subscripts reveal industry dimension; superscripts reveal country dimension; dia</w:t>
      </w:r>
      <w:r>
        <w:t>gonal matrices are denoted by ^.</w:t>
      </w:r>
    </w:p>
  </w:footnote>
  <w:footnote w:id="3">
    <w:p w:rsidR="001C4E43" w:rsidRPr="005733C5" w:rsidRDefault="001C4E43">
      <w:pPr>
        <w:pStyle w:val="FootnoteText"/>
        <w:rPr>
          <w:lang w:val="en-US"/>
        </w:rPr>
      </w:pPr>
      <w:r>
        <w:rPr>
          <w:rStyle w:val="FootnoteReference"/>
        </w:rPr>
        <w:footnoteRef/>
      </w:r>
      <w:r>
        <w:t xml:space="preserve"> Note that in </w:t>
      </w:r>
      <w:r w:rsidRPr="005733C5">
        <w:t xml:space="preserve">our case </w:t>
      </w:r>
      <w:r>
        <w:t xml:space="preserve">study, </w:t>
      </w:r>
      <w:r w:rsidRPr="005733C5">
        <w:t>countries 2 and 3 would be replaced by the 27 MS of the EU and country 1 by th</w:t>
      </w:r>
      <w:r>
        <w:t>e</w:t>
      </w:r>
      <w:r w:rsidRPr="005733C5">
        <w:t xml:space="preserve"> other 14 regions of</w:t>
      </w:r>
      <w:r>
        <w:t xml:space="preserve"> the </w:t>
      </w:r>
      <w:r>
        <w:rPr>
          <w:rFonts w:cs="Times New Roman"/>
        </w:rPr>
        <w:t>World Input-Output Database</w:t>
      </w:r>
      <w:r>
        <w:t>.</w:t>
      </w:r>
    </w:p>
  </w:footnote>
  <w:footnote w:id="4">
    <w:p w:rsidR="001C4E43" w:rsidRPr="004C6299" w:rsidRDefault="001C4E43">
      <w:pPr>
        <w:pStyle w:val="FootnoteText"/>
      </w:pPr>
      <w:r w:rsidRPr="00AC5F4C">
        <w:rPr>
          <w:rStyle w:val="FootnoteReference"/>
        </w:rPr>
        <w:footnoteRef/>
      </w:r>
      <w:r w:rsidRPr="00AC5F4C">
        <w:t xml:space="preserve"> Sector 17 in the </w:t>
      </w:r>
      <w:r>
        <w:rPr>
          <w:rFonts w:cs="Times New Roman"/>
        </w:rPr>
        <w:t>World Input-Output Database</w:t>
      </w:r>
      <w:r w:rsidRPr="00AC5F4C">
        <w:t xml:space="preserve"> </w:t>
      </w:r>
      <w:proofErr w:type="spellStart"/>
      <w:r w:rsidRPr="00AC5F4C">
        <w:t>database</w:t>
      </w:r>
      <w:proofErr w:type="spellEnd"/>
      <w:r w:rsidRPr="00AC5F4C">
        <w:t xml:space="preserve"> includes also water supply. Unfortunately, it is not possible to separate out that component but it is very small and almost all the changes can be attributed to electricity and gas production. Hence</w:t>
      </w:r>
      <w:r>
        <w:t>,</w:t>
      </w:r>
      <w:r w:rsidRPr="00AC5F4C">
        <w:t xml:space="preserve"> we feel it is reasonable to refer to it as the </w:t>
      </w:r>
      <w:r>
        <w:t>electricity and gas supply</w:t>
      </w:r>
      <w:r w:rsidRPr="00AC5F4C">
        <w:t xml:space="preserve"> sector for the purposes of this analysis.</w:t>
      </w:r>
    </w:p>
  </w:footnote>
  <w:footnote w:id="5">
    <w:p w:rsidR="001C4E43" w:rsidRPr="00116DFD" w:rsidRDefault="001C4E43" w:rsidP="00C650E1">
      <w:pPr>
        <w:pStyle w:val="FootnoteText"/>
        <w:rPr>
          <w:lang w:val="en-US"/>
        </w:rPr>
      </w:pPr>
      <w:r>
        <w:rPr>
          <w:rStyle w:val="FootnoteReference"/>
        </w:rPr>
        <w:footnoteRef/>
      </w:r>
      <w:r>
        <w:t xml:space="preserve"> The electricity and heat mix include the following transformation technologies: </w:t>
      </w:r>
      <w:r w:rsidRPr="00116DFD">
        <w:rPr>
          <w:lang w:val="en-US"/>
        </w:rPr>
        <w:t xml:space="preserve">Main activity electricity plants (IEA code: MAINELEC), </w:t>
      </w:r>
      <w:proofErr w:type="spellStart"/>
      <w:r w:rsidRPr="00116DFD">
        <w:rPr>
          <w:lang w:val="en-US"/>
        </w:rPr>
        <w:t>Autoproducer</w:t>
      </w:r>
      <w:proofErr w:type="spellEnd"/>
      <w:r w:rsidRPr="00116DFD">
        <w:rPr>
          <w:lang w:val="en-US"/>
        </w:rPr>
        <w:t xml:space="preserve"> electricity plants (AUTOELEC), M</w:t>
      </w:r>
      <w:r>
        <w:rPr>
          <w:lang w:val="en-US"/>
        </w:rPr>
        <w:t>ain activity combined heat and power</w:t>
      </w:r>
      <w:r w:rsidRPr="00116DFD">
        <w:rPr>
          <w:lang w:val="en-US"/>
        </w:rPr>
        <w:t xml:space="preserve"> plants (MAINCHP), </w:t>
      </w:r>
      <w:proofErr w:type="spellStart"/>
      <w:r w:rsidRPr="00116DFD">
        <w:rPr>
          <w:lang w:val="en-US"/>
        </w:rPr>
        <w:t>Autoproducer</w:t>
      </w:r>
      <w:proofErr w:type="spellEnd"/>
      <w:r w:rsidRPr="00116DFD">
        <w:rPr>
          <w:lang w:val="en-US"/>
        </w:rPr>
        <w:t xml:space="preserve"> </w:t>
      </w:r>
      <w:r>
        <w:rPr>
          <w:lang w:val="en-US"/>
        </w:rPr>
        <w:t>heat and power</w:t>
      </w:r>
      <w:r w:rsidRPr="00116DFD">
        <w:rPr>
          <w:lang w:val="en-US"/>
        </w:rPr>
        <w:t xml:space="preserve"> plants (AUTOCHP), Main activity heat plants (MAINHEAT)</w:t>
      </w:r>
      <w:r>
        <w:rPr>
          <w:lang w:val="en-US"/>
        </w:rPr>
        <w:t xml:space="preserve"> and</w:t>
      </w:r>
      <w:r w:rsidRPr="00116DFD">
        <w:rPr>
          <w:lang w:val="en-US"/>
        </w:rPr>
        <w:t xml:space="preserve"> </w:t>
      </w:r>
      <w:proofErr w:type="spellStart"/>
      <w:r w:rsidRPr="00116DFD">
        <w:rPr>
          <w:lang w:val="en-US"/>
        </w:rPr>
        <w:t>Autoproducer</w:t>
      </w:r>
      <w:proofErr w:type="spellEnd"/>
      <w:r w:rsidRPr="00116DFD">
        <w:rPr>
          <w:lang w:val="en-US"/>
        </w:rPr>
        <w:t xml:space="preserve"> heat plants (AUTOHEAT)</w:t>
      </w:r>
      <w:r>
        <w:rPr>
          <w:lang w:val="en-US"/>
        </w:rPr>
        <w:t xml:space="preserve">. </w:t>
      </w:r>
    </w:p>
  </w:footnote>
  <w:footnote w:id="6">
    <w:p w:rsidR="001C4E43" w:rsidRPr="00E05213" w:rsidRDefault="001C4E43">
      <w:pPr>
        <w:pStyle w:val="FootnoteText"/>
        <w:rPr>
          <w:lang w:val="en-US"/>
        </w:rPr>
      </w:pPr>
      <w:r>
        <w:rPr>
          <w:rStyle w:val="FootnoteReference"/>
        </w:rPr>
        <w:footnoteRef/>
      </w:r>
      <w:r>
        <w:t xml:space="preserve"> As noted, m</w:t>
      </w:r>
      <w:proofErr w:type="spellStart"/>
      <w:r>
        <w:rPr>
          <w:lang w:val="en-US"/>
        </w:rPr>
        <w:t>ajor</w:t>
      </w:r>
      <w:proofErr w:type="spellEnd"/>
      <w:r>
        <w:rPr>
          <w:lang w:val="en-US"/>
        </w:rPr>
        <w:t xml:space="preserve"> changes in the energy mix occurred in the analyzed period (1995-2009). From 2009 to 2014, the main change has been the increase in renewables at the expense of gas, of 3% in the primary energy supply and of 8% in the electricity mix.</w:t>
      </w:r>
    </w:p>
  </w:footnote>
  <w:footnote w:id="7">
    <w:p w:rsidR="001C4E43" w:rsidRPr="00116DFD" w:rsidRDefault="001C4E43" w:rsidP="007A62E9">
      <w:pPr>
        <w:pStyle w:val="FootnoteText"/>
        <w:rPr>
          <w:lang w:val="en-US"/>
        </w:rPr>
      </w:pPr>
      <w:r>
        <w:rPr>
          <w:rStyle w:val="FootnoteReference"/>
        </w:rPr>
        <w:footnoteRef/>
      </w:r>
      <w:r>
        <w:t xml:space="preserve"> </w:t>
      </w:r>
      <w:r w:rsidRPr="007A62E9">
        <w:rPr>
          <w:lang w:val="en-US"/>
        </w:rPr>
        <w:t>This sector covers the extraction of fossil fuels and other metallic and non-metallic minerals. In the case of fossil fuel extraction in the EU</w:t>
      </w:r>
      <w:r>
        <w:rPr>
          <w:lang w:val="en-US"/>
        </w:rPr>
        <w:t>,</w:t>
      </w:r>
      <w:r w:rsidRPr="007A62E9">
        <w:rPr>
          <w:lang w:val="en-US"/>
        </w:rPr>
        <w:t xml:space="preserve"> c</w:t>
      </w:r>
      <w:r>
        <w:rPr>
          <w:lang w:val="en-US"/>
        </w:rPr>
        <w:t>oal dominates over gas and oil.</w:t>
      </w:r>
    </w:p>
  </w:footnote>
  <w:footnote w:id="8">
    <w:p w:rsidR="001C4E43" w:rsidRPr="008962F8" w:rsidRDefault="001C4E43">
      <w:pPr>
        <w:pStyle w:val="FootnoteText"/>
        <w:rPr>
          <w:lang w:val="en-US"/>
        </w:rPr>
      </w:pPr>
      <w:r>
        <w:rPr>
          <w:rStyle w:val="FootnoteReference"/>
        </w:rPr>
        <w:footnoteRef/>
      </w:r>
      <w:r>
        <w:t xml:space="preserve"> </w:t>
      </w:r>
      <w:r w:rsidRPr="00A9669F">
        <w:t>We have further investigated the losses in the “Public Admin and Defence; Compulsory Social Security” and found that it stems from an error in the French national input-output table of 1995 used in</w:t>
      </w:r>
      <w:r>
        <w:t xml:space="preserve"> the</w:t>
      </w:r>
      <w:r w:rsidRPr="00A9669F">
        <w:t xml:space="preserve"> </w:t>
      </w:r>
      <w:r>
        <w:rPr>
          <w:rFonts w:cs="Times New Roman"/>
        </w:rPr>
        <w:t>World Input-Output Database</w:t>
      </w:r>
      <w:r w:rsidRPr="00A9669F">
        <w:t>, in which the intermediate deliveries of the “Public Admin and Defence; Compulsory Social Security” are overestimated in comparison with the official data from EUROSTAT.</w:t>
      </w:r>
    </w:p>
  </w:footnote>
  <w:footnote w:id="9">
    <w:p w:rsidR="001C4E43" w:rsidRPr="008962F8" w:rsidRDefault="001C4E43">
      <w:pPr>
        <w:pStyle w:val="FootnoteText"/>
        <w:rPr>
          <w:lang w:val="en-US"/>
        </w:rPr>
      </w:pPr>
      <w:r>
        <w:rPr>
          <w:rStyle w:val="FootnoteReference"/>
        </w:rPr>
        <w:footnoteRef/>
      </w:r>
      <w:r>
        <w:t xml:space="preserve"> Most</w:t>
      </w:r>
      <w:r w:rsidRPr="00623968">
        <w:t xml:space="preserve"> of the employment generated in China was located in “Other Community, Social and Personal Services” sector (74 k-jobs), which is usually not very relevant in the supply chain of the</w:t>
      </w:r>
      <w:r>
        <w:t xml:space="preserve"> electricity and gas supply</w:t>
      </w:r>
      <w:r w:rsidRPr="00623968">
        <w:t xml:space="preserve">. In this case, this number is due to the high imports from the Chinese “Other Community, Social and Personal Services” of the Dutch </w:t>
      </w:r>
      <w:r>
        <w:t>electricity and gas supply</w:t>
      </w:r>
      <w:r w:rsidRPr="00623968">
        <w:t xml:space="preserve"> reported by the </w:t>
      </w:r>
      <w:r>
        <w:rPr>
          <w:rFonts w:cs="Times New Roman"/>
        </w:rPr>
        <w:t>World Input-Output Database</w:t>
      </w:r>
      <w:r w:rsidRPr="00623968">
        <w:t xml:space="preserve"> in comparison with the official data from EUROSTAT.</w:t>
      </w:r>
    </w:p>
  </w:footnote>
  <w:footnote w:id="10">
    <w:p w:rsidR="008418A5" w:rsidRPr="00AC248F" w:rsidRDefault="005B1822" w:rsidP="00AC248F">
      <w:pPr>
        <w:pStyle w:val="ListParagraph"/>
        <w:spacing w:line="240" w:lineRule="auto"/>
        <w:ind w:left="0"/>
      </w:pPr>
      <w:r>
        <w:rPr>
          <w:rStyle w:val="FootnoteReference"/>
        </w:rPr>
        <w:footnoteRef/>
      </w:r>
      <w:r>
        <w:t xml:space="preserve"> </w:t>
      </w:r>
      <w:r w:rsidR="00AC248F" w:rsidRPr="00AC248F">
        <w:rPr>
          <w:sz w:val="20"/>
          <w:szCs w:val="20"/>
        </w:rPr>
        <w:t>Statistical agencies commonly report official economic statistics without including measures of error</w:t>
      </w:r>
      <w:r w:rsidR="00AC248F">
        <w:rPr>
          <w:sz w:val="20"/>
          <w:szCs w:val="20"/>
        </w:rPr>
        <w:t xml:space="preserve"> </w:t>
      </w:r>
      <w:r w:rsidR="003C0622">
        <w:rPr>
          <w:sz w:val="20"/>
          <w:szCs w:val="20"/>
        </w:rPr>
        <w:fldChar w:fldCharType="begin"/>
      </w:r>
      <w:r w:rsidR="00AC248F">
        <w:rPr>
          <w:sz w:val="20"/>
          <w:szCs w:val="20"/>
        </w:rPr>
        <w:instrText xml:space="preserve"> ADDIN ZOTERO_ITEM CSL_CITATION {"citationID":"t820aclf8","properties":{"formattedCitation":"[38]","plainCitation":"[38]"},"citationItems":[{"id":2005,"uris":["http://zotero.org/users/1718188/items/MQ9ANC8U"],"uri":["http://zotero.org/users/1718188/items/MQ9ANC8U"],"itemData":{"id":2005,"type":"article-journal","title":"Communicating uncertainty in official economic statistics: an appraisal fifty years after Morgenstern","container-title":"Journal of Economic Literature","page":"631–653","volume":"53","issue":"3","source":"Google Scholar","shortTitle":"Communicating uncertainty in official economic statistics","author":[{"family":"Manski","given":"Charles F."}],"issued":{"date-parts":[["2015"]]}}}],"schema":"https://github.com/citation-style-language/schema/raw/master/csl-citation.json"} </w:instrText>
      </w:r>
      <w:r w:rsidR="003C0622">
        <w:rPr>
          <w:sz w:val="20"/>
          <w:szCs w:val="20"/>
        </w:rPr>
        <w:fldChar w:fldCharType="separate"/>
      </w:r>
      <w:r w:rsidR="003C0622" w:rsidRPr="003C0622">
        <w:rPr>
          <w:rFonts w:cs="Times New Roman"/>
          <w:sz w:val="20"/>
        </w:rPr>
        <w:t>[38]</w:t>
      </w:r>
      <w:r w:rsidR="003C0622">
        <w:rPr>
          <w:sz w:val="20"/>
          <w:szCs w:val="20"/>
        </w:rPr>
        <w:fldChar w:fldCharType="end"/>
      </w:r>
      <w:r w:rsidR="00AC248F" w:rsidRPr="00AC248F">
        <w:rPr>
          <w:sz w:val="20"/>
          <w:szCs w:val="20"/>
        </w:rPr>
        <w:t xml:space="preserve">. A comparison of 25 economies of the OECD finds that the Relative Mean Absolute Revision (RMAR, a measure used to approximate uncertainty) </w:t>
      </w:r>
      <w:r w:rsidR="004E57CA">
        <w:rPr>
          <w:sz w:val="20"/>
          <w:szCs w:val="20"/>
        </w:rPr>
        <w:t xml:space="preserve">for the GDP figures </w:t>
      </w:r>
      <w:r w:rsidR="00AC248F" w:rsidRPr="00AC248F">
        <w:rPr>
          <w:sz w:val="20"/>
          <w:szCs w:val="20"/>
        </w:rPr>
        <w:t>ranges between 0.07 and 0.33 percent during the period 2002 to 2013</w:t>
      </w:r>
      <w:r w:rsidR="00AC248F">
        <w:rPr>
          <w:sz w:val="20"/>
          <w:szCs w:val="20"/>
        </w:rPr>
        <w:t xml:space="preserve"> </w:t>
      </w:r>
      <w:r w:rsidR="003C0622">
        <w:rPr>
          <w:sz w:val="20"/>
          <w:szCs w:val="20"/>
        </w:rPr>
        <w:fldChar w:fldCharType="begin"/>
      </w:r>
      <w:r w:rsidR="00AC248F">
        <w:rPr>
          <w:sz w:val="20"/>
          <w:szCs w:val="20"/>
        </w:rPr>
        <w:instrText xml:space="preserve"> ADDIN ZOTERO_ITEM CSL_CITATION {"citationID":"2n00lklpp7","properties":{"formattedCitation":"[39]","plainCitation":"[39]"},"citationItems":[{"id":2012,"uris":["http://zotero.org/users/1718188/items/VVU5X75H"],"uri":["http://zotero.org/users/1718188/items/VVU5X75H"],"itemData":{"id":2012,"type":"report","title":"Uncertainty in Macroeconomic Data: The Case of Ireland","publisher":"Working paper","source":"Google Scholar","URL":"http://www.fiscalcouncil.ie/wp-content/uploads/2015/03/Uncertainty-in-Macroeconomic-Data-Final-09-july-2015.pdf","shortTitle":"Uncertainty in Macroeconomic Data","author":[{"family":"Casey","given":"Eddie"},{"family":"Smyth","given":"Diarmaid"}],"issued":{"date-parts":[["2015"]]},"accessed":{"date-parts":[["2016",2,17]]}}}],"schema":"https://github.com/citation-style-language/schema/raw/master/csl-citation.json"} </w:instrText>
      </w:r>
      <w:r w:rsidR="003C0622">
        <w:rPr>
          <w:sz w:val="20"/>
          <w:szCs w:val="20"/>
        </w:rPr>
        <w:fldChar w:fldCharType="separate"/>
      </w:r>
      <w:r w:rsidR="003C0622" w:rsidRPr="003C0622">
        <w:rPr>
          <w:rFonts w:cs="Times New Roman"/>
          <w:sz w:val="20"/>
        </w:rPr>
        <w:t>[39]</w:t>
      </w:r>
      <w:r w:rsidR="003C0622">
        <w:rPr>
          <w:sz w:val="20"/>
          <w:szCs w:val="20"/>
        </w:rPr>
        <w:fldChar w:fldCharType="end"/>
      </w:r>
      <w:r w:rsidR="00AC248F" w:rsidRPr="00AC248F">
        <w:rPr>
          <w:sz w:val="20"/>
          <w:szCs w:val="20"/>
        </w:rPr>
        <w:t>.  To this we need to add the effects of errors in the employment-output coefficients and the other coefficients of the input-output tables. Unfortunately error estimates are not available for the EUROSTAT input-output tables.  Given the small base errors in the overall GDP figures, and given that the input-output coefficients are derived from the same sources as the GDP data, we believe that overall errors in the estimates are unlikely to be more than a few percent.</w:t>
      </w:r>
    </w:p>
    <w:p w:rsidR="005B1822" w:rsidRPr="008418A5" w:rsidRDefault="005B1822">
      <w:pPr>
        <w:pStyle w:val="FootnoteText"/>
        <w:rPr>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B2FC6"/>
    <w:multiLevelType w:val="hybridMultilevel"/>
    <w:tmpl w:val="D9F4FA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FE0442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38A3942"/>
    <w:multiLevelType w:val="multilevel"/>
    <w:tmpl w:val="A6C4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BC7BBC"/>
    <w:multiLevelType w:val="hybridMultilevel"/>
    <w:tmpl w:val="DD603CD6"/>
    <w:lvl w:ilvl="0" w:tplc="69148054">
      <w:start w:val="1"/>
      <w:numFmt w:val="lowerLetter"/>
      <w:lvlText w:val="%1)"/>
      <w:lvlJc w:val="left"/>
      <w:pPr>
        <w:ind w:left="720" w:hanging="360"/>
      </w:pPr>
      <w:rPr>
        <w:rFonts w:ascii="Times New Roman" w:eastAsiaTheme="minorHAns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9DC36DF"/>
    <w:multiLevelType w:val="multilevel"/>
    <w:tmpl w:val="6D6A1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5404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5548EB"/>
    <w:multiLevelType w:val="multilevel"/>
    <w:tmpl w:val="37681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7B48D3"/>
    <w:multiLevelType w:val="hybridMultilevel"/>
    <w:tmpl w:val="220227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05A02D5"/>
    <w:multiLevelType w:val="multilevel"/>
    <w:tmpl w:val="ABE6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D05097"/>
    <w:multiLevelType w:val="hybridMultilevel"/>
    <w:tmpl w:val="4D5AF832"/>
    <w:lvl w:ilvl="0" w:tplc="77E297A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C7B3D06"/>
    <w:multiLevelType w:val="hybridMultilevel"/>
    <w:tmpl w:val="910845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CEF31C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75615877"/>
    <w:multiLevelType w:val="hybridMultilevel"/>
    <w:tmpl w:val="2DC41E5E"/>
    <w:lvl w:ilvl="0" w:tplc="BE50B70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9"/>
  </w:num>
  <w:num w:numId="5">
    <w:abstractNumId w:val="12"/>
  </w:num>
  <w:num w:numId="6">
    <w:abstractNumId w:val="1"/>
  </w:num>
  <w:num w:numId="7">
    <w:abstractNumId w:val="5"/>
  </w:num>
  <w:num w:numId="8">
    <w:abstractNumId w:val="11"/>
  </w:num>
  <w:num w:numId="9">
    <w:abstractNumId w:val="3"/>
  </w:num>
  <w:num w:numId="10">
    <w:abstractNumId w:val="10"/>
  </w:num>
  <w:num w:numId="11">
    <w:abstractNumId w:val="7"/>
  </w:num>
  <w:num w:numId="12">
    <w:abstractNumId w:val="8"/>
  </w:num>
  <w:num w:numId="13">
    <w:abstractNumId w:val="1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vi Roman">
    <w15:presenceInfo w15:providerId="AD" w15:userId="S-1-5-21-1308740662-429972972-96501386-1221"/>
  </w15:person>
  <w15:person w15:author="Anil Markandya">
    <w15:presenceInfo w15:providerId="AD" w15:userId="S-1-5-21-1308740662-429972972-96501386-11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E05890"/>
    <w:rsid w:val="00010B5B"/>
    <w:rsid w:val="00010C49"/>
    <w:rsid w:val="00013C9A"/>
    <w:rsid w:val="00016118"/>
    <w:rsid w:val="00016D36"/>
    <w:rsid w:val="00022E7E"/>
    <w:rsid w:val="000306D6"/>
    <w:rsid w:val="000342DE"/>
    <w:rsid w:val="000360E4"/>
    <w:rsid w:val="0003649F"/>
    <w:rsid w:val="00037475"/>
    <w:rsid w:val="000404D8"/>
    <w:rsid w:val="000450B5"/>
    <w:rsid w:val="00053481"/>
    <w:rsid w:val="00053841"/>
    <w:rsid w:val="00055C2E"/>
    <w:rsid w:val="000629C0"/>
    <w:rsid w:val="00067076"/>
    <w:rsid w:val="00070A15"/>
    <w:rsid w:val="000759A6"/>
    <w:rsid w:val="0009161D"/>
    <w:rsid w:val="000A2C64"/>
    <w:rsid w:val="000A2F5F"/>
    <w:rsid w:val="000A5CBA"/>
    <w:rsid w:val="000B1B8D"/>
    <w:rsid w:val="000B1E8A"/>
    <w:rsid w:val="000B3167"/>
    <w:rsid w:val="000B658C"/>
    <w:rsid w:val="000C3205"/>
    <w:rsid w:val="000C3F81"/>
    <w:rsid w:val="000C6558"/>
    <w:rsid w:val="000D1107"/>
    <w:rsid w:val="000D57D1"/>
    <w:rsid w:val="000D7375"/>
    <w:rsid w:val="000E7D7A"/>
    <w:rsid w:val="000F0EB2"/>
    <w:rsid w:val="000F1234"/>
    <w:rsid w:val="000F39F8"/>
    <w:rsid w:val="000F626B"/>
    <w:rsid w:val="0010051A"/>
    <w:rsid w:val="001037BC"/>
    <w:rsid w:val="00106B95"/>
    <w:rsid w:val="0011135D"/>
    <w:rsid w:val="00116DFD"/>
    <w:rsid w:val="00120672"/>
    <w:rsid w:val="00133434"/>
    <w:rsid w:val="00134ECB"/>
    <w:rsid w:val="001468AE"/>
    <w:rsid w:val="00152630"/>
    <w:rsid w:val="001527D5"/>
    <w:rsid w:val="001538F0"/>
    <w:rsid w:val="0015792E"/>
    <w:rsid w:val="00166567"/>
    <w:rsid w:val="0017035F"/>
    <w:rsid w:val="00176F88"/>
    <w:rsid w:val="0018605C"/>
    <w:rsid w:val="00187827"/>
    <w:rsid w:val="00193D70"/>
    <w:rsid w:val="00196B21"/>
    <w:rsid w:val="001A265B"/>
    <w:rsid w:val="001A4A08"/>
    <w:rsid w:val="001B0AB5"/>
    <w:rsid w:val="001C0FD1"/>
    <w:rsid w:val="001C4E43"/>
    <w:rsid w:val="001C623F"/>
    <w:rsid w:val="001D0987"/>
    <w:rsid w:val="001D2A27"/>
    <w:rsid w:val="001D2C83"/>
    <w:rsid w:val="001D5BDD"/>
    <w:rsid w:val="001E0AED"/>
    <w:rsid w:val="001E66AE"/>
    <w:rsid w:val="001F2A4A"/>
    <w:rsid w:val="001F2E8E"/>
    <w:rsid w:val="001F50A9"/>
    <w:rsid w:val="001F6317"/>
    <w:rsid w:val="0020332B"/>
    <w:rsid w:val="002046F8"/>
    <w:rsid w:val="00207458"/>
    <w:rsid w:val="0021269E"/>
    <w:rsid w:val="00214024"/>
    <w:rsid w:val="002218F8"/>
    <w:rsid w:val="0022455C"/>
    <w:rsid w:val="00235C54"/>
    <w:rsid w:val="00243A44"/>
    <w:rsid w:val="00247023"/>
    <w:rsid w:val="002503AA"/>
    <w:rsid w:val="00252CC1"/>
    <w:rsid w:val="00254C32"/>
    <w:rsid w:val="00255F69"/>
    <w:rsid w:val="00273005"/>
    <w:rsid w:val="00282136"/>
    <w:rsid w:val="002925EA"/>
    <w:rsid w:val="002A70C7"/>
    <w:rsid w:val="002A7EBC"/>
    <w:rsid w:val="002B2BBB"/>
    <w:rsid w:val="002B33D7"/>
    <w:rsid w:val="002B6FBB"/>
    <w:rsid w:val="002C02DD"/>
    <w:rsid w:val="002C2386"/>
    <w:rsid w:val="002C4657"/>
    <w:rsid w:val="002D1B7B"/>
    <w:rsid w:val="002D1BD3"/>
    <w:rsid w:val="002D2EA7"/>
    <w:rsid w:val="002E4370"/>
    <w:rsid w:val="002E52FC"/>
    <w:rsid w:val="002E62E3"/>
    <w:rsid w:val="002F64FB"/>
    <w:rsid w:val="002F7BE4"/>
    <w:rsid w:val="00300655"/>
    <w:rsid w:val="00310610"/>
    <w:rsid w:val="003153D8"/>
    <w:rsid w:val="0031541C"/>
    <w:rsid w:val="0032037B"/>
    <w:rsid w:val="003372AF"/>
    <w:rsid w:val="00340609"/>
    <w:rsid w:val="00370167"/>
    <w:rsid w:val="00373457"/>
    <w:rsid w:val="00376FB7"/>
    <w:rsid w:val="00382C43"/>
    <w:rsid w:val="003857D8"/>
    <w:rsid w:val="003916BF"/>
    <w:rsid w:val="00391A83"/>
    <w:rsid w:val="00394FAF"/>
    <w:rsid w:val="003A3CC4"/>
    <w:rsid w:val="003A4C9A"/>
    <w:rsid w:val="003A59EC"/>
    <w:rsid w:val="003A6B03"/>
    <w:rsid w:val="003B039F"/>
    <w:rsid w:val="003B2A26"/>
    <w:rsid w:val="003C015D"/>
    <w:rsid w:val="003C0622"/>
    <w:rsid w:val="003C1191"/>
    <w:rsid w:val="003C1462"/>
    <w:rsid w:val="003D2619"/>
    <w:rsid w:val="003D539C"/>
    <w:rsid w:val="003E143A"/>
    <w:rsid w:val="003E40FE"/>
    <w:rsid w:val="00405111"/>
    <w:rsid w:val="004268DE"/>
    <w:rsid w:val="0043045F"/>
    <w:rsid w:val="004315BF"/>
    <w:rsid w:val="0043270F"/>
    <w:rsid w:val="00435214"/>
    <w:rsid w:val="00442017"/>
    <w:rsid w:val="00444341"/>
    <w:rsid w:val="00446082"/>
    <w:rsid w:val="00450D8D"/>
    <w:rsid w:val="00450DE2"/>
    <w:rsid w:val="00457CC0"/>
    <w:rsid w:val="0046286A"/>
    <w:rsid w:val="00467FE9"/>
    <w:rsid w:val="0047214D"/>
    <w:rsid w:val="00490A81"/>
    <w:rsid w:val="004931CE"/>
    <w:rsid w:val="0049518A"/>
    <w:rsid w:val="0049694F"/>
    <w:rsid w:val="004A1AB3"/>
    <w:rsid w:val="004B0DB4"/>
    <w:rsid w:val="004B37BB"/>
    <w:rsid w:val="004B43E0"/>
    <w:rsid w:val="004B6E67"/>
    <w:rsid w:val="004B7ADE"/>
    <w:rsid w:val="004C6299"/>
    <w:rsid w:val="004D367A"/>
    <w:rsid w:val="004D3AED"/>
    <w:rsid w:val="004D4CC8"/>
    <w:rsid w:val="004E57CA"/>
    <w:rsid w:val="004E6C97"/>
    <w:rsid w:val="004F03CB"/>
    <w:rsid w:val="004F05A1"/>
    <w:rsid w:val="004F4508"/>
    <w:rsid w:val="00501C35"/>
    <w:rsid w:val="005125C4"/>
    <w:rsid w:val="00516947"/>
    <w:rsid w:val="005205E4"/>
    <w:rsid w:val="00523C86"/>
    <w:rsid w:val="00524535"/>
    <w:rsid w:val="005275A1"/>
    <w:rsid w:val="00530707"/>
    <w:rsid w:val="00535598"/>
    <w:rsid w:val="00535F3B"/>
    <w:rsid w:val="00552488"/>
    <w:rsid w:val="005533E0"/>
    <w:rsid w:val="0055588F"/>
    <w:rsid w:val="005733C5"/>
    <w:rsid w:val="0057395B"/>
    <w:rsid w:val="00580CFF"/>
    <w:rsid w:val="005812BE"/>
    <w:rsid w:val="005934CB"/>
    <w:rsid w:val="005B1822"/>
    <w:rsid w:val="005B3269"/>
    <w:rsid w:val="005B5113"/>
    <w:rsid w:val="005B5B04"/>
    <w:rsid w:val="005D204E"/>
    <w:rsid w:val="005D494D"/>
    <w:rsid w:val="005D6D79"/>
    <w:rsid w:val="005F0D27"/>
    <w:rsid w:val="005F1CC1"/>
    <w:rsid w:val="005F3238"/>
    <w:rsid w:val="005F3AEA"/>
    <w:rsid w:val="005F5BDB"/>
    <w:rsid w:val="005F7B07"/>
    <w:rsid w:val="00603C18"/>
    <w:rsid w:val="006216FE"/>
    <w:rsid w:val="00622053"/>
    <w:rsid w:val="00622837"/>
    <w:rsid w:val="00623968"/>
    <w:rsid w:val="00627544"/>
    <w:rsid w:val="00632D66"/>
    <w:rsid w:val="00644B3D"/>
    <w:rsid w:val="00651176"/>
    <w:rsid w:val="006520AB"/>
    <w:rsid w:val="00652CCA"/>
    <w:rsid w:val="00664E70"/>
    <w:rsid w:val="00680174"/>
    <w:rsid w:val="00681C78"/>
    <w:rsid w:val="00686369"/>
    <w:rsid w:val="0068694A"/>
    <w:rsid w:val="00690686"/>
    <w:rsid w:val="006A3C77"/>
    <w:rsid w:val="006B29DC"/>
    <w:rsid w:val="006D578A"/>
    <w:rsid w:val="006D64C7"/>
    <w:rsid w:val="006E5C2D"/>
    <w:rsid w:val="006F4BB1"/>
    <w:rsid w:val="006F4BDE"/>
    <w:rsid w:val="006F5D26"/>
    <w:rsid w:val="00706222"/>
    <w:rsid w:val="007072DE"/>
    <w:rsid w:val="007133F7"/>
    <w:rsid w:val="00714397"/>
    <w:rsid w:val="00720776"/>
    <w:rsid w:val="00720A23"/>
    <w:rsid w:val="00727535"/>
    <w:rsid w:val="0073422D"/>
    <w:rsid w:val="007373B2"/>
    <w:rsid w:val="00744D7D"/>
    <w:rsid w:val="0075319E"/>
    <w:rsid w:val="0078236D"/>
    <w:rsid w:val="00784D42"/>
    <w:rsid w:val="0078717E"/>
    <w:rsid w:val="0079291D"/>
    <w:rsid w:val="007A62E9"/>
    <w:rsid w:val="007A74D3"/>
    <w:rsid w:val="007B1191"/>
    <w:rsid w:val="007B12DE"/>
    <w:rsid w:val="007B3128"/>
    <w:rsid w:val="007C7D9D"/>
    <w:rsid w:val="007F03DE"/>
    <w:rsid w:val="007F71E9"/>
    <w:rsid w:val="00806DE6"/>
    <w:rsid w:val="008106FA"/>
    <w:rsid w:val="00813FF5"/>
    <w:rsid w:val="008260A6"/>
    <w:rsid w:val="008330DB"/>
    <w:rsid w:val="00833C36"/>
    <w:rsid w:val="008418A5"/>
    <w:rsid w:val="008460BB"/>
    <w:rsid w:val="00850388"/>
    <w:rsid w:val="00851300"/>
    <w:rsid w:val="00862074"/>
    <w:rsid w:val="00862AD2"/>
    <w:rsid w:val="00863F90"/>
    <w:rsid w:val="00882440"/>
    <w:rsid w:val="008913CC"/>
    <w:rsid w:val="008962F8"/>
    <w:rsid w:val="008966F5"/>
    <w:rsid w:val="008A17A9"/>
    <w:rsid w:val="008A3BCA"/>
    <w:rsid w:val="008B017B"/>
    <w:rsid w:val="008B0742"/>
    <w:rsid w:val="008B4F8E"/>
    <w:rsid w:val="008D021C"/>
    <w:rsid w:val="008D4C4D"/>
    <w:rsid w:val="008D7515"/>
    <w:rsid w:val="008F15E3"/>
    <w:rsid w:val="008F306E"/>
    <w:rsid w:val="008F3367"/>
    <w:rsid w:val="00901A75"/>
    <w:rsid w:val="00902E18"/>
    <w:rsid w:val="00906092"/>
    <w:rsid w:val="009067C3"/>
    <w:rsid w:val="009133D0"/>
    <w:rsid w:val="00913565"/>
    <w:rsid w:val="00914344"/>
    <w:rsid w:val="00923057"/>
    <w:rsid w:val="0092501F"/>
    <w:rsid w:val="009253A3"/>
    <w:rsid w:val="00926E78"/>
    <w:rsid w:val="00927AA5"/>
    <w:rsid w:val="00933F44"/>
    <w:rsid w:val="00942FB3"/>
    <w:rsid w:val="00945422"/>
    <w:rsid w:val="00964B2F"/>
    <w:rsid w:val="00975B2F"/>
    <w:rsid w:val="009815E2"/>
    <w:rsid w:val="00992FC6"/>
    <w:rsid w:val="0099569C"/>
    <w:rsid w:val="009A0028"/>
    <w:rsid w:val="009A2695"/>
    <w:rsid w:val="009A273B"/>
    <w:rsid w:val="009A39B0"/>
    <w:rsid w:val="009B02E7"/>
    <w:rsid w:val="009B0EBD"/>
    <w:rsid w:val="009B2134"/>
    <w:rsid w:val="009C527E"/>
    <w:rsid w:val="009C5AE4"/>
    <w:rsid w:val="009C5F9C"/>
    <w:rsid w:val="009D0566"/>
    <w:rsid w:val="009E1055"/>
    <w:rsid w:val="009E14A3"/>
    <w:rsid w:val="009E568C"/>
    <w:rsid w:val="009F2D81"/>
    <w:rsid w:val="009F369F"/>
    <w:rsid w:val="00A06EB5"/>
    <w:rsid w:val="00A07116"/>
    <w:rsid w:val="00A212BB"/>
    <w:rsid w:val="00A225D0"/>
    <w:rsid w:val="00A262CE"/>
    <w:rsid w:val="00A3022C"/>
    <w:rsid w:val="00A329A8"/>
    <w:rsid w:val="00A42602"/>
    <w:rsid w:val="00A4440F"/>
    <w:rsid w:val="00A529AB"/>
    <w:rsid w:val="00A64815"/>
    <w:rsid w:val="00A76942"/>
    <w:rsid w:val="00A91DDB"/>
    <w:rsid w:val="00A92021"/>
    <w:rsid w:val="00A92286"/>
    <w:rsid w:val="00A9669F"/>
    <w:rsid w:val="00A97A54"/>
    <w:rsid w:val="00A97FEA"/>
    <w:rsid w:val="00AA17F9"/>
    <w:rsid w:val="00AA22AC"/>
    <w:rsid w:val="00AB72AA"/>
    <w:rsid w:val="00AC1982"/>
    <w:rsid w:val="00AC248F"/>
    <w:rsid w:val="00AC5F4C"/>
    <w:rsid w:val="00AC7D3F"/>
    <w:rsid w:val="00AD4156"/>
    <w:rsid w:val="00AE4946"/>
    <w:rsid w:val="00AF5173"/>
    <w:rsid w:val="00B03984"/>
    <w:rsid w:val="00B06A88"/>
    <w:rsid w:val="00B13B01"/>
    <w:rsid w:val="00B214B2"/>
    <w:rsid w:val="00B2777D"/>
    <w:rsid w:val="00B360ED"/>
    <w:rsid w:val="00B42F94"/>
    <w:rsid w:val="00B43C35"/>
    <w:rsid w:val="00B74B1B"/>
    <w:rsid w:val="00B7784C"/>
    <w:rsid w:val="00B83870"/>
    <w:rsid w:val="00B851DA"/>
    <w:rsid w:val="00B90A7E"/>
    <w:rsid w:val="00B921C2"/>
    <w:rsid w:val="00B940F2"/>
    <w:rsid w:val="00BA0276"/>
    <w:rsid w:val="00BA2102"/>
    <w:rsid w:val="00BA62C1"/>
    <w:rsid w:val="00BB182A"/>
    <w:rsid w:val="00BB57AD"/>
    <w:rsid w:val="00BD73CC"/>
    <w:rsid w:val="00BE6C52"/>
    <w:rsid w:val="00BF5048"/>
    <w:rsid w:val="00C001CE"/>
    <w:rsid w:val="00C001FA"/>
    <w:rsid w:val="00C07237"/>
    <w:rsid w:val="00C2114D"/>
    <w:rsid w:val="00C2279D"/>
    <w:rsid w:val="00C22FAB"/>
    <w:rsid w:val="00C26027"/>
    <w:rsid w:val="00C26753"/>
    <w:rsid w:val="00C26762"/>
    <w:rsid w:val="00C428CF"/>
    <w:rsid w:val="00C4485D"/>
    <w:rsid w:val="00C50551"/>
    <w:rsid w:val="00C537AC"/>
    <w:rsid w:val="00C650E1"/>
    <w:rsid w:val="00C70322"/>
    <w:rsid w:val="00C76695"/>
    <w:rsid w:val="00C86424"/>
    <w:rsid w:val="00C9642C"/>
    <w:rsid w:val="00C97CFE"/>
    <w:rsid w:val="00C97FB0"/>
    <w:rsid w:val="00CA5261"/>
    <w:rsid w:val="00CB0A0A"/>
    <w:rsid w:val="00CC0EA1"/>
    <w:rsid w:val="00CC2E01"/>
    <w:rsid w:val="00CD71F7"/>
    <w:rsid w:val="00CF20EE"/>
    <w:rsid w:val="00CF22EA"/>
    <w:rsid w:val="00D00B65"/>
    <w:rsid w:val="00D043D7"/>
    <w:rsid w:val="00D0791E"/>
    <w:rsid w:val="00D23737"/>
    <w:rsid w:val="00D24045"/>
    <w:rsid w:val="00D360BA"/>
    <w:rsid w:val="00D36FFD"/>
    <w:rsid w:val="00D41662"/>
    <w:rsid w:val="00D5791F"/>
    <w:rsid w:val="00D61F15"/>
    <w:rsid w:val="00D667A2"/>
    <w:rsid w:val="00D93582"/>
    <w:rsid w:val="00D9502B"/>
    <w:rsid w:val="00D96E24"/>
    <w:rsid w:val="00D973E9"/>
    <w:rsid w:val="00D97519"/>
    <w:rsid w:val="00DA7AB2"/>
    <w:rsid w:val="00DB567B"/>
    <w:rsid w:val="00DB66BB"/>
    <w:rsid w:val="00DB7383"/>
    <w:rsid w:val="00DC5E37"/>
    <w:rsid w:val="00DE440A"/>
    <w:rsid w:val="00DE7800"/>
    <w:rsid w:val="00DE7CDF"/>
    <w:rsid w:val="00DF422D"/>
    <w:rsid w:val="00E048C5"/>
    <w:rsid w:val="00E05213"/>
    <w:rsid w:val="00E05890"/>
    <w:rsid w:val="00E063B6"/>
    <w:rsid w:val="00E1749C"/>
    <w:rsid w:val="00E22980"/>
    <w:rsid w:val="00E26F71"/>
    <w:rsid w:val="00E37904"/>
    <w:rsid w:val="00E42471"/>
    <w:rsid w:val="00E51403"/>
    <w:rsid w:val="00E63B6A"/>
    <w:rsid w:val="00E66EAE"/>
    <w:rsid w:val="00E77668"/>
    <w:rsid w:val="00E81563"/>
    <w:rsid w:val="00E93E22"/>
    <w:rsid w:val="00EB051D"/>
    <w:rsid w:val="00EB0851"/>
    <w:rsid w:val="00EB2015"/>
    <w:rsid w:val="00EB5352"/>
    <w:rsid w:val="00EB662E"/>
    <w:rsid w:val="00EB7520"/>
    <w:rsid w:val="00EC29A2"/>
    <w:rsid w:val="00EC389F"/>
    <w:rsid w:val="00EC65D3"/>
    <w:rsid w:val="00EC7698"/>
    <w:rsid w:val="00ED3A08"/>
    <w:rsid w:val="00ED741A"/>
    <w:rsid w:val="00EE2F3E"/>
    <w:rsid w:val="00EE5A9B"/>
    <w:rsid w:val="00EF2016"/>
    <w:rsid w:val="00F03A2D"/>
    <w:rsid w:val="00F03A90"/>
    <w:rsid w:val="00F04254"/>
    <w:rsid w:val="00F064F7"/>
    <w:rsid w:val="00F07F39"/>
    <w:rsid w:val="00F2713B"/>
    <w:rsid w:val="00F3092D"/>
    <w:rsid w:val="00F370D1"/>
    <w:rsid w:val="00F428C7"/>
    <w:rsid w:val="00F52512"/>
    <w:rsid w:val="00F52C05"/>
    <w:rsid w:val="00F713E4"/>
    <w:rsid w:val="00F740DE"/>
    <w:rsid w:val="00F85074"/>
    <w:rsid w:val="00F93257"/>
    <w:rsid w:val="00FA4776"/>
    <w:rsid w:val="00FA4CE3"/>
    <w:rsid w:val="00FD20C7"/>
    <w:rsid w:val="00FE0656"/>
    <w:rsid w:val="00FE1238"/>
    <w:rsid w:val="00FF013B"/>
    <w:rsid w:val="00FF23B1"/>
    <w:rsid w:val="00FF59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1E9"/>
    <w:pPr>
      <w:spacing w:before="120" w:after="120" w:line="360" w:lineRule="auto"/>
      <w:jc w:val="both"/>
    </w:pPr>
    <w:rPr>
      <w:rFonts w:ascii="Times New Roman" w:hAnsi="Times New Roman"/>
    </w:rPr>
  </w:style>
  <w:style w:type="paragraph" w:styleId="Heading1">
    <w:name w:val="heading 1"/>
    <w:basedOn w:val="Normal"/>
    <w:next w:val="Normal"/>
    <w:link w:val="Heading1Char"/>
    <w:uiPriority w:val="9"/>
    <w:qFormat/>
    <w:rsid w:val="007F71E9"/>
    <w:pPr>
      <w:keepNext/>
      <w:keepLines/>
      <w:numPr>
        <w:numId w:val="8"/>
      </w:numPr>
      <w:spacing w:before="240" w:after="0"/>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7F71E9"/>
    <w:pPr>
      <w:keepNext/>
      <w:keepLines/>
      <w:numPr>
        <w:ilvl w:val="1"/>
        <w:numId w:val="8"/>
      </w:numPr>
      <w:outlineLvl w:val="1"/>
    </w:pPr>
    <w:rPr>
      <w:rFonts w:eastAsiaTheme="majorEastAsia" w:cstheme="majorBidi"/>
      <w:sz w:val="24"/>
      <w:szCs w:val="26"/>
    </w:rPr>
  </w:style>
  <w:style w:type="paragraph" w:styleId="Heading3">
    <w:name w:val="heading 3"/>
    <w:basedOn w:val="Normal"/>
    <w:next w:val="Normal"/>
    <w:link w:val="Heading3Char"/>
    <w:uiPriority w:val="9"/>
    <w:semiHidden/>
    <w:unhideWhenUsed/>
    <w:qFormat/>
    <w:rsid w:val="007F71E9"/>
    <w:pPr>
      <w:keepNext/>
      <w:keepLines/>
      <w:numPr>
        <w:ilvl w:val="2"/>
        <w:numId w:val="8"/>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F71E9"/>
    <w:pPr>
      <w:keepNext/>
      <w:keepLines/>
      <w:numPr>
        <w:ilvl w:val="3"/>
        <w:numId w:val="8"/>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F71E9"/>
    <w:pPr>
      <w:keepNext/>
      <w:keepLines/>
      <w:numPr>
        <w:ilvl w:val="4"/>
        <w:numId w:val="8"/>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F71E9"/>
    <w:pPr>
      <w:keepNext/>
      <w:keepLines/>
      <w:numPr>
        <w:ilvl w:val="5"/>
        <w:numId w:val="8"/>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F71E9"/>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F71E9"/>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F71E9"/>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1E9"/>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7F71E9"/>
    <w:rPr>
      <w:rFonts w:ascii="Times New Roman" w:eastAsiaTheme="majorEastAsia" w:hAnsi="Times New Roman" w:cstheme="majorBidi"/>
      <w:sz w:val="24"/>
      <w:szCs w:val="26"/>
    </w:rPr>
  </w:style>
  <w:style w:type="character" w:customStyle="1" w:styleId="Heading3Char">
    <w:name w:val="Heading 3 Char"/>
    <w:basedOn w:val="DefaultParagraphFont"/>
    <w:link w:val="Heading3"/>
    <w:uiPriority w:val="9"/>
    <w:semiHidden/>
    <w:rsid w:val="007F71E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F71E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F71E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F71E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F71E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F71E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F71E9"/>
    <w:rPr>
      <w:rFonts w:asciiTheme="majorHAnsi" w:eastAsiaTheme="majorEastAsia" w:hAnsiTheme="majorHAnsi" w:cstheme="majorBidi"/>
      <w:i/>
      <w:iCs/>
      <w:color w:val="404040" w:themeColor="text1" w:themeTint="BF"/>
      <w:sz w:val="20"/>
      <w:szCs w:val="20"/>
    </w:rPr>
  </w:style>
  <w:style w:type="paragraph" w:customStyle="1" w:styleId="TAMainText">
    <w:name w:val="TA_Main_Text"/>
    <w:basedOn w:val="Normal"/>
    <w:rsid w:val="00E05890"/>
    <w:pPr>
      <w:spacing w:after="0" w:line="480" w:lineRule="auto"/>
      <w:ind w:firstLine="202"/>
    </w:pPr>
    <w:rPr>
      <w:rFonts w:ascii="Times" w:eastAsia="Times New Roman" w:hAnsi="Times" w:cs="Times New Roman"/>
      <w:sz w:val="24"/>
      <w:szCs w:val="20"/>
      <w:lang w:val="en-US"/>
    </w:rPr>
  </w:style>
  <w:style w:type="paragraph" w:styleId="Header">
    <w:name w:val="header"/>
    <w:basedOn w:val="Normal"/>
    <w:link w:val="HeaderChar"/>
    <w:uiPriority w:val="99"/>
    <w:unhideWhenUsed/>
    <w:rsid w:val="00DA7A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AB2"/>
  </w:style>
  <w:style w:type="paragraph" w:styleId="Footer">
    <w:name w:val="footer"/>
    <w:basedOn w:val="Normal"/>
    <w:link w:val="FooterChar"/>
    <w:uiPriority w:val="99"/>
    <w:unhideWhenUsed/>
    <w:rsid w:val="00DA7A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AB2"/>
  </w:style>
  <w:style w:type="paragraph" w:styleId="FootnoteText">
    <w:name w:val="footnote text"/>
    <w:basedOn w:val="Normal"/>
    <w:link w:val="FootnoteTextChar"/>
    <w:uiPriority w:val="99"/>
    <w:unhideWhenUsed/>
    <w:rsid w:val="005733C5"/>
    <w:pPr>
      <w:spacing w:after="0" w:line="240" w:lineRule="auto"/>
    </w:pPr>
    <w:rPr>
      <w:sz w:val="20"/>
      <w:szCs w:val="20"/>
    </w:rPr>
  </w:style>
  <w:style w:type="character" w:customStyle="1" w:styleId="FootnoteTextChar">
    <w:name w:val="Footnote Text Char"/>
    <w:basedOn w:val="DefaultParagraphFont"/>
    <w:link w:val="FootnoteText"/>
    <w:uiPriority w:val="99"/>
    <w:rsid w:val="005733C5"/>
    <w:rPr>
      <w:sz w:val="20"/>
      <w:szCs w:val="20"/>
    </w:rPr>
  </w:style>
  <w:style w:type="character" w:styleId="FootnoteReference">
    <w:name w:val="footnote reference"/>
    <w:basedOn w:val="DefaultParagraphFont"/>
    <w:uiPriority w:val="99"/>
    <w:semiHidden/>
    <w:unhideWhenUsed/>
    <w:rsid w:val="005733C5"/>
    <w:rPr>
      <w:vertAlign w:val="superscript"/>
    </w:rPr>
  </w:style>
  <w:style w:type="paragraph" w:styleId="BalloonText">
    <w:name w:val="Balloon Text"/>
    <w:basedOn w:val="Normal"/>
    <w:link w:val="BalloonTextChar"/>
    <w:uiPriority w:val="99"/>
    <w:semiHidden/>
    <w:unhideWhenUsed/>
    <w:rsid w:val="009F36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369F"/>
    <w:rPr>
      <w:rFonts w:ascii="Segoe UI" w:hAnsi="Segoe UI" w:cs="Segoe UI"/>
      <w:sz w:val="18"/>
      <w:szCs w:val="18"/>
    </w:rPr>
  </w:style>
  <w:style w:type="character" w:styleId="Hyperlink">
    <w:name w:val="Hyperlink"/>
    <w:basedOn w:val="DefaultParagraphFont"/>
    <w:uiPriority w:val="99"/>
    <w:unhideWhenUsed/>
    <w:rsid w:val="00450DE2"/>
    <w:rPr>
      <w:strike w:val="0"/>
      <w:dstrike w:val="0"/>
      <w:color w:val="316C9D"/>
      <w:u w:val="none"/>
      <w:effect w:val="none"/>
    </w:rPr>
  </w:style>
  <w:style w:type="paragraph" w:customStyle="1" w:styleId="Default">
    <w:name w:val="Default"/>
    <w:rsid w:val="0032037B"/>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0450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A4C9A"/>
    <w:rPr>
      <w:sz w:val="16"/>
      <w:szCs w:val="16"/>
    </w:rPr>
  </w:style>
  <w:style w:type="paragraph" w:styleId="CommentText">
    <w:name w:val="annotation text"/>
    <w:basedOn w:val="Normal"/>
    <w:link w:val="CommentTextChar"/>
    <w:uiPriority w:val="99"/>
    <w:unhideWhenUsed/>
    <w:rsid w:val="003A4C9A"/>
    <w:pPr>
      <w:spacing w:line="240" w:lineRule="auto"/>
    </w:pPr>
    <w:rPr>
      <w:sz w:val="20"/>
      <w:szCs w:val="20"/>
    </w:rPr>
  </w:style>
  <w:style w:type="character" w:customStyle="1" w:styleId="CommentTextChar">
    <w:name w:val="Comment Text Char"/>
    <w:basedOn w:val="DefaultParagraphFont"/>
    <w:link w:val="CommentText"/>
    <w:uiPriority w:val="99"/>
    <w:rsid w:val="003A4C9A"/>
    <w:rPr>
      <w:sz w:val="20"/>
      <w:szCs w:val="20"/>
    </w:rPr>
  </w:style>
  <w:style w:type="paragraph" w:styleId="CommentSubject">
    <w:name w:val="annotation subject"/>
    <w:basedOn w:val="CommentText"/>
    <w:next w:val="CommentText"/>
    <w:link w:val="CommentSubjectChar"/>
    <w:uiPriority w:val="99"/>
    <w:semiHidden/>
    <w:unhideWhenUsed/>
    <w:rsid w:val="003A4C9A"/>
    <w:rPr>
      <w:b/>
      <w:bCs/>
    </w:rPr>
  </w:style>
  <w:style w:type="character" w:customStyle="1" w:styleId="CommentSubjectChar">
    <w:name w:val="Comment Subject Char"/>
    <w:basedOn w:val="CommentTextChar"/>
    <w:link w:val="CommentSubject"/>
    <w:uiPriority w:val="99"/>
    <w:semiHidden/>
    <w:rsid w:val="003A4C9A"/>
    <w:rPr>
      <w:b/>
      <w:bCs/>
      <w:sz w:val="20"/>
      <w:szCs w:val="20"/>
    </w:rPr>
  </w:style>
  <w:style w:type="paragraph" w:styleId="Caption">
    <w:name w:val="caption"/>
    <w:basedOn w:val="Normal"/>
    <w:next w:val="Normal"/>
    <w:uiPriority w:val="35"/>
    <w:unhideWhenUsed/>
    <w:qFormat/>
    <w:rsid w:val="005F5BDB"/>
    <w:pPr>
      <w:spacing w:line="240" w:lineRule="auto"/>
    </w:pPr>
    <w:rPr>
      <w:b/>
      <w:bCs/>
      <w:szCs w:val="18"/>
    </w:rPr>
  </w:style>
  <w:style w:type="paragraph" w:styleId="ListParagraph">
    <w:name w:val="List Paragraph"/>
    <w:basedOn w:val="Normal"/>
    <w:uiPriority w:val="34"/>
    <w:qFormat/>
    <w:rsid w:val="005B5B04"/>
    <w:pPr>
      <w:ind w:left="720"/>
      <w:contextualSpacing/>
    </w:pPr>
  </w:style>
  <w:style w:type="paragraph" w:styleId="Bibliography">
    <w:name w:val="Bibliography"/>
    <w:basedOn w:val="Normal"/>
    <w:next w:val="Normal"/>
    <w:uiPriority w:val="37"/>
    <w:unhideWhenUsed/>
    <w:rsid w:val="003B2A26"/>
    <w:pPr>
      <w:tabs>
        <w:tab w:val="left" w:pos="504"/>
      </w:tabs>
      <w:spacing w:after="0" w:line="240" w:lineRule="auto"/>
      <w:ind w:left="504" w:hanging="504"/>
    </w:pPr>
  </w:style>
  <w:style w:type="character" w:styleId="LineNumber">
    <w:name w:val="line number"/>
    <w:basedOn w:val="DefaultParagraphFont"/>
    <w:uiPriority w:val="99"/>
    <w:semiHidden/>
    <w:unhideWhenUsed/>
    <w:rsid w:val="00DE7CDF"/>
  </w:style>
  <w:style w:type="character" w:customStyle="1" w:styleId="hithilite">
    <w:name w:val="hithilite"/>
    <w:basedOn w:val="DefaultParagraphFont"/>
    <w:rsid w:val="00B43C35"/>
  </w:style>
  <w:style w:type="character" w:customStyle="1" w:styleId="frlabel">
    <w:name w:val="fr_label"/>
    <w:basedOn w:val="DefaultParagraphFont"/>
    <w:rsid w:val="00B43C35"/>
  </w:style>
  <w:style w:type="paragraph" w:styleId="NormalWeb">
    <w:name w:val="Normal (Web)"/>
    <w:basedOn w:val="Normal"/>
    <w:uiPriority w:val="99"/>
    <w:unhideWhenUsed/>
    <w:rsid w:val="00720A23"/>
    <w:pPr>
      <w:spacing w:before="100" w:beforeAutospacing="1" w:after="100" w:afterAutospacing="1" w:line="240" w:lineRule="auto"/>
      <w:jc w:val="left"/>
    </w:pPr>
    <w:rPr>
      <w:rFonts w:eastAsia="Times New Roman" w:cs="Times New Roman"/>
      <w:sz w:val="24"/>
      <w:szCs w:val="24"/>
      <w:lang w:val="es-ES" w:eastAsia="es-ES"/>
    </w:rPr>
  </w:style>
  <w:style w:type="paragraph" w:styleId="Revision">
    <w:name w:val="Revision"/>
    <w:hidden/>
    <w:uiPriority w:val="99"/>
    <w:semiHidden/>
    <w:rsid w:val="002E62E3"/>
    <w:pPr>
      <w:spacing w:after="0" w:line="240" w:lineRule="auto"/>
    </w:pPr>
    <w:rPr>
      <w:rFonts w:ascii="Times New Roman" w:hAnsi="Times New Roman"/>
    </w:rPr>
  </w:style>
  <w:style w:type="character" w:styleId="Strong">
    <w:name w:val="Strong"/>
    <w:basedOn w:val="DefaultParagraphFont"/>
    <w:uiPriority w:val="22"/>
    <w:qFormat/>
    <w:rsid w:val="00AF5173"/>
    <w:rPr>
      <w:b/>
      <w:bCs/>
    </w:rPr>
  </w:style>
  <w:style w:type="character" w:styleId="FollowedHyperlink">
    <w:name w:val="FollowedHyperlink"/>
    <w:basedOn w:val="DefaultParagraphFont"/>
    <w:uiPriority w:val="99"/>
    <w:semiHidden/>
    <w:unhideWhenUsed/>
    <w:rsid w:val="00AD4156"/>
    <w:rPr>
      <w:color w:val="800080" w:themeColor="followedHyperlink"/>
      <w:u w:val="single"/>
    </w:rPr>
  </w:style>
  <w:style w:type="character" w:styleId="PlaceholderText">
    <w:name w:val="Placeholder Text"/>
    <w:basedOn w:val="DefaultParagraphFont"/>
    <w:uiPriority w:val="99"/>
    <w:semiHidden/>
    <w:rsid w:val="00CA5261"/>
    <w:rPr>
      <w:color w:val="808080"/>
    </w:rPr>
  </w:style>
  <w:style w:type="paragraph" w:styleId="PlainText">
    <w:name w:val="Plain Text"/>
    <w:basedOn w:val="Normal"/>
    <w:link w:val="PlainTextChar"/>
    <w:uiPriority w:val="99"/>
    <w:unhideWhenUsed/>
    <w:rsid w:val="002C2386"/>
    <w:pPr>
      <w:spacing w:before="0" w:after="0" w:line="240" w:lineRule="auto"/>
      <w:jc w:val="left"/>
    </w:pPr>
    <w:rPr>
      <w:rFonts w:ascii="Calibri" w:hAnsi="Calibri"/>
      <w:szCs w:val="21"/>
      <w:lang w:val="en-US"/>
    </w:rPr>
  </w:style>
  <w:style w:type="character" w:customStyle="1" w:styleId="PlainTextChar">
    <w:name w:val="Plain Text Char"/>
    <w:basedOn w:val="DefaultParagraphFont"/>
    <w:link w:val="PlainText"/>
    <w:uiPriority w:val="99"/>
    <w:rsid w:val="002C2386"/>
    <w:rPr>
      <w:rFonts w:ascii="Calibri" w:hAnsi="Calibri"/>
      <w:szCs w:val="21"/>
      <w:lang w:val="en-US"/>
    </w:rPr>
  </w:style>
</w:styles>
</file>

<file path=word/webSettings.xml><?xml version="1.0" encoding="utf-8"?>
<w:webSettings xmlns:r="http://schemas.openxmlformats.org/officeDocument/2006/relationships" xmlns:w="http://schemas.openxmlformats.org/wordprocessingml/2006/main">
  <w:divs>
    <w:div w:id="42020183">
      <w:bodyDiv w:val="1"/>
      <w:marLeft w:val="0"/>
      <w:marRight w:val="0"/>
      <w:marTop w:val="0"/>
      <w:marBottom w:val="0"/>
      <w:divBdr>
        <w:top w:val="none" w:sz="0" w:space="0" w:color="auto"/>
        <w:left w:val="none" w:sz="0" w:space="0" w:color="auto"/>
        <w:bottom w:val="none" w:sz="0" w:space="0" w:color="auto"/>
        <w:right w:val="none" w:sz="0" w:space="0" w:color="auto"/>
      </w:divBdr>
      <w:divsChild>
        <w:div w:id="709763241">
          <w:marLeft w:val="0"/>
          <w:marRight w:val="0"/>
          <w:marTop w:val="0"/>
          <w:marBottom w:val="0"/>
          <w:divBdr>
            <w:top w:val="single" w:sz="2" w:space="0" w:color="2E2E2E"/>
            <w:left w:val="single" w:sz="2" w:space="0" w:color="2E2E2E"/>
            <w:bottom w:val="single" w:sz="2" w:space="0" w:color="2E2E2E"/>
            <w:right w:val="single" w:sz="2" w:space="0" w:color="2E2E2E"/>
          </w:divBdr>
          <w:divsChild>
            <w:div w:id="248513414">
              <w:marLeft w:val="0"/>
              <w:marRight w:val="0"/>
              <w:marTop w:val="0"/>
              <w:marBottom w:val="0"/>
              <w:divBdr>
                <w:top w:val="single" w:sz="6" w:space="0" w:color="C9C9C9"/>
                <w:left w:val="none" w:sz="0" w:space="0" w:color="auto"/>
                <w:bottom w:val="none" w:sz="0" w:space="0" w:color="auto"/>
                <w:right w:val="none" w:sz="0" w:space="0" w:color="auto"/>
              </w:divBdr>
              <w:divsChild>
                <w:div w:id="1442916699">
                  <w:marLeft w:val="0"/>
                  <w:marRight w:val="0"/>
                  <w:marTop w:val="0"/>
                  <w:marBottom w:val="0"/>
                  <w:divBdr>
                    <w:top w:val="none" w:sz="0" w:space="0" w:color="auto"/>
                    <w:left w:val="none" w:sz="0" w:space="0" w:color="auto"/>
                    <w:bottom w:val="none" w:sz="0" w:space="0" w:color="auto"/>
                    <w:right w:val="none" w:sz="0" w:space="0" w:color="auto"/>
                  </w:divBdr>
                  <w:divsChild>
                    <w:div w:id="28185600">
                      <w:marLeft w:val="0"/>
                      <w:marRight w:val="0"/>
                      <w:marTop w:val="0"/>
                      <w:marBottom w:val="0"/>
                      <w:divBdr>
                        <w:top w:val="none" w:sz="0" w:space="0" w:color="auto"/>
                        <w:left w:val="none" w:sz="0" w:space="0" w:color="auto"/>
                        <w:bottom w:val="none" w:sz="0" w:space="0" w:color="auto"/>
                        <w:right w:val="none" w:sz="0" w:space="0" w:color="auto"/>
                      </w:divBdr>
                      <w:divsChild>
                        <w:div w:id="2116436610">
                          <w:marLeft w:val="0"/>
                          <w:marRight w:val="0"/>
                          <w:marTop w:val="225"/>
                          <w:marBottom w:val="315"/>
                          <w:divBdr>
                            <w:top w:val="single" w:sz="6" w:space="0" w:color="D7D7D7"/>
                            <w:left w:val="single" w:sz="2" w:space="0" w:color="D7D7D7"/>
                            <w:bottom w:val="single" w:sz="6" w:space="0" w:color="D7D7D7"/>
                            <w:right w:val="single" w:sz="2" w:space="0" w:color="D7D7D7"/>
                          </w:divBdr>
                          <w:divsChild>
                            <w:div w:id="955985176">
                              <w:marLeft w:val="0"/>
                              <w:marRight w:val="0"/>
                              <w:marTop w:val="0"/>
                              <w:marBottom w:val="0"/>
                              <w:divBdr>
                                <w:top w:val="none" w:sz="0" w:space="0" w:color="auto"/>
                                <w:left w:val="none" w:sz="0" w:space="0" w:color="auto"/>
                                <w:bottom w:val="none" w:sz="0" w:space="0" w:color="auto"/>
                                <w:right w:val="none" w:sz="0" w:space="0" w:color="auto"/>
                              </w:divBdr>
                              <w:divsChild>
                                <w:div w:id="60824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188741">
      <w:bodyDiv w:val="1"/>
      <w:marLeft w:val="0"/>
      <w:marRight w:val="0"/>
      <w:marTop w:val="0"/>
      <w:marBottom w:val="0"/>
      <w:divBdr>
        <w:top w:val="none" w:sz="0" w:space="0" w:color="auto"/>
        <w:left w:val="none" w:sz="0" w:space="0" w:color="auto"/>
        <w:bottom w:val="none" w:sz="0" w:space="0" w:color="auto"/>
        <w:right w:val="none" w:sz="0" w:space="0" w:color="auto"/>
      </w:divBdr>
      <w:divsChild>
        <w:div w:id="865019933">
          <w:marLeft w:val="0"/>
          <w:marRight w:val="0"/>
          <w:marTop w:val="0"/>
          <w:marBottom w:val="0"/>
          <w:divBdr>
            <w:top w:val="single" w:sz="2" w:space="0" w:color="2E2E2E"/>
            <w:left w:val="single" w:sz="2" w:space="0" w:color="2E2E2E"/>
            <w:bottom w:val="single" w:sz="2" w:space="0" w:color="2E2E2E"/>
            <w:right w:val="single" w:sz="2" w:space="0" w:color="2E2E2E"/>
          </w:divBdr>
          <w:divsChild>
            <w:div w:id="1219393976">
              <w:marLeft w:val="0"/>
              <w:marRight w:val="0"/>
              <w:marTop w:val="0"/>
              <w:marBottom w:val="0"/>
              <w:divBdr>
                <w:top w:val="single" w:sz="6" w:space="0" w:color="C9C9C9"/>
                <w:left w:val="none" w:sz="0" w:space="0" w:color="auto"/>
                <w:bottom w:val="none" w:sz="0" w:space="0" w:color="auto"/>
                <w:right w:val="none" w:sz="0" w:space="0" w:color="auto"/>
              </w:divBdr>
              <w:divsChild>
                <w:div w:id="894580288">
                  <w:marLeft w:val="0"/>
                  <w:marRight w:val="0"/>
                  <w:marTop w:val="0"/>
                  <w:marBottom w:val="0"/>
                  <w:divBdr>
                    <w:top w:val="none" w:sz="0" w:space="0" w:color="auto"/>
                    <w:left w:val="none" w:sz="0" w:space="0" w:color="auto"/>
                    <w:bottom w:val="none" w:sz="0" w:space="0" w:color="auto"/>
                    <w:right w:val="none" w:sz="0" w:space="0" w:color="auto"/>
                  </w:divBdr>
                  <w:divsChild>
                    <w:div w:id="1570118476">
                      <w:marLeft w:val="0"/>
                      <w:marRight w:val="0"/>
                      <w:marTop w:val="0"/>
                      <w:marBottom w:val="0"/>
                      <w:divBdr>
                        <w:top w:val="none" w:sz="0" w:space="0" w:color="auto"/>
                        <w:left w:val="none" w:sz="0" w:space="0" w:color="auto"/>
                        <w:bottom w:val="none" w:sz="0" w:space="0" w:color="auto"/>
                        <w:right w:val="none" w:sz="0" w:space="0" w:color="auto"/>
                      </w:divBdr>
                      <w:divsChild>
                        <w:div w:id="188417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311326">
      <w:bodyDiv w:val="1"/>
      <w:marLeft w:val="0"/>
      <w:marRight w:val="0"/>
      <w:marTop w:val="0"/>
      <w:marBottom w:val="0"/>
      <w:divBdr>
        <w:top w:val="none" w:sz="0" w:space="0" w:color="auto"/>
        <w:left w:val="none" w:sz="0" w:space="0" w:color="auto"/>
        <w:bottom w:val="none" w:sz="0" w:space="0" w:color="auto"/>
        <w:right w:val="none" w:sz="0" w:space="0" w:color="auto"/>
      </w:divBdr>
      <w:divsChild>
        <w:div w:id="1193691517">
          <w:marLeft w:val="0"/>
          <w:marRight w:val="0"/>
          <w:marTop w:val="0"/>
          <w:marBottom w:val="0"/>
          <w:divBdr>
            <w:top w:val="none" w:sz="0" w:space="0" w:color="auto"/>
            <w:left w:val="none" w:sz="0" w:space="0" w:color="auto"/>
            <w:bottom w:val="none" w:sz="0" w:space="0" w:color="auto"/>
            <w:right w:val="none" w:sz="0" w:space="0" w:color="auto"/>
          </w:divBdr>
        </w:div>
        <w:div w:id="1613855309">
          <w:marLeft w:val="0"/>
          <w:marRight w:val="0"/>
          <w:marTop w:val="0"/>
          <w:marBottom w:val="0"/>
          <w:divBdr>
            <w:top w:val="none" w:sz="0" w:space="0" w:color="auto"/>
            <w:left w:val="none" w:sz="0" w:space="0" w:color="auto"/>
            <w:bottom w:val="none" w:sz="0" w:space="0" w:color="auto"/>
            <w:right w:val="none" w:sz="0" w:space="0" w:color="auto"/>
          </w:divBdr>
        </w:div>
        <w:div w:id="433482698">
          <w:marLeft w:val="0"/>
          <w:marRight w:val="0"/>
          <w:marTop w:val="0"/>
          <w:marBottom w:val="0"/>
          <w:divBdr>
            <w:top w:val="none" w:sz="0" w:space="0" w:color="auto"/>
            <w:left w:val="none" w:sz="0" w:space="0" w:color="auto"/>
            <w:bottom w:val="none" w:sz="0" w:space="0" w:color="auto"/>
            <w:right w:val="none" w:sz="0" w:space="0" w:color="auto"/>
          </w:divBdr>
        </w:div>
        <w:div w:id="1484732990">
          <w:marLeft w:val="0"/>
          <w:marRight w:val="0"/>
          <w:marTop w:val="0"/>
          <w:marBottom w:val="0"/>
          <w:divBdr>
            <w:top w:val="none" w:sz="0" w:space="0" w:color="auto"/>
            <w:left w:val="none" w:sz="0" w:space="0" w:color="auto"/>
            <w:bottom w:val="none" w:sz="0" w:space="0" w:color="auto"/>
            <w:right w:val="none" w:sz="0" w:space="0" w:color="auto"/>
          </w:divBdr>
        </w:div>
      </w:divsChild>
    </w:div>
    <w:div w:id="97995098">
      <w:bodyDiv w:val="1"/>
      <w:marLeft w:val="0"/>
      <w:marRight w:val="0"/>
      <w:marTop w:val="0"/>
      <w:marBottom w:val="0"/>
      <w:divBdr>
        <w:top w:val="none" w:sz="0" w:space="0" w:color="auto"/>
        <w:left w:val="none" w:sz="0" w:space="0" w:color="auto"/>
        <w:bottom w:val="none" w:sz="0" w:space="0" w:color="auto"/>
        <w:right w:val="none" w:sz="0" w:space="0" w:color="auto"/>
      </w:divBdr>
    </w:div>
    <w:div w:id="99767705">
      <w:bodyDiv w:val="1"/>
      <w:marLeft w:val="0"/>
      <w:marRight w:val="0"/>
      <w:marTop w:val="0"/>
      <w:marBottom w:val="0"/>
      <w:divBdr>
        <w:top w:val="none" w:sz="0" w:space="0" w:color="auto"/>
        <w:left w:val="none" w:sz="0" w:space="0" w:color="auto"/>
        <w:bottom w:val="none" w:sz="0" w:space="0" w:color="auto"/>
        <w:right w:val="none" w:sz="0" w:space="0" w:color="auto"/>
      </w:divBdr>
    </w:div>
    <w:div w:id="115225787">
      <w:bodyDiv w:val="1"/>
      <w:marLeft w:val="0"/>
      <w:marRight w:val="0"/>
      <w:marTop w:val="0"/>
      <w:marBottom w:val="0"/>
      <w:divBdr>
        <w:top w:val="none" w:sz="0" w:space="0" w:color="auto"/>
        <w:left w:val="none" w:sz="0" w:space="0" w:color="auto"/>
        <w:bottom w:val="none" w:sz="0" w:space="0" w:color="auto"/>
        <w:right w:val="none" w:sz="0" w:space="0" w:color="auto"/>
      </w:divBdr>
    </w:div>
    <w:div w:id="149101161">
      <w:bodyDiv w:val="1"/>
      <w:marLeft w:val="0"/>
      <w:marRight w:val="0"/>
      <w:marTop w:val="0"/>
      <w:marBottom w:val="0"/>
      <w:divBdr>
        <w:top w:val="none" w:sz="0" w:space="0" w:color="auto"/>
        <w:left w:val="none" w:sz="0" w:space="0" w:color="auto"/>
        <w:bottom w:val="none" w:sz="0" w:space="0" w:color="auto"/>
        <w:right w:val="none" w:sz="0" w:space="0" w:color="auto"/>
      </w:divBdr>
    </w:div>
    <w:div w:id="257561699">
      <w:bodyDiv w:val="1"/>
      <w:marLeft w:val="0"/>
      <w:marRight w:val="0"/>
      <w:marTop w:val="0"/>
      <w:marBottom w:val="0"/>
      <w:divBdr>
        <w:top w:val="none" w:sz="0" w:space="0" w:color="auto"/>
        <w:left w:val="none" w:sz="0" w:space="0" w:color="auto"/>
        <w:bottom w:val="none" w:sz="0" w:space="0" w:color="auto"/>
        <w:right w:val="none" w:sz="0" w:space="0" w:color="auto"/>
      </w:divBdr>
      <w:divsChild>
        <w:div w:id="612439198">
          <w:marLeft w:val="0"/>
          <w:marRight w:val="0"/>
          <w:marTop w:val="0"/>
          <w:marBottom w:val="0"/>
          <w:divBdr>
            <w:top w:val="single" w:sz="2" w:space="0" w:color="2E2E2E"/>
            <w:left w:val="single" w:sz="2" w:space="0" w:color="2E2E2E"/>
            <w:bottom w:val="single" w:sz="2" w:space="0" w:color="2E2E2E"/>
            <w:right w:val="single" w:sz="2" w:space="0" w:color="2E2E2E"/>
          </w:divBdr>
          <w:divsChild>
            <w:div w:id="990594834">
              <w:marLeft w:val="0"/>
              <w:marRight w:val="0"/>
              <w:marTop w:val="0"/>
              <w:marBottom w:val="0"/>
              <w:divBdr>
                <w:top w:val="single" w:sz="6" w:space="0" w:color="C9C9C9"/>
                <w:left w:val="none" w:sz="0" w:space="0" w:color="auto"/>
                <w:bottom w:val="none" w:sz="0" w:space="0" w:color="auto"/>
                <w:right w:val="none" w:sz="0" w:space="0" w:color="auto"/>
              </w:divBdr>
              <w:divsChild>
                <w:div w:id="186606847">
                  <w:marLeft w:val="0"/>
                  <w:marRight w:val="0"/>
                  <w:marTop w:val="0"/>
                  <w:marBottom w:val="0"/>
                  <w:divBdr>
                    <w:top w:val="none" w:sz="0" w:space="0" w:color="auto"/>
                    <w:left w:val="none" w:sz="0" w:space="0" w:color="auto"/>
                    <w:bottom w:val="none" w:sz="0" w:space="0" w:color="auto"/>
                    <w:right w:val="none" w:sz="0" w:space="0" w:color="auto"/>
                  </w:divBdr>
                  <w:divsChild>
                    <w:div w:id="1996760997">
                      <w:marLeft w:val="0"/>
                      <w:marRight w:val="0"/>
                      <w:marTop w:val="0"/>
                      <w:marBottom w:val="0"/>
                      <w:divBdr>
                        <w:top w:val="none" w:sz="0" w:space="0" w:color="auto"/>
                        <w:left w:val="none" w:sz="0" w:space="0" w:color="auto"/>
                        <w:bottom w:val="none" w:sz="0" w:space="0" w:color="auto"/>
                        <w:right w:val="none" w:sz="0" w:space="0" w:color="auto"/>
                      </w:divBdr>
                      <w:divsChild>
                        <w:div w:id="9390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008827">
      <w:bodyDiv w:val="1"/>
      <w:marLeft w:val="0"/>
      <w:marRight w:val="0"/>
      <w:marTop w:val="0"/>
      <w:marBottom w:val="0"/>
      <w:divBdr>
        <w:top w:val="none" w:sz="0" w:space="0" w:color="auto"/>
        <w:left w:val="none" w:sz="0" w:space="0" w:color="auto"/>
        <w:bottom w:val="none" w:sz="0" w:space="0" w:color="auto"/>
        <w:right w:val="none" w:sz="0" w:space="0" w:color="auto"/>
      </w:divBdr>
      <w:divsChild>
        <w:div w:id="3171636">
          <w:marLeft w:val="0"/>
          <w:marRight w:val="0"/>
          <w:marTop w:val="0"/>
          <w:marBottom w:val="0"/>
          <w:divBdr>
            <w:top w:val="single" w:sz="2" w:space="0" w:color="2E2E2E"/>
            <w:left w:val="single" w:sz="2" w:space="0" w:color="2E2E2E"/>
            <w:bottom w:val="single" w:sz="2" w:space="0" w:color="2E2E2E"/>
            <w:right w:val="single" w:sz="2" w:space="0" w:color="2E2E2E"/>
          </w:divBdr>
          <w:divsChild>
            <w:div w:id="978070908">
              <w:marLeft w:val="0"/>
              <w:marRight w:val="0"/>
              <w:marTop w:val="0"/>
              <w:marBottom w:val="0"/>
              <w:divBdr>
                <w:top w:val="single" w:sz="6" w:space="0" w:color="C9C9C9"/>
                <w:left w:val="none" w:sz="0" w:space="0" w:color="auto"/>
                <w:bottom w:val="none" w:sz="0" w:space="0" w:color="auto"/>
                <w:right w:val="none" w:sz="0" w:space="0" w:color="auto"/>
              </w:divBdr>
              <w:divsChild>
                <w:div w:id="1739479017">
                  <w:marLeft w:val="0"/>
                  <w:marRight w:val="0"/>
                  <w:marTop w:val="0"/>
                  <w:marBottom w:val="0"/>
                  <w:divBdr>
                    <w:top w:val="none" w:sz="0" w:space="0" w:color="auto"/>
                    <w:left w:val="none" w:sz="0" w:space="0" w:color="auto"/>
                    <w:bottom w:val="none" w:sz="0" w:space="0" w:color="auto"/>
                    <w:right w:val="none" w:sz="0" w:space="0" w:color="auto"/>
                  </w:divBdr>
                  <w:divsChild>
                    <w:div w:id="1155530778">
                      <w:marLeft w:val="0"/>
                      <w:marRight w:val="0"/>
                      <w:marTop w:val="0"/>
                      <w:marBottom w:val="0"/>
                      <w:divBdr>
                        <w:top w:val="none" w:sz="0" w:space="0" w:color="auto"/>
                        <w:left w:val="none" w:sz="0" w:space="0" w:color="auto"/>
                        <w:bottom w:val="none" w:sz="0" w:space="0" w:color="auto"/>
                        <w:right w:val="none" w:sz="0" w:space="0" w:color="auto"/>
                      </w:divBdr>
                      <w:divsChild>
                        <w:div w:id="199802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3022117">
      <w:bodyDiv w:val="1"/>
      <w:marLeft w:val="0"/>
      <w:marRight w:val="0"/>
      <w:marTop w:val="0"/>
      <w:marBottom w:val="0"/>
      <w:divBdr>
        <w:top w:val="none" w:sz="0" w:space="0" w:color="auto"/>
        <w:left w:val="none" w:sz="0" w:space="0" w:color="auto"/>
        <w:bottom w:val="none" w:sz="0" w:space="0" w:color="auto"/>
        <w:right w:val="none" w:sz="0" w:space="0" w:color="auto"/>
      </w:divBdr>
    </w:div>
    <w:div w:id="772745986">
      <w:bodyDiv w:val="1"/>
      <w:marLeft w:val="0"/>
      <w:marRight w:val="0"/>
      <w:marTop w:val="0"/>
      <w:marBottom w:val="0"/>
      <w:divBdr>
        <w:top w:val="none" w:sz="0" w:space="0" w:color="auto"/>
        <w:left w:val="none" w:sz="0" w:space="0" w:color="auto"/>
        <w:bottom w:val="none" w:sz="0" w:space="0" w:color="auto"/>
        <w:right w:val="none" w:sz="0" w:space="0" w:color="auto"/>
      </w:divBdr>
    </w:div>
    <w:div w:id="785075707">
      <w:bodyDiv w:val="1"/>
      <w:marLeft w:val="0"/>
      <w:marRight w:val="0"/>
      <w:marTop w:val="0"/>
      <w:marBottom w:val="0"/>
      <w:divBdr>
        <w:top w:val="none" w:sz="0" w:space="0" w:color="auto"/>
        <w:left w:val="none" w:sz="0" w:space="0" w:color="auto"/>
        <w:bottom w:val="none" w:sz="0" w:space="0" w:color="auto"/>
        <w:right w:val="none" w:sz="0" w:space="0" w:color="auto"/>
      </w:divBdr>
    </w:div>
    <w:div w:id="799303280">
      <w:bodyDiv w:val="1"/>
      <w:marLeft w:val="0"/>
      <w:marRight w:val="0"/>
      <w:marTop w:val="0"/>
      <w:marBottom w:val="0"/>
      <w:divBdr>
        <w:top w:val="none" w:sz="0" w:space="0" w:color="auto"/>
        <w:left w:val="none" w:sz="0" w:space="0" w:color="auto"/>
        <w:bottom w:val="none" w:sz="0" w:space="0" w:color="auto"/>
        <w:right w:val="none" w:sz="0" w:space="0" w:color="auto"/>
      </w:divBdr>
    </w:div>
    <w:div w:id="825244161">
      <w:bodyDiv w:val="1"/>
      <w:marLeft w:val="0"/>
      <w:marRight w:val="0"/>
      <w:marTop w:val="0"/>
      <w:marBottom w:val="0"/>
      <w:divBdr>
        <w:top w:val="none" w:sz="0" w:space="0" w:color="auto"/>
        <w:left w:val="none" w:sz="0" w:space="0" w:color="auto"/>
        <w:bottom w:val="none" w:sz="0" w:space="0" w:color="auto"/>
        <w:right w:val="none" w:sz="0" w:space="0" w:color="auto"/>
      </w:divBdr>
    </w:div>
    <w:div w:id="832186841">
      <w:bodyDiv w:val="1"/>
      <w:marLeft w:val="0"/>
      <w:marRight w:val="0"/>
      <w:marTop w:val="0"/>
      <w:marBottom w:val="0"/>
      <w:divBdr>
        <w:top w:val="single" w:sz="6" w:space="0" w:color="FFFFFF"/>
        <w:left w:val="none" w:sz="0" w:space="0" w:color="auto"/>
        <w:bottom w:val="none" w:sz="0" w:space="0" w:color="auto"/>
        <w:right w:val="none" w:sz="0" w:space="0" w:color="auto"/>
      </w:divBdr>
      <w:divsChild>
        <w:div w:id="960460082">
          <w:marLeft w:val="0"/>
          <w:marRight w:val="0"/>
          <w:marTop w:val="0"/>
          <w:marBottom w:val="0"/>
          <w:divBdr>
            <w:top w:val="none" w:sz="0" w:space="0" w:color="auto"/>
            <w:left w:val="none" w:sz="0" w:space="0" w:color="auto"/>
            <w:bottom w:val="none" w:sz="0" w:space="0" w:color="auto"/>
            <w:right w:val="none" w:sz="0" w:space="0" w:color="auto"/>
          </w:divBdr>
          <w:divsChild>
            <w:div w:id="536284716">
              <w:marLeft w:val="0"/>
              <w:marRight w:val="0"/>
              <w:marTop w:val="675"/>
              <w:marBottom w:val="0"/>
              <w:divBdr>
                <w:top w:val="none" w:sz="0" w:space="0" w:color="auto"/>
                <w:left w:val="none" w:sz="0" w:space="0" w:color="auto"/>
                <w:bottom w:val="none" w:sz="0" w:space="0" w:color="auto"/>
                <w:right w:val="none" w:sz="0" w:space="0" w:color="auto"/>
              </w:divBdr>
              <w:divsChild>
                <w:div w:id="1790120218">
                  <w:marLeft w:val="0"/>
                  <w:marRight w:val="0"/>
                  <w:marTop w:val="0"/>
                  <w:marBottom w:val="0"/>
                  <w:divBdr>
                    <w:top w:val="none" w:sz="0" w:space="0" w:color="auto"/>
                    <w:left w:val="none" w:sz="0" w:space="0" w:color="auto"/>
                    <w:bottom w:val="none" w:sz="0" w:space="0" w:color="auto"/>
                    <w:right w:val="none" w:sz="0" w:space="0" w:color="auto"/>
                  </w:divBdr>
                  <w:divsChild>
                    <w:div w:id="173763561">
                      <w:marLeft w:val="0"/>
                      <w:marRight w:val="0"/>
                      <w:marTop w:val="0"/>
                      <w:marBottom w:val="0"/>
                      <w:divBdr>
                        <w:top w:val="none" w:sz="0" w:space="0" w:color="auto"/>
                        <w:left w:val="none" w:sz="0" w:space="0" w:color="auto"/>
                        <w:bottom w:val="none" w:sz="0" w:space="0" w:color="auto"/>
                        <w:right w:val="none" w:sz="0" w:space="0" w:color="auto"/>
                      </w:divBdr>
                      <w:divsChild>
                        <w:div w:id="1093236458">
                          <w:marLeft w:val="0"/>
                          <w:marRight w:val="0"/>
                          <w:marTop w:val="0"/>
                          <w:marBottom w:val="0"/>
                          <w:divBdr>
                            <w:top w:val="none" w:sz="0" w:space="0" w:color="auto"/>
                            <w:left w:val="none" w:sz="0" w:space="0" w:color="auto"/>
                            <w:bottom w:val="none" w:sz="0" w:space="0" w:color="auto"/>
                            <w:right w:val="none" w:sz="0" w:space="0" w:color="auto"/>
                          </w:divBdr>
                          <w:divsChild>
                            <w:div w:id="1876893209">
                              <w:marLeft w:val="0"/>
                              <w:marRight w:val="0"/>
                              <w:marTop w:val="0"/>
                              <w:marBottom w:val="0"/>
                              <w:divBdr>
                                <w:top w:val="none" w:sz="0" w:space="0" w:color="auto"/>
                                <w:left w:val="none" w:sz="0" w:space="0" w:color="auto"/>
                                <w:bottom w:val="none" w:sz="0" w:space="0" w:color="auto"/>
                                <w:right w:val="none" w:sz="0" w:space="0" w:color="auto"/>
                              </w:divBdr>
                              <w:divsChild>
                                <w:div w:id="1915897997">
                                  <w:marLeft w:val="0"/>
                                  <w:marRight w:val="0"/>
                                  <w:marTop w:val="0"/>
                                  <w:marBottom w:val="300"/>
                                  <w:divBdr>
                                    <w:top w:val="none" w:sz="0" w:space="0" w:color="auto"/>
                                    <w:left w:val="none" w:sz="0" w:space="0" w:color="auto"/>
                                    <w:bottom w:val="none" w:sz="0" w:space="0" w:color="auto"/>
                                    <w:right w:val="none" w:sz="0" w:space="0" w:color="auto"/>
                                  </w:divBdr>
                                  <w:divsChild>
                                    <w:div w:id="2127502354">
                                      <w:marLeft w:val="0"/>
                                      <w:marRight w:val="0"/>
                                      <w:marTop w:val="0"/>
                                      <w:marBottom w:val="0"/>
                                      <w:divBdr>
                                        <w:top w:val="none" w:sz="0" w:space="0" w:color="auto"/>
                                        <w:left w:val="none" w:sz="0" w:space="0" w:color="auto"/>
                                        <w:bottom w:val="none" w:sz="0" w:space="0" w:color="auto"/>
                                        <w:right w:val="none" w:sz="0" w:space="0" w:color="auto"/>
                                      </w:divBdr>
                                      <w:divsChild>
                                        <w:div w:id="509566235">
                                          <w:marLeft w:val="0"/>
                                          <w:marRight w:val="0"/>
                                          <w:marTop w:val="0"/>
                                          <w:marBottom w:val="0"/>
                                          <w:divBdr>
                                            <w:top w:val="none" w:sz="0" w:space="0" w:color="auto"/>
                                            <w:left w:val="none" w:sz="0" w:space="0" w:color="auto"/>
                                            <w:bottom w:val="none" w:sz="0" w:space="0" w:color="auto"/>
                                            <w:right w:val="none" w:sz="0" w:space="0" w:color="auto"/>
                                          </w:divBdr>
                                          <w:divsChild>
                                            <w:div w:id="194577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6492800">
      <w:bodyDiv w:val="1"/>
      <w:marLeft w:val="0"/>
      <w:marRight w:val="0"/>
      <w:marTop w:val="0"/>
      <w:marBottom w:val="0"/>
      <w:divBdr>
        <w:top w:val="none" w:sz="0" w:space="0" w:color="auto"/>
        <w:left w:val="none" w:sz="0" w:space="0" w:color="auto"/>
        <w:bottom w:val="none" w:sz="0" w:space="0" w:color="auto"/>
        <w:right w:val="none" w:sz="0" w:space="0" w:color="auto"/>
      </w:divBdr>
    </w:div>
    <w:div w:id="1203438960">
      <w:bodyDiv w:val="1"/>
      <w:marLeft w:val="0"/>
      <w:marRight w:val="0"/>
      <w:marTop w:val="0"/>
      <w:marBottom w:val="0"/>
      <w:divBdr>
        <w:top w:val="none" w:sz="0" w:space="0" w:color="auto"/>
        <w:left w:val="none" w:sz="0" w:space="0" w:color="auto"/>
        <w:bottom w:val="none" w:sz="0" w:space="0" w:color="auto"/>
        <w:right w:val="none" w:sz="0" w:space="0" w:color="auto"/>
      </w:divBdr>
      <w:divsChild>
        <w:div w:id="2087994668">
          <w:marLeft w:val="0"/>
          <w:marRight w:val="0"/>
          <w:marTop w:val="0"/>
          <w:marBottom w:val="0"/>
          <w:divBdr>
            <w:top w:val="single" w:sz="2" w:space="0" w:color="2E2E2E"/>
            <w:left w:val="single" w:sz="2" w:space="0" w:color="2E2E2E"/>
            <w:bottom w:val="single" w:sz="2" w:space="0" w:color="2E2E2E"/>
            <w:right w:val="single" w:sz="2" w:space="0" w:color="2E2E2E"/>
          </w:divBdr>
          <w:divsChild>
            <w:div w:id="1272317785">
              <w:marLeft w:val="0"/>
              <w:marRight w:val="0"/>
              <w:marTop w:val="0"/>
              <w:marBottom w:val="0"/>
              <w:divBdr>
                <w:top w:val="single" w:sz="6" w:space="0" w:color="C9C9C9"/>
                <w:left w:val="none" w:sz="0" w:space="0" w:color="auto"/>
                <w:bottom w:val="none" w:sz="0" w:space="0" w:color="auto"/>
                <w:right w:val="none" w:sz="0" w:space="0" w:color="auto"/>
              </w:divBdr>
              <w:divsChild>
                <w:div w:id="1500460581">
                  <w:marLeft w:val="0"/>
                  <w:marRight w:val="0"/>
                  <w:marTop w:val="0"/>
                  <w:marBottom w:val="0"/>
                  <w:divBdr>
                    <w:top w:val="none" w:sz="0" w:space="0" w:color="auto"/>
                    <w:left w:val="none" w:sz="0" w:space="0" w:color="auto"/>
                    <w:bottom w:val="none" w:sz="0" w:space="0" w:color="auto"/>
                    <w:right w:val="none" w:sz="0" w:space="0" w:color="auto"/>
                  </w:divBdr>
                  <w:divsChild>
                    <w:div w:id="752047619">
                      <w:marLeft w:val="0"/>
                      <w:marRight w:val="0"/>
                      <w:marTop w:val="0"/>
                      <w:marBottom w:val="0"/>
                      <w:divBdr>
                        <w:top w:val="none" w:sz="0" w:space="0" w:color="auto"/>
                        <w:left w:val="none" w:sz="0" w:space="0" w:color="auto"/>
                        <w:bottom w:val="none" w:sz="0" w:space="0" w:color="auto"/>
                        <w:right w:val="none" w:sz="0" w:space="0" w:color="auto"/>
                      </w:divBdr>
                      <w:divsChild>
                        <w:div w:id="262542992">
                          <w:marLeft w:val="0"/>
                          <w:marRight w:val="0"/>
                          <w:marTop w:val="225"/>
                          <w:marBottom w:val="315"/>
                          <w:divBdr>
                            <w:top w:val="single" w:sz="6" w:space="0" w:color="D7D7D7"/>
                            <w:left w:val="single" w:sz="2" w:space="0" w:color="D7D7D7"/>
                            <w:bottom w:val="single" w:sz="6" w:space="0" w:color="D7D7D7"/>
                            <w:right w:val="single" w:sz="2" w:space="0" w:color="D7D7D7"/>
                          </w:divBdr>
                          <w:divsChild>
                            <w:div w:id="169295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3788119">
      <w:bodyDiv w:val="1"/>
      <w:marLeft w:val="0"/>
      <w:marRight w:val="0"/>
      <w:marTop w:val="0"/>
      <w:marBottom w:val="0"/>
      <w:divBdr>
        <w:top w:val="none" w:sz="0" w:space="0" w:color="auto"/>
        <w:left w:val="none" w:sz="0" w:space="0" w:color="auto"/>
        <w:bottom w:val="none" w:sz="0" w:space="0" w:color="auto"/>
        <w:right w:val="none" w:sz="0" w:space="0" w:color="auto"/>
      </w:divBdr>
    </w:div>
    <w:div w:id="1209297610">
      <w:bodyDiv w:val="1"/>
      <w:marLeft w:val="0"/>
      <w:marRight w:val="0"/>
      <w:marTop w:val="0"/>
      <w:marBottom w:val="0"/>
      <w:divBdr>
        <w:top w:val="none" w:sz="0" w:space="0" w:color="auto"/>
        <w:left w:val="none" w:sz="0" w:space="0" w:color="auto"/>
        <w:bottom w:val="none" w:sz="0" w:space="0" w:color="auto"/>
        <w:right w:val="none" w:sz="0" w:space="0" w:color="auto"/>
      </w:divBdr>
    </w:div>
    <w:div w:id="1219628978">
      <w:bodyDiv w:val="1"/>
      <w:marLeft w:val="0"/>
      <w:marRight w:val="0"/>
      <w:marTop w:val="0"/>
      <w:marBottom w:val="0"/>
      <w:divBdr>
        <w:top w:val="none" w:sz="0" w:space="0" w:color="auto"/>
        <w:left w:val="none" w:sz="0" w:space="0" w:color="auto"/>
        <w:bottom w:val="none" w:sz="0" w:space="0" w:color="auto"/>
        <w:right w:val="none" w:sz="0" w:space="0" w:color="auto"/>
      </w:divBdr>
    </w:div>
    <w:div w:id="1358040680">
      <w:bodyDiv w:val="1"/>
      <w:marLeft w:val="0"/>
      <w:marRight w:val="0"/>
      <w:marTop w:val="0"/>
      <w:marBottom w:val="0"/>
      <w:divBdr>
        <w:top w:val="none" w:sz="0" w:space="0" w:color="auto"/>
        <w:left w:val="none" w:sz="0" w:space="0" w:color="auto"/>
        <w:bottom w:val="none" w:sz="0" w:space="0" w:color="auto"/>
        <w:right w:val="none" w:sz="0" w:space="0" w:color="auto"/>
      </w:divBdr>
    </w:div>
    <w:div w:id="1377315200">
      <w:bodyDiv w:val="1"/>
      <w:marLeft w:val="0"/>
      <w:marRight w:val="0"/>
      <w:marTop w:val="0"/>
      <w:marBottom w:val="0"/>
      <w:divBdr>
        <w:top w:val="none" w:sz="0" w:space="0" w:color="auto"/>
        <w:left w:val="none" w:sz="0" w:space="0" w:color="auto"/>
        <w:bottom w:val="none" w:sz="0" w:space="0" w:color="auto"/>
        <w:right w:val="none" w:sz="0" w:space="0" w:color="auto"/>
      </w:divBdr>
    </w:div>
    <w:div w:id="1561282442">
      <w:bodyDiv w:val="1"/>
      <w:marLeft w:val="0"/>
      <w:marRight w:val="0"/>
      <w:marTop w:val="0"/>
      <w:marBottom w:val="0"/>
      <w:divBdr>
        <w:top w:val="none" w:sz="0" w:space="0" w:color="auto"/>
        <w:left w:val="none" w:sz="0" w:space="0" w:color="auto"/>
        <w:bottom w:val="none" w:sz="0" w:space="0" w:color="auto"/>
        <w:right w:val="none" w:sz="0" w:space="0" w:color="auto"/>
      </w:divBdr>
    </w:div>
    <w:div w:id="1566599905">
      <w:bodyDiv w:val="1"/>
      <w:marLeft w:val="0"/>
      <w:marRight w:val="0"/>
      <w:marTop w:val="0"/>
      <w:marBottom w:val="0"/>
      <w:divBdr>
        <w:top w:val="none" w:sz="0" w:space="0" w:color="auto"/>
        <w:left w:val="none" w:sz="0" w:space="0" w:color="auto"/>
        <w:bottom w:val="none" w:sz="0" w:space="0" w:color="auto"/>
        <w:right w:val="none" w:sz="0" w:space="0" w:color="auto"/>
      </w:divBdr>
    </w:div>
    <w:div w:id="1571309325">
      <w:bodyDiv w:val="1"/>
      <w:marLeft w:val="0"/>
      <w:marRight w:val="0"/>
      <w:marTop w:val="0"/>
      <w:marBottom w:val="0"/>
      <w:divBdr>
        <w:top w:val="none" w:sz="0" w:space="0" w:color="auto"/>
        <w:left w:val="none" w:sz="0" w:space="0" w:color="auto"/>
        <w:bottom w:val="none" w:sz="0" w:space="0" w:color="auto"/>
        <w:right w:val="none" w:sz="0" w:space="0" w:color="auto"/>
      </w:divBdr>
      <w:divsChild>
        <w:div w:id="1381127877">
          <w:marLeft w:val="0"/>
          <w:marRight w:val="0"/>
          <w:marTop w:val="0"/>
          <w:marBottom w:val="0"/>
          <w:divBdr>
            <w:top w:val="single" w:sz="2" w:space="0" w:color="2E2E2E"/>
            <w:left w:val="single" w:sz="2" w:space="0" w:color="2E2E2E"/>
            <w:bottom w:val="single" w:sz="2" w:space="0" w:color="2E2E2E"/>
            <w:right w:val="single" w:sz="2" w:space="0" w:color="2E2E2E"/>
          </w:divBdr>
          <w:divsChild>
            <w:div w:id="744179569">
              <w:marLeft w:val="0"/>
              <w:marRight w:val="0"/>
              <w:marTop w:val="0"/>
              <w:marBottom w:val="0"/>
              <w:divBdr>
                <w:top w:val="single" w:sz="6" w:space="0" w:color="C9C9C9"/>
                <w:left w:val="none" w:sz="0" w:space="0" w:color="auto"/>
                <w:bottom w:val="none" w:sz="0" w:space="0" w:color="auto"/>
                <w:right w:val="none" w:sz="0" w:space="0" w:color="auto"/>
              </w:divBdr>
              <w:divsChild>
                <w:div w:id="1837381917">
                  <w:marLeft w:val="0"/>
                  <w:marRight w:val="0"/>
                  <w:marTop w:val="0"/>
                  <w:marBottom w:val="0"/>
                  <w:divBdr>
                    <w:top w:val="none" w:sz="0" w:space="0" w:color="auto"/>
                    <w:left w:val="none" w:sz="0" w:space="0" w:color="auto"/>
                    <w:bottom w:val="none" w:sz="0" w:space="0" w:color="auto"/>
                    <w:right w:val="none" w:sz="0" w:space="0" w:color="auto"/>
                  </w:divBdr>
                  <w:divsChild>
                    <w:div w:id="123934881">
                      <w:marLeft w:val="0"/>
                      <w:marRight w:val="0"/>
                      <w:marTop w:val="0"/>
                      <w:marBottom w:val="0"/>
                      <w:divBdr>
                        <w:top w:val="none" w:sz="0" w:space="0" w:color="auto"/>
                        <w:left w:val="none" w:sz="0" w:space="0" w:color="auto"/>
                        <w:bottom w:val="none" w:sz="0" w:space="0" w:color="auto"/>
                        <w:right w:val="none" w:sz="0" w:space="0" w:color="auto"/>
                      </w:divBdr>
                      <w:divsChild>
                        <w:div w:id="1157768338">
                          <w:marLeft w:val="0"/>
                          <w:marRight w:val="0"/>
                          <w:marTop w:val="225"/>
                          <w:marBottom w:val="315"/>
                          <w:divBdr>
                            <w:top w:val="single" w:sz="6" w:space="0" w:color="D7D7D7"/>
                            <w:left w:val="single" w:sz="2" w:space="0" w:color="D7D7D7"/>
                            <w:bottom w:val="single" w:sz="6" w:space="0" w:color="D7D7D7"/>
                            <w:right w:val="single" w:sz="2" w:space="0" w:color="D7D7D7"/>
                          </w:divBdr>
                          <w:divsChild>
                            <w:div w:id="1016154662">
                              <w:marLeft w:val="0"/>
                              <w:marRight w:val="0"/>
                              <w:marTop w:val="0"/>
                              <w:marBottom w:val="0"/>
                              <w:divBdr>
                                <w:top w:val="none" w:sz="0" w:space="0" w:color="auto"/>
                                <w:left w:val="none" w:sz="0" w:space="0" w:color="auto"/>
                                <w:bottom w:val="none" w:sz="0" w:space="0" w:color="auto"/>
                                <w:right w:val="none" w:sz="0" w:space="0" w:color="auto"/>
                              </w:divBdr>
                              <w:divsChild>
                                <w:div w:id="41945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980193">
      <w:bodyDiv w:val="1"/>
      <w:marLeft w:val="0"/>
      <w:marRight w:val="0"/>
      <w:marTop w:val="0"/>
      <w:marBottom w:val="0"/>
      <w:divBdr>
        <w:top w:val="none" w:sz="0" w:space="0" w:color="auto"/>
        <w:left w:val="none" w:sz="0" w:space="0" w:color="auto"/>
        <w:bottom w:val="none" w:sz="0" w:space="0" w:color="auto"/>
        <w:right w:val="none" w:sz="0" w:space="0" w:color="auto"/>
      </w:divBdr>
      <w:divsChild>
        <w:div w:id="535777395">
          <w:marLeft w:val="0"/>
          <w:marRight w:val="0"/>
          <w:marTop w:val="0"/>
          <w:marBottom w:val="0"/>
          <w:divBdr>
            <w:top w:val="single" w:sz="2" w:space="0" w:color="2E2E2E"/>
            <w:left w:val="single" w:sz="2" w:space="0" w:color="2E2E2E"/>
            <w:bottom w:val="single" w:sz="2" w:space="0" w:color="2E2E2E"/>
            <w:right w:val="single" w:sz="2" w:space="0" w:color="2E2E2E"/>
          </w:divBdr>
          <w:divsChild>
            <w:div w:id="2071994464">
              <w:marLeft w:val="0"/>
              <w:marRight w:val="0"/>
              <w:marTop w:val="0"/>
              <w:marBottom w:val="0"/>
              <w:divBdr>
                <w:top w:val="single" w:sz="6" w:space="0" w:color="C9C9C9"/>
                <w:left w:val="none" w:sz="0" w:space="0" w:color="auto"/>
                <w:bottom w:val="none" w:sz="0" w:space="0" w:color="auto"/>
                <w:right w:val="none" w:sz="0" w:space="0" w:color="auto"/>
              </w:divBdr>
              <w:divsChild>
                <w:div w:id="1352341629">
                  <w:marLeft w:val="0"/>
                  <w:marRight w:val="0"/>
                  <w:marTop w:val="0"/>
                  <w:marBottom w:val="0"/>
                  <w:divBdr>
                    <w:top w:val="none" w:sz="0" w:space="0" w:color="auto"/>
                    <w:left w:val="none" w:sz="0" w:space="0" w:color="auto"/>
                    <w:bottom w:val="none" w:sz="0" w:space="0" w:color="auto"/>
                    <w:right w:val="none" w:sz="0" w:space="0" w:color="auto"/>
                  </w:divBdr>
                  <w:divsChild>
                    <w:div w:id="2030182508">
                      <w:marLeft w:val="0"/>
                      <w:marRight w:val="0"/>
                      <w:marTop w:val="0"/>
                      <w:marBottom w:val="0"/>
                      <w:divBdr>
                        <w:top w:val="none" w:sz="0" w:space="0" w:color="auto"/>
                        <w:left w:val="none" w:sz="0" w:space="0" w:color="auto"/>
                        <w:bottom w:val="none" w:sz="0" w:space="0" w:color="auto"/>
                        <w:right w:val="none" w:sz="0" w:space="0" w:color="auto"/>
                      </w:divBdr>
                      <w:divsChild>
                        <w:div w:id="234705208">
                          <w:marLeft w:val="0"/>
                          <w:marRight w:val="0"/>
                          <w:marTop w:val="225"/>
                          <w:marBottom w:val="315"/>
                          <w:divBdr>
                            <w:top w:val="single" w:sz="6" w:space="0" w:color="D7D7D7"/>
                            <w:left w:val="single" w:sz="2" w:space="0" w:color="D7D7D7"/>
                            <w:bottom w:val="single" w:sz="6" w:space="0" w:color="D7D7D7"/>
                            <w:right w:val="single" w:sz="2" w:space="0" w:color="D7D7D7"/>
                          </w:divBdr>
                          <w:divsChild>
                            <w:div w:id="1755004766">
                              <w:marLeft w:val="0"/>
                              <w:marRight w:val="0"/>
                              <w:marTop w:val="0"/>
                              <w:marBottom w:val="0"/>
                              <w:divBdr>
                                <w:top w:val="none" w:sz="0" w:space="0" w:color="auto"/>
                                <w:left w:val="none" w:sz="0" w:space="0" w:color="auto"/>
                                <w:bottom w:val="none" w:sz="0" w:space="0" w:color="auto"/>
                                <w:right w:val="none" w:sz="0" w:space="0" w:color="auto"/>
                              </w:divBdr>
                              <w:divsChild>
                                <w:div w:id="188116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7163662">
      <w:bodyDiv w:val="1"/>
      <w:marLeft w:val="0"/>
      <w:marRight w:val="0"/>
      <w:marTop w:val="0"/>
      <w:marBottom w:val="0"/>
      <w:divBdr>
        <w:top w:val="none" w:sz="0" w:space="0" w:color="auto"/>
        <w:left w:val="none" w:sz="0" w:space="0" w:color="auto"/>
        <w:bottom w:val="none" w:sz="0" w:space="0" w:color="auto"/>
        <w:right w:val="none" w:sz="0" w:space="0" w:color="auto"/>
      </w:divBdr>
    </w:div>
    <w:div w:id="20915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4.wmf"/><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112" Type="http://schemas.openxmlformats.org/officeDocument/2006/relationships/oleObject" Target="embeddings/oleObject52.bin"/><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6.jpeg"/><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4.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6.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oleObject" Target="embeddings/oleObject56.bin"/><Relationship Id="rId126" Type="http://schemas.openxmlformats.org/officeDocument/2006/relationships/footer" Target="footer1.xml"/><Relationship Id="rId8" Type="http://schemas.openxmlformats.org/officeDocument/2006/relationships/hyperlink" Target="http://ec.europa.eu/energy/renewables/index_en.htm" TargetMode="Externa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5.bin"/><Relationship Id="rId121" Type="http://schemas.openxmlformats.org/officeDocument/2006/relationships/oleObject" Target="embeddings/oleObject59.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50.bin"/><Relationship Id="rId116" Type="http://schemas.openxmlformats.org/officeDocument/2006/relationships/oleObject" Target="embeddings/oleObject55.bin"/><Relationship Id="rId124" Type="http://schemas.openxmlformats.org/officeDocument/2006/relationships/image" Target="media/image57.jpeg"/><Relationship Id="rId129"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0.bin"/><Relationship Id="rId91" Type="http://schemas.openxmlformats.org/officeDocument/2006/relationships/image" Target="media/image42.wmf"/><Relationship Id="rId96" Type="http://schemas.openxmlformats.org/officeDocument/2006/relationships/oleObject" Target="embeddings/oleObject44.bin"/><Relationship Id="rId111"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oleObject" Target="embeddings/oleObject57.bin"/><Relationship Id="rId12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5.jpeg"/><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04" Type="http://schemas.openxmlformats.org/officeDocument/2006/relationships/oleObject" Target="embeddings/oleObject48.bin"/><Relationship Id="rId120" Type="http://schemas.openxmlformats.org/officeDocument/2006/relationships/oleObject" Target="embeddings/oleObject58.bin"/><Relationship Id="rId125" Type="http://schemas.openxmlformats.org/officeDocument/2006/relationships/image" Target="media/image58.jpeg"/><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1.bin"/><Relationship Id="rId115" Type="http://schemas.openxmlformats.org/officeDocument/2006/relationships/oleObject" Target="embeddings/oleObject54.bin"/><Relationship Id="rId61" Type="http://schemas.openxmlformats.org/officeDocument/2006/relationships/image" Target="media/image27.wmf"/><Relationship Id="rId82" Type="http://schemas.openxmlformats.org/officeDocument/2006/relationships/oleObject" Target="embeddings/oleObject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DBBD5-9D47-4917-B434-96D21BD4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20307</Words>
  <Characters>115752</Characters>
  <Application>Microsoft Office Word</Application>
  <DocSecurity>0</DocSecurity>
  <Lines>964</Lines>
  <Paragraphs>271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135788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Iñaki Arto</dc:creator>
  <cp:lastModifiedBy>administrador</cp:lastModifiedBy>
  <cp:revision>7</cp:revision>
  <cp:lastPrinted>2015-07-14T09:26:00Z</cp:lastPrinted>
  <dcterms:created xsi:type="dcterms:W3CDTF">2016-02-18T13:58:00Z</dcterms:created>
  <dcterms:modified xsi:type="dcterms:W3CDTF">2018-04-26T10:42:00Z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zotero-version="4.0.28.7"&gt;&lt;session id="YPsR5iPq"/&gt;&lt;style id="http://www.zotero.org/styles/ieee" locale="en-US" hasBibliography="1" bibliographyStyleHasBeenSet="1"/&gt;&lt;prefs&gt;&lt;pref name="fieldType" value="Field"/&gt;&lt;pref name="storeRefere</vt:lpwstr>
  </property>
  <property fmtid="{D5CDD505-2E9C-101B-9397-08002B2CF9AE}" pid="3" name="ZOTERO_PREF_2">
    <vt:lpwstr>nces" value="true"/&gt;&lt;pref name="automaticJournalAbbreviations" value="true"/&gt;&lt;pref name="noteType" value=""/&gt;&lt;/prefs&gt;&lt;/data&gt;</vt:lpwstr>
  </property>
</Properties>
</file>