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3550C" w14:textId="6C7E527A" w:rsidR="000256C2" w:rsidRPr="00114936" w:rsidRDefault="00A34B4C">
      <w:pPr>
        <w:rPr>
          <w:b/>
          <w:sz w:val="24"/>
          <w:szCs w:val="24"/>
        </w:rPr>
      </w:pPr>
      <w:bookmarkStart w:id="0" w:name="_GoBack"/>
      <w:bookmarkEnd w:id="0"/>
      <w:r>
        <w:rPr>
          <w:b/>
          <w:sz w:val="24"/>
          <w:szCs w:val="24"/>
        </w:rPr>
        <w:t xml:space="preserve">Determining </w:t>
      </w:r>
      <w:r w:rsidR="000707CB">
        <w:rPr>
          <w:b/>
          <w:sz w:val="24"/>
          <w:szCs w:val="24"/>
        </w:rPr>
        <w:t xml:space="preserve">the </w:t>
      </w:r>
      <w:r w:rsidR="00EA730D">
        <w:rPr>
          <w:b/>
          <w:sz w:val="24"/>
          <w:szCs w:val="24"/>
        </w:rPr>
        <w:t>plasticity of CD34 expression</w:t>
      </w:r>
    </w:p>
    <w:p w14:paraId="5B1FCC84" w14:textId="0D69B1F9" w:rsidR="00002E7D" w:rsidRDefault="00240288">
      <w:proofErr w:type="spellStart"/>
      <w:r>
        <w:t>Genna</w:t>
      </w:r>
      <w:proofErr w:type="spellEnd"/>
      <w:r>
        <w:t xml:space="preserve"> M. </w:t>
      </w:r>
      <w:proofErr w:type="spellStart"/>
      <w:r>
        <w:t>Luciani</w:t>
      </w:r>
      <w:proofErr w:type="spellEnd"/>
      <w:r>
        <w:t>,</w:t>
      </w:r>
      <w:r w:rsidR="004C5E0B">
        <w:t xml:space="preserve"> </w:t>
      </w:r>
      <w:r w:rsidR="00002E7D">
        <w:t xml:space="preserve">Dalia </w:t>
      </w:r>
      <w:proofErr w:type="spellStart"/>
      <w:r w:rsidR="00002E7D">
        <w:t>Barsyte</w:t>
      </w:r>
      <w:proofErr w:type="spellEnd"/>
      <w:r w:rsidR="00002E7D">
        <w:t xml:space="preserve">-Lovejoy, Mark Minden, Cheryl </w:t>
      </w:r>
      <w:proofErr w:type="spellStart"/>
      <w:r w:rsidR="00002E7D">
        <w:t>Arrowsmith</w:t>
      </w:r>
      <w:proofErr w:type="spellEnd"/>
    </w:p>
    <w:p w14:paraId="0B3EFB3A" w14:textId="09FE5B8F" w:rsidR="00234FB0" w:rsidRDefault="000256C2">
      <w:r>
        <w:t>Rational</w:t>
      </w:r>
      <w:r w:rsidR="00DC05FC">
        <w:t>e</w:t>
      </w:r>
      <w:r w:rsidR="00234FB0">
        <w:t xml:space="preserve">: </w:t>
      </w:r>
    </w:p>
    <w:p w14:paraId="7537DA66" w14:textId="67B66072" w:rsidR="00A55DE3" w:rsidRDefault="00A34B4C">
      <w:r>
        <w:t xml:space="preserve">Previously, we established that OCI-AML-20 </w:t>
      </w:r>
      <w:r w:rsidR="00666EA0">
        <w:t>requires stroma to maintain CD34 expression. In this experiment, we wanted to see whether those cells grown in suspension are able to regain CD34 express</w:t>
      </w:r>
      <w:r w:rsidR="001F3AA4">
        <w:t>ion when cells are reintroduced to stroma.</w:t>
      </w:r>
    </w:p>
    <w:p w14:paraId="3F84D5AF" w14:textId="4061AC21" w:rsidR="00DC05FC" w:rsidRDefault="00DC05FC">
      <w:r>
        <w:t>Methods</w:t>
      </w:r>
      <w:r w:rsidR="00BC1C41">
        <w:t>:</w:t>
      </w:r>
    </w:p>
    <w:p w14:paraId="10A0B481" w14:textId="76C97039" w:rsidR="00F72201" w:rsidRDefault="008C4FBB">
      <w:r>
        <w:t>OCI-AML-20 cells that w</w:t>
      </w:r>
      <w:r w:rsidR="007C0196">
        <w:t>ere used in previous experiment</w:t>
      </w:r>
      <w:r>
        <w:t xml:space="preserve"> (</w:t>
      </w:r>
      <w:hyperlink r:id="rId5" w:anchor=".Wr5-1C7wbIV" w:history="1">
        <w:r w:rsidRPr="00175E61">
          <w:rPr>
            <w:rStyle w:val="Hyperlink"/>
          </w:rPr>
          <w:t>https://zenodo.org/record/1187083#.Wr5-1C7wbIV</w:t>
        </w:r>
      </w:hyperlink>
      <w:r>
        <w:t xml:space="preserve">) were collected. Cells previously grown in suspension were plated at a density of 125K/well of a 12-well plate with </w:t>
      </w:r>
      <w:proofErr w:type="gramStart"/>
      <w:r w:rsidR="007C0196">
        <w:t>either MS5</w:t>
      </w:r>
      <w:proofErr w:type="gramEnd"/>
      <w:r w:rsidR="007C0196">
        <w:t xml:space="preserve">, OP9 or no </w:t>
      </w:r>
      <w:r>
        <w:t>stroma</w:t>
      </w:r>
      <w:r w:rsidR="00C10F3B">
        <w:t xml:space="preserve"> (suspension)</w:t>
      </w:r>
      <w:r>
        <w:t xml:space="preserve">. </w:t>
      </w:r>
    </w:p>
    <w:p w14:paraId="58789730" w14:textId="34DBDF86" w:rsidR="00BC1C41" w:rsidRDefault="007C0196">
      <w:r>
        <w:t>After 1 week and two weeks, c</w:t>
      </w:r>
      <w:r w:rsidR="008C4FBB">
        <w:t>ells were</w:t>
      </w:r>
      <w:r>
        <w:t xml:space="preserve"> collected, stained and </w:t>
      </w:r>
      <w:proofErr w:type="gramStart"/>
      <w:r>
        <w:t xml:space="preserve">analyzed </w:t>
      </w:r>
      <w:r w:rsidR="00D00A8B">
        <w:t xml:space="preserve"> by</w:t>
      </w:r>
      <w:proofErr w:type="gramEnd"/>
      <w:r w:rsidR="00D00A8B">
        <w:t xml:space="preserve"> flow cytometry </w:t>
      </w:r>
      <w:r>
        <w:t>as</w:t>
      </w:r>
      <w:r w:rsidR="008C4FBB">
        <w:t xml:space="preserve"> </w:t>
      </w:r>
      <w:r>
        <w:t>previously indicated (link above).</w:t>
      </w:r>
      <w:r w:rsidR="00FF2C07">
        <w:t xml:space="preserve"> </w:t>
      </w:r>
    </w:p>
    <w:p w14:paraId="7F776622" w14:textId="6C2AC8AE" w:rsidR="00973E39" w:rsidRDefault="00BC1C41">
      <w:r>
        <w:t>Results and conclusions:</w:t>
      </w:r>
    </w:p>
    <w:p w14:paraId="322766AE" w14:textId="66236FA4" w:rsidR="007C0196" w:rsidRDefault="000707CB">
      <w:r>
        <w:t>Cells that were grown in suspension for 3 weeks continue to show very low number of CD34 positive cells (Figure 1). OCI-AML-20 cells that had previously grown in suspension were able to regain some CD34 expression in the presence of stroma but not to the levels seen for cells grown continuously on stroma (Figure 1).</w:t>
      </w:r>
    </w:p>
    <w:p w14:paraId="51F70DE8" w14:textId="6FE5D951" w:rsidR="0057222A" w:rsidRDefault="00A34B4C" w:rsidP="00BC1C41">
      <w:pPr>
        <w:ind w:left="737"/>
        <w:rPr>
          <w:rFonts w:eastAsia="Times New Roman" w:cs="Arial"/>
          <w:color w:val="222222"/>
          <w:sz w:val="18"/>
          <w:szCs w:val="18"/>
          <w:lang w:eastAsia="en-CA"/>
        </w:rPr>
      </w:pPr>
      <w:r w:rsidRPr="00A34B4C">
        <w:rPr>
          <w:rFonts w:eastAsia="Times New Roman" w:cs="Arial"/>
          <w:noProof/>
          <w:color w:val="222222"/>
          <w:sz w:val="18"/>
          <w:szCs w:val="18"/>
          <w:lang w:eastAsia="en-CA"/>
        </w:rPr>
        <w:drawing>
          <wp:inline distT="0" distB="0" distL="0" distR="0" wp14:anchorId="5FCEFD59" wp14:editId="3737ECF4">
            <wp:extent cx="4493917" cy="2895600"/>
            <wp:effectExtent l="0" t="0" r="1905" b="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4662" cy="2896080"/>
                    </a:xfrm>
                    <a:prstGeom prst="rect">
                      <a:avLst/>
                    </a:prstGeom>
                    <a:noFill/>
                    <a:ln>
                      <a:noFill/>
                    </a:ln>
                    <a:extLst/>
                  </pic:spPr>
                </pic:pic>
              </a:graphicData>
            </a:graphic>
          </wp:inline>
        </w:drawing>
      </w:r>
    </w:p>
    <w:p w14:paraId="3C0E094B" w14:textId="6E990F4B" w:rsidR="00BC1C41" w:rsidRDefault="00C57DDC">
      <w:pPr>
        <w:rPr>
          <w:rFonts w:eastAsia="Times New Roman" w:cs="Arial"/>
          <w:color w:val="222222"/>
          <w:sz w:val="18"/>
          <w:szCs w:val="18"/>
          <w:lang w:eastAsia="en-CA"/>
        </w:rPr>
      </w:pPr>
      <w:r w:rsidRPr="007F2C46">
        <w:rPr>
          <w:rFonts w:eastAsia="Times New Roman" w:cs="Arial"/>
          <w:color w:val="222222"/>
          <w:sz w:val="18"/>
          <w:szCs w:val="18"/>
          <w:lang w:eastAsia="en-CA"/>
        </w:rPr>
        <w:t>Figure</w:t>
      </w:r>
      <w:r w:rsidR="00A55DE3">
        <w:rPr>
          <w:rFonts w:eastAsia="Times New Roman" w:cs="Arial"/>
          <w:color w:val="222222"/>
          <w:sz w:val="18"/>
          <w:szCs w:val="18"/>
          <w:lang w:eastAsia="en-CA"/>
        </w:rPr>
        <w:t xml:space="preserve"> 1: </w:t>
      </w:r>
      <w:r w:rsidR="00EA730D">
        <w:rPr>
          <w:rFonts w:eastAsia="Times New Roman" w:cs="Arial"/>
          <w:color w:val="222222"/>
          <w:sz w:val="18"/>
          <w:szCs w:val="18"/>
          <w:lang w:eastAsia="en-CA"/>
        </w:rPr>
        <w:t xml:space="preserve">Summary of flow cytometry analysis of cells at 3 weeks. </w:t>
      </w:r>
      <w:r w:rsidR="007C0196">
        <w:rPr>
          <w:rFonts w:eastAsia="Times New Roman" w:cs="Arial"/>
          <w:color w:val="222222"/>
          <w:sz w:val="18"/>
          <w:szCs w:val="18"/>
          <w:lang w:eastAsia="en-CA"/>
        </w:rPr>
        <w:t>Cells that were transferred from suspension to stroma regain CD34 expression after 1 week</w:t>
      </w:r>
      <w:r w:rsidR="00C10F3B">
        <w:rPr>
          <w:rFonts w:eastAsia="Times New Roman" w:cs="Arial"/>
          <w:color w:val="222222"/>
          <w:sz w:val="18"/>
          <w:szCs w:val="18"/>
          <w:lang w:eastAsia="en-CA"/>
        </w:rPr>
        <w:t>, but not to the level seen with cells continuously grown on stroma</w:t>
      </w:r>
      <w:r w:rsidR="007C0196">
        <w:rPr>
          <w:rFonts w:eastAsia="Times New Roman" w:cs="Arial"/>
          <w:color w:val="222222"/>
          <w:sz w:val="18"/>
          <w:szCs w:val="18"/>
          <w:lang w:eastAsia="en-CA"/>
        </w:rPr>
        <w:t>.</w:t>
      </w:r>
    </w:p>
    <w:p w14:paraId="485EB170" w14:textId="5AE24FFE" w:rsidR="000707CB" w:rsidRPr="000707CB" w:rsidRDefault="000707CB">
      <w:pPr>
        <w:rPr>
          <w:rFonts w:eastAsia="Times New Roman" w:cs="Arial"/>
          <w:color w:val="222222"/>
          <w:lang w:eastAsia="en-CA"/>
        </w:rPr>
      </w:pPr>
      <w:r>
        <w:rPr>
          <w:rFonts w:eastAsia="Times New Roman" w:cs="Arial"/>
          <w:color w:val="222222"/>
          <w:lang w:eastAsia="en-CA"/>
        </w:rPr>
        <w:lastRenderedPageBreak/>
        <w:t>Cells were followed for an additional week. At 4 weeks, there were very low numbers of viable suspension cells to perform flow cytometry and therefore, they were not included</w:t>
      </w:r>
      <w:r w:rsidR="009F06F4">
        <w:rPr>
          <w:rFonts w:eastAsia="Times New Roman" w:cs="Arial"/>
          <w:color w:val="222222"/>
          <w:lang w:eastAsia="en-CA"/>
        </w:rPr>
        <w:t xml:space="preserve"> in the analysis. OCI-AML-20</w:t>
      </w:r>
      <w:r>
        <w:rPr>
          <w:rFonts w:eastAsia="Times New Roman" w:cs="Arial"/>
          <w:color w:val="222222"/>
          <w:lang w:eastAsia="en-CA"/>
        </w:rPr>
        <w:t xml:space="preserve"> cells that were previously grown in suspension and transferred </w:t>
      </w:r>
      <w:r w:rsidR="00D00A8B">
        <w:rPr>
          <w:rFonts w:eastAsia="Times New Roman" w:cs="Arial"/>
          <w:color w:val="222222"/>
          <w:lang w:eastAsia="en-CA"/>
        </w:rPr>
        <w:t>to stroma</w:t>
      </w:r>
      <w:r w:rsidR="009F06F4">
        <w:rPr>
          <w:rFonts w:eastAsia="Times New Roman" w:cs="Arial"/>
          <w:color w:val="222222"/>
          <w:lang w:eastAsia="en-CA"/>
        </w:rPr>
        <w:t>,</w:t>
      </w:r>
      <w:r w:rsidR="00D00A8B">
        <w:rPr>
          <w:rFonts w:eastAsia="Times New Roman" w:cs="Arial"/>
          <w:color w:val="222222"/>
          <w:lang w:eastAsia="en-CA"/>
        </w:rPr>
        <w:t xml:space="preserve"> had regained even more CD34 expression after 2 weeks on stroma (Figure 2). The levels of CD34+CD38- were very similar to cells grown on stroma for the whole 4 weeks at this point (Figure 2).</w:t>
      </w:r>
    </w:p>
    <w:p w14:paraId="379644EA" w14:textId="03E1FF52" w:rsidR="009F6C5C" w:rsidRPr="00BC1C41" w:rsidRDefault="00A34B4C" w:rsidP="00BC1C41">
      <w:pPr>
        <w:ind w:left="567"/>
        <w:rPr>
          <w:rFonts w:eastAsia="Times New Roman" w:cs="Arial"/>
          <w:color w:val="222222"/>
          <w:sz w:val="18"/>
          <w:szCs w:val="18"/>
          <w:lang w:eastAsia="en-CA"/>
        </w:rPr>
      </w:pPr>
      <w:r w:rsidRPr="00A34B4C">
        <w:rPr>
          <w:rFonts w:eastAsia="Times New Roman" w:cs="Arial"/>
          <w:noProof/>
          <w:color w:val="222222"/>
          <w:sz w:val="18"/>
          <w:szCs w:val="18"/>
          <w:lang w:eastAsia="en-CA"/>
        </w:rPr>
        <w:drawing>
          <wp:inline distT="0" distB="0" distL="0" distR="0" wp14:anchorId="100C9135" wp14:editId="213F782A">
            <wp:extent cx="4333875" cy="3463966"/>
            <wp:effectExtent l="0" t="0" r="0" b="3175"/>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38885" cy="3467970"/>
                    </a:xfrm>
                    <a:prstGeom prst="rect">
                      <a:avLst/>
                    </a:prstGeom>
                    <a:noFill/>
                    <a:ln>
                      <a:noFill/>
                    </a:ln>
                    <a:extLst/>
                  </pic:spPr>
                </pic:pic>
              </a:graphicData>
            </a:graphic>
          </wp:inline>
        </w:drawing>
      </w:r>
    </w:p>
    <w:p w14:paraId="4CE85B78" w14:textId="7DDEFCE6" w:rsidR="007F2C46" w:rsidRPr="00E56F51" w:rsidRDefault="00E56F51" w:rsidP="007F2C46">
      <w:pPr>
        <w:rPr>
          <w:rFonts w:eastAsia="Times New Roman" w:cs="Arial"/>
          <w:color w:val="222222"/>
          <w:sz w:val="18"/>
          <w:szCs w:val="18"/>
          <w:lang w:eastAsia="en-CA"/>
        </w:rPr>
      </w:pPr>
      <w:r w:rsidRPr="007F2C46">
        <w:rPr>
          <w:rFonts w:eastAsia="Times New Roman" w:cs="Arial"/>
          <w:color w:val="222222"/>
          <w:sz w:val="18"/>
          <w:szCs w:val="18"/>
          <w:lang w:eastAsia="en-CA"/>
        </w:rPr>
        <w:t>Figure</w:t>
      </w:r>
      <w:r>
        <w:rPr>
          <w:rFonts w:eastAsia="Times New Roman" w:cs="Arial"/>
          <w:color w:val="222222"/>
          <w:sz w:val="18"/>
          <w:szCs w:val="18"/>
          <w:lang w:eastAsia="en-CA"/>
        </w:rPr>
        <w:t xml:space="preserve"> 2: </w:t>
      </w:r>
      <w:r w:rsidR="00EA730D">
        <w:rPr>
          <w:rFonts w:eastAsia="Times New Roman" w:cs="Arial"/>
          <w:color w:val="222222"/>
          <w:sz w:val="18"/>
          <w:szCs w:val="18"/>
          <w:lang w:eastAsia="en-CA"/>
        </w:rPr>
        <w:t xml:space="preserve">Cells were followed for an additional week (there were too few viable suspension cells at 4 weeks to do flow cytometry analysis) </w:t>
      </w:r>
    </w:p>
    <w:p w14:paraId="640FF236" w14:textId="7D1CC155" w:rsidR="00F41727" w:rsidRPr="00E56F51" w:rsidRDefault="00D5466A" w:rsidP="00DC05FC">
      <w:pPr>
        <w:rPr>
          <w:rFonts w:eastAsia="Times New Roman" w:cs="Arial"/>
          <w:color w:val="222222"/>
          <w:sz w:val="18"/>
          <w:szCs w:val="18"/>
          <w:lang w:eastAsia="en-CA"/>
        </w:rPr>
      </w:pPr>
      <w:r>
        <w:rPr>
          <w:rFonts w:eastAsia="Times New Roman" w:cs="Arial"/>
          <w:color w:val="222222"/>
          <w:lang w:eastAsia="en-CA"/>
        </w:rPr>
        <w:t xml:space="preserve">In conclusion, </w:t>
      </w:r>
      <w:r w:rsidR="00EE7722">
        <w:rPr>
          <w:rFonts w:eastAsia="Times New Roman" w:cs="Arial"/>
          <w:color w:val="222222"/>
          <w:lang w:eastAsia="en-CA"/>
        </w:rPr>
        <w:t xml:space="preserve">OCI-AML-20 cells </w:t>
      </w:r>
      <w:r w:rsidR="00C10F3B">
        <w:rPr>
          <w:rFonts w:eastAsia="Times New Roman" w:cs="Arial"/>
          <w:color w:val="222222"/>
          <w:lang w:eastAsia="en-CA"/>
        </w:rPr>
        <w:t>display plasticity in CD34 expression</w:t>
      </w:r>
      <w:r w:rsidR="00EE7722">
        <w:rPr>
          <w:rFonts w:eastAsia="Times New Roman" w:cs="Arial"/>
          <w:color w:val="222222"/>
          <w:lang w:eastAsia="en-CA"/>
        </w:rPr>
        <w:t>.</w:t>
      </w:r>
      <w:r>
        <w:rPr>
          <w:rFonts w:eastAsia="Times New Roman" w:cs="Arial"/>
          <w:color w:val="222222"/>
          <w:lang w:eastAsia="en-CA"/>
        </w:rPr>
        <w:t xml:space="preserve"> </w:t>
      </w:r>
      <w:r w:rsidR="00EE7722">
        <w:rPr>
          <w:rFonts w:eastAsia="Times New Roman" w:cs="Arial"/>
          <w:color w:val="222222"/>
          <w:lang w:eastAsia="en-CA"/>
        </w:rPr>
        <w:t xml:space="preserve"> </w:t>
      </w:r>
      <w:r w:rsidR="000C6CD0">
        <w:rPr>
          <w:rFonts w:eastAsia="Times New Roman" w:cs="Arial"/>
          <w:lang w:eastAsia="en-CA"/>
        </w:rPr>
        <w:fldChar w:fldCharType="begin"/>
      </w:r>
      <w:r w:rsidR="000C6CD0">
        <w:rPr>
          <w:rFonts w:eastAsia="Times New Roman" w:cs="Arial"/>
          <w:lang w:eastAsia="en-CA"/>
        </w:rPr>
        <w:instrText xml:space="preserve"> ADDIN EN.REFLIST </w:instrText>
      </w:r>
      <w:r w:rsidR="000C6CD0">
        <w:rPr>
          <w:rFonts w:eastAsia="Times New Roman" w:cs="Arial"/>
          <w:lang w:eastAsia="en-CA"/>
        </w:rPr>
        <w:fldChar w:fldCharType="end"/>
      </w:r>
    </w:p>
    <w:sectPr w:rsidR="00F41727" w:rsidRPr="00E56F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pww990fspfdf21epzxp5retrdfr9std20zpw&quot;&gt;My EndNote Library&lt;record-ids&gt;&lt;item&gt;6&lt;/item&gt;&lt;/record-ids&gt;&lt;/item&gt;&lt;/Libraries&gt;"/>
  </w:docVars>
  <w:rsids>
    <w:rsidRoot w:val="000256C2"/>
    <w:rsid w:val="00002E7D"/>
    <w:rsid w:val="00010FD0"/>
    <w:rsid w:val="000256C2"/>
    <w:rsid w:val="000459B9"/>
    <w:rsid w:val="000707CB"/>
    <w:rsid w:val="000C6CD0"/>
    <w:rsid w:val="000C7772"/>
    <w:rsid w:val="00101EC0"/>
    <w:rsid w:val="00113CAB"/>
    <w:rsid w:val="00114936"/>
    <w:rsid w:val="001C3F8F"/>
    <w:rsid w:val="001F0D0E"/>
    <w:rsid w:val="001F3AA4"/>
    <w:rsid w:val="00226055"/>
    <w:rsid w:val="00234FB0"/>
    <w:rsid w:val="00240288"/>
    <w:rsid w:val="00244CE6"/>
    <w:rsid w:val="00247732"/>
    <w:rsid w:val="002F1040"/>
    <w:rsid w:val="003666BB"/>
    <w:rsid w:val="003E623F"/>
    <w:rsid w:val="004041E4"/>
    <w:rsid w:val="00447F5A"/>
    <w:rsid w:val="004B5EF7"/>
    <w:rsid w:val="004C5E0B"/>
    <w:rsid w:val="0057222A"/>
    <w:rsid w:val="005D1F52"/>
    <w:rsid w:val="005E77DA"/>
    <w:rsid w:val="005F1C7D"/>
    <w:rsid w:val="00647050"/>
    <w:rsid w:val="0066308E"/>
    <w:rsid w:val="00666EA0"/>
    <w:rsid w:val="00730B2C"/>
    <w:rsid w:val="00755333"/>
    <w:rsid w:val="007951AF"/>
    <w:rsid w:val="007C0196"/>
    <w:rsid w:val="007F2C46"/>
    <w:rsid w:val="008115D8"/>
    <w:rsid w:val="0083553A"/>
    <w:rsid w:val="008C4FBB"/>
    <w:rsid w:val="00933729"/>
    <w:rsid w:val="00971464"/>
    <w:rsid w:val="00973E39"/>
    <w:rsid w:val="009834C9"/>
    <w:rsid w:val="009F06F4"/>
    <w:rsid w:val="009F6C5C"/>
    <w:rsid w:val="00A02B3C"/>
    <w:rsid w:val="00A34B4C"/>
    <w:rsid w:val="00A55DE3"/>
    <w:rsid w:val="00A62603"/>
    <w:rsid w:val="00B567CF"/>
    <w:rsid w:val="00B66883"/>
    <w:rsid w:val="00BA3009"/>
    <w:rsid w:val="00BB7112"/>
    <w:rsid w:val="00BC10D5"/>
    <w:rsid w:val="00BC1C41"/>
    <w:rsid w:val="00BC715D"/>
    <w:rsid w:val="00C10F3B"/>
    <w:rsid w:val="00C578EB"/>
    <w:rsid w:val="00C57DDC"/>
    <w:rsid w:val="00D00A8B"/>
    <w:rsid w:val="00D34A6C"/>
    <w:rsid w:val="00D5466A"/>
    <w:rsid w:val="00DC05FC"/>
    <w:rsid w:val="00DD35A8"/>
    <w:rsid w:val="00E56F51"/>
    <w:rsid w:val="00E74563"/>
    <w:rsid w:val="00EA730D"/>
    <w:rsid w:val="00EC29B2"/>
    <w:rsid w:val="00EE7722"/>
    <w:rsid w:val="00EE794D"/>
    <w:rsid w:val="00F01555"/>
    <w:rsid w:val="00F41727"/>
    <w:rsid w:val="00F72201"/>
    <w:rsid w:val="00FF2C0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1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727"/>
    <w:rPr>
      <w:rFonts w:ascii="Tahoma" w:hAnsi="Tahoma" w:cs="Tahoma"/>
      <w:sz w:val="16"/>
      <w:szCs w:val="16"/>
    </w:rPr>
  </w:style>
  <w:style w:type="character" w:styleId="Hyperlink">
    <w:name w:val="Hyperlink"/>
    <w:basedOn w:val="DefaultParagraphFont"/>
    <w:uiPriority w:val="99"/>
    <w:unhideWhenUsed/>
    <w:rsid w:val="000C6CD0"/>
    <w:rPr>
      <w:color w:val="0000FF" w:themeColor="hyperlink"/>
      <w:u w:val="single"/>
    </w:rPr>
  </w:style>
  <w:style w:type="paragraph" w:styleId="Revision">
    <w:name w:val="Revision"/>
    <w:hidden/>
    <w:uiPriority w:val="99"/>
    <w:semiHidden/>
    <w:rsid w:val="0024773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1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727"/>
    <w:rPr>
      <w:rFonts w:ascii="Tahoma" w:hAnsi="Tahoma" w:cs="Tahoma"/>
      <w:sz w:val="16"/>
      <w:szCs w:val="16"/>
    </w:rPr>
  </w:style>
  <w:style w:type="character" w:styleId="Hyperlink">
    <w:name w:val="Hyperlink"/>
    <w:basedOn w:val="DefaultParagraphFont"/>
    <w:uiPriority w:val="99"/>
    <w:unhideWhenUsed/>
    <w:rsid w:val="000C6CD0"/>
    <w:rPr>
      <w:color w:val="0000FF" w:themeColor="hyperlink"/>
      <w:u w:val="single"/>
    </w:rPr>
  </w:style>
  <w:style w:type="paragraph" w:styleId="Revision">
    <w:name w:val="Revision"/>
    <w:hidden/>
    <w:uiPriority w:val="99"/>
    <w:semiHidden/>
    <w:rsid w:val="002477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zenodo.org/record/118708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Genna Luciani</dc:creator>
  <cp:lastModifiedBy>Genna Luciani</cp:lastModifiedBy>
  <cp:revision>2</cp:revision>
  <cp:lastPrinted>2018-01-17T22:14:00Z</cp:lastPrinted>
  <dcterms:created xsi:type="dcterms:W3CDTF">2018-04-04T18:12:00Z</dcterms:created>
  <dcterms:modified xsi:type="dcterms:W3CDTF">2018-04-04T18:12:00Z</dcterms:modified>
</cp:coreProperties>
</file>