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F4E" w:rsidRDefault="00571D49" w:rsidP="0037031C">
      <w:r>
        <w:t>19</w:t>
      </w:r>
      <w:r w:rsidR="00014201">
        <w:t>.</w:t>
      </w:r>
      <w:r w:rsidR="00827E81">
        <w:t>0</w:t>
      </w:r>
      <w:r>
        <w:t>8</w:t>
      </w:r>
      <w:r w:rsidR="00014201">
        <w:t>.202</w:t>
      </w:r>
      <w:r w:rsidR="00EF20A3">
        <w:t>4</w:t>
      </w:r>
      <w:r w:rsidR="00014201">
        <w:t xml:space="preserve">: </w:t>
      </w:r>
      <w:r>
        <w:t xml:space="preserve">ohne </w:t>
      </w:r>
      <w:r w:rsidR="00014201">
        <w:t>Auftrag</w:t>
      </w:r>
    </w:p>
    <w:p w:rsidR="0037031C" w:rsidRPr="007D59A3" w:rsidRDefault="0037031C" w:rsidP="0037031C">
      <w:pPr>
        <w:rPr>
          <w:b/>
        </w:rPr>
      </w:pPr>
      <w:r w:rsidRPr="007D59A3">
        <w:rPr>
          <w:b/>
        </w:rPr>
        <w:t>Messparameter:</w:t>
      </w:r>
    </w:p>
    <w:p w:rsidR="0037031C" w:rsidRDefault="0037031C" w:rsidP="0037031C">
      <w:r w:rsidRPr="00887424">
        <w:rPr>
          <w:b/>
        </w:rPr>
        <w:t>S</w:t>
      </w:r>
      <w:r>
        <w:rPr>
          <w:b/>
        </w:rPr>
        <w:t>pektrometer:</w:t>
      </w:r>
      <w:r w:rsidR="00E2708A">
        <w:rPr>
          <w:b/>
        </w:rPr>
        <w:t xml:space="preserve"> </w:t>
      </w:r>
      <w:r>
        <w:rPr>
          <w:b/>
        </w:rPr>
        <w:t>FT-IR Mikroskop Hyperion 2000, gekoppelt mit Vertex 70</w:t>
      </w:r>
      <w:r>
        <w:rPr>
          <w:b/>
        </w:rPr>
        <w:br/>
      </w:r>
    </w:p>
    <w:p w:rsidR="0037031C" w:rsidRDefault="0037031C" w:rsidP="0037031C">
      <w:pPr>
        <w:numPr>
          <w:ilvl w:val="0"/>
          <w:numId w:val="1"/>
        </w:numPr>
        <w:spacing w:after="0" w:line="240" w:lineRule="auto"/>
      </w:pPr>
      <w:r>
        <w:t xml:space="preserve">Aufnahme von </w:t>
      </w:r>
      <w:r w:rsidR="00571D49">
        <w:t>Transmission</w:t>
      </w:r>
      <w:r>
        <w:t xml:space="preserve">-Spektren mit einem </w:t>
      </w:r>
      <w:r w:rsidR="00571D49">
        <w:t>Transmission</w:t>
      </w:r>
      <w:r>
        <w:t>-Objektiv</w:t>
      </w:r>
    </w:p>
    <w:p w:rsidR="0037031C" w:rsidRDefault="0037031C" w:rsidP="0037031C">
      <w:pPr>
        <w:numPr>
          <w:ilvl w:val="0"/>
          <w:numId w:val="1"/>
        </w:numPr>
        <w:spacing w:after="0" w:line="240" w:lineRule="auto"/>
      </w:pPr>
      <w:r>
        <w:t>4000 – 600 cm</w:t>
      </w:r>
      <w:r w:rsidRPr="00887424">
        <w:rPr>
          <w:vertAlign w:val="superscript"/>
        </w:rPr>
        <w:t>-1</w:t>
      </w:r>
    </w:p>
    <w:p w:rsidR="0037031C" w:rsidRDefault="0037031C" w:rsidP="0037031C">
      <w:pPr>
        <w:numPr>
          <w:ilvl w:val="0"/>
          <w:numId w:val="1"/>
        </w:numPr>
        <w:spacing w:after="0" w:line="240" w:lineRule="auto"/>
      </w:pPr>
      <w:r>
        <w:t>MCT-Detektor</w:t>
      </w:r>
    </w:p>
    <w:p w:rsidR="0037031C" w:rsidRDefault="0037031C" w:rsidP="0037031C">
      <w:pPr>
        <w:numPr>
          <w:ilvl w:val="0"/>
          <w:numId w:val="1"/>
        </w:numPr>
        <w:spacing w:after="0" w:line="240" w:lineRule="auto"/>
      </w:pPr>
      <w:r>
        <w:t>Auflösung = 4 cm</w:t>
      </w:r>
      <w:r w:rsidRPr="00887424">
        <w:rPr>
          <w:vertAlign w:val="superscript"/>
        </w:rPr>
        <w:t>-1</w:t>
      </w:r>
      <w:r>
        <w:t xml:space="preserve">, 100 </w:t>
      </w:r>
      <w:proofErr w:type="spellStart"/>
      <w:r>
        <w:t>scans</w:t>
      </w:r>
      <w:proofErr w:type="spellEnd"/>
      <w:r>
        <w:t xml:space="preserve"> je Messung</w:t>
      </w:r>
    </w:p>
    <w:p w:rsidR="0037031C" w:rsidRDefault="0037031C" w:rsidP="0037031C"/>
    <w:p w:rsidR="00C141F8" w:rsidRDefault="00C141F8" w:rsidP="00E01698">
      <w:pPr>
        <w:jc w:val="both"/>
      </w:pPr>
      <w:r>
        <w:t>Die Si-Wafers/Filters streuen das IR-Strahlung sehr stark</w:t>
      </w:r>
      <w:r w:rsidR="00EB659B">
        <w:t xml:space="preserve">, deshalb war es unmöglich ein optisches Bild der Oberfläche aufzunehmen. Die Probe Wasserglas war </w:t>
      </w:r>
      <w:r w:rsidR="005950B7">
        <w:t>zweimal</w:t>
      </w:r>
      <w:r w:rsidR="00EB659B">
        <w:t xml:space="preserve"> gemessen –</w:t>
      </w:r>
      <w:r w:rsidR="00D17A45">
        <w:t xml:space="preserve"> in </w:t>
      </w:r>
      <w:r w:rsidR="00EB659B">
        <w:t xml:space="preserve">der Mitte, wo die Oberfläche mit dem „Sand“ bedeckt ist </w:t>
      </w:r>
      <w:r w:rsidR="00D17A45">
        <w:t xml:space="preserve">(rotes Spektrum) </w:t>
      </w:r>
      <w:r w:rsidR="00EB659B">
        <w:t>und die zweite Messtel</w:t>
      </w:r>
      <w:bookmarkStart w:id="0" w:name="_GoBack"/>
      <w:bookmarkEnd w:id="0"/>
      <w:r w:rsidR="00EB659B">
        <w:t>le</w:t>
      </w:r>
      <w:r w:rsidR="00D17A45">
        <w:t xml:space="preserve"> ist</w:t>
      </w:r>
      <w:r w:rsidR="00EB659B">
        <w:t>, wo die Oberfläche frei vom „Sand war und glatt aussah</w:t>
      </w:r>
      <w:r w:rsidR="00D17A45">
        <w:t>, am Rand des Filters (das blaue Spektrum)</w:t>
      </w:r>
      <w:r w:rsidR="00EB659B">
        <w:t>.</w:t>
      </w:r>
    </w:p>
    <w:p w:rsidR="00571D49" w:rsidRDefault="00571D49" w:rsidP="0037031C">
      <w:r>
        <w:rPr>
          <w:b/>
        </w:rPr>
        <w:t>Original-files:</w:t>
      </w:r>
      <w:r>
        <w:t xml:space="preserve"> Laufwerk S:\FTIR-Labor\Vertex70...\IR1_2024\</w:t>
      </w:r>
      <w:r>
        <w:t>Lenz</w:t>
      </w:r>
      <w:r>
        <w:t>\2024-08-1</w:t>
      </w:r>
      <w:r>
        <w:t>9</w:t>
      </w:r>
      <w:r>
        <w:t xml:space="preserve"> ... und auf dem entsprechenden Mess-PC.</w:t>
      </w:r>
    </w:p>
    <w:p w:rsidR="00571D49" w:rsidRDefault="00571D49" w:rsidP="0037031C">
      <w:r w:rsidRPr="00571D49">
        <w:rPr>
          <w:noProof/>
        </w:rPr>
        <w:drawing>
          <wp:inline distT="0" distB="0" distL="0" distR="0">
            <wp:extent cx="5760720" cy="3996146"/>
            <wp:effectExtent l="0" t="0" r="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96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31C" w:rsidRDefault="0037031C" w:rsidP="0037031C">
      <w:proofErr w:type="spellStart"/>
      <w:r>
        <w:t>Spektrenbearbeitung</w:t>
      </w:r>
      <w:proofErr w:type="spellEnd"/>
      <w:r w:rsidR="00036F35">
        <w:t xml:space="preserve"> (keine für das Hintergrundspektrum (schwarz))</w:t>
      </w:r>
      <w:r>
        <w:t>:</w:t>
      </w:r>
    </w:p>
    <w:p w:rsidR="0037031C" w:rsidRDefault="0037031C" w:rsidP="0037031C">
      <w:pPr>
        <w:numPr>
          <w:ilvl w:val="0"/>
          <w:numId w:val="2"/>
        </w:numPr>
        <w:spacing w:after="0" w:line="240" w:lineRule="auto"/>
      </w:pPr>
      <w:r>
        <w:t>Basislinienkorrektur</w:t>
      </w:r>
      <w:r w:rsidR="00036F35">
        <w:t xml:space="preserve"> </w:t>
      </w:r>
    </w:p>
    <w:p w:rsidR="0037031C" w:rsidRDefault="0037031C" w:rsidP="0037031C">
      <w:pPr>
        <w:numPr>
          <w:ilvl w:val="0"/>
          <w:numId w:val="2"/>
        </w:numPr>
        <w:spacing w:after="0" w:line="240" w:lineRule="auto"/>
      </w:pPr>
      <w:r>
        <w:t>Atmosphärische Kompensation</w:t>
      </w:r>
    </w:p>
    <w:p w:rsidR="00EC00D7" w:rsidRDefault="00FA39F7" w:rsidP="0037031C">
      <w:pPr>
        <w:numPr>
          <w:ilvl w:val="0"/>
          <w:numId w:val="2"/>
        </w:numPr>
        <w:spacing w:after="0" w:line="240" w:lineRule="auto"/>
      </w:pPr>
      <w:proofErr w:type="spellStart"/>
      <w:r>
        <w:t>Spektren</w:t>
      </w:r>
      <w:r w:rsidR="00EC00D7">
        <w:t>vergleich</w:t>
      </w:r>
      <w:proofErr w:type="spellEnd"/>
    </w:p>
    <w:p w:rsidR="00523DCB" w:rsidRDefault="00571D49" w:rsidP="00EB659B">
      <w:pPr>
        <w:numPr>
          <w:ilvl w:val="0"/>
          <w:numId w:val="2"/>
        </w:numPr>
        <w:spacing w:after="0" w:line="240" w:lineRule="auto"/>
        <w:rPr>
          <w:noProof/>
          <w:lang w:eastAsia="de-DE"/>
        </w:rPr>
      </w:pPr>
      <w:r>
        <w:t>Bibliothekvergleich</w:t>
      </w:r>
    </w:p>
    <w:p w:rsidR="00EC00D7" w:rsidRDefault="00EC00D7"/>
    <w:p w:rsidR="005153E9" w:rsidRDefault="005153E9">
      <w:r w:rsidRPr="00571D49">
        <w:br w:type="page"/>
      </w:r>
      <w:r w:rsidR="00571D49" w:rsidRPr="00571D49">
        <w:lastRenderedPageBreak/>
        <w:t>Das Hintergrundspektrum (Einkanal</w:t>
      </w:r>
      <w:r w:rsidR="00571D49">
        <w:t>-) d</w:t>
      </w:r>
      <w:r w:rsidR="00571D49" w:rsidRPr="00571D49">
        <w:t>e</w:t>
      </w:r>
      <w:r w:rsidR="00571D49">
        <w:t>r</w:t>
      </w:r>
      <w:r w:rsidR="00571D49" w:rsidRPr="00571D49">
        <w:t xml:space="preserve"> Probe </w:t>
      </w:r>
      <w:r w:rsidR="00571D49" w:rsidRPr="00571D49">
        <w:t>“</w:t>
      </w:r>
      <w:r w:rsidR="00571D49" w:rsidRPr="00571D49">
        <w:t>Si-</w:t>
      </w:r>
      <w:proofErr w:type="spellStart"/>
      <w:r w:rsidR="00571D49" w:rsidRPr="00571D49">
        <w:t>Fil</w:t>
      </w:r>
      <w:r w:rsidR="005C7A6B">
        <w:t>t</w:t>
      </w:r>
      <w:r w:rsidR="00571D49" w:rsidRPr="00571D49">
        <w:t>er_leer_Tr</w:t>
      </w:r>
      <w:proofErr w:type="spellEnd"/>
      <w:r w:rsidR="00571D49" w:rsidRPr="00571D49">
        <w:t>-</w:t>
      </w:r>
      <w:proofErr w:type="spellStart"/>
      <w:r w:rsidR="00571D49" w:rsidRPr="00571D49">
        <w:t>Obj</w:t>
      </w:r>
      <w:proofErr w:type="spellEnd"/>
      <w:r w:rsidR="00571D49" w:rsidRPr="00571D49">
        <w:t xml:space="preserve">“ </w:t>
      </w:r>
      <w:r w:rsidR="00571D49">
        <w:t>zeigt eine intensive Bande gegen 1067 cm</w:t>
      </w:r>
      <w:r w:rsidR="00571D49" w:rsidRPr="00E0040D">
        <w:rPr>
          <w:vertAlign w:val="superscript"/>
        </w:rPr>
        <w:t>-1</w:t>
      </w:r>
      <w:r w:rsidR="00571D49">
        <w:t>, was eine dicke Oxidschicht auf Si-Wafer bedeutet:</w:t>
      </w:r>
    </w:p>
    <w:p w:rsidR="00571D49" w:rsidRDefault="00571D49" w:rsidP="00C141F8">
      <w:pPr>
        <w:jc w:val="center"/>
      </w:pPr>
      <w:r w:rsidRPr="00571D49">
        <w:rPr>
          <w:noProof/>
        </w:rPr>
        <w:drawing>
          <wp:inline distT="0" distB="0" distL="0" distR="0">
            <wp:extent cx="5001464" cy="346945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883" cy="3472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D49" w:rsidRDefault="00C141F8" w:rsidP="00F413F1">
      <w:pPr>
        <w:jc w:val="both"/>
      </w:pPr>
      <w:r>
        <w:t xml:space="preserve">Die Wafer mit der Probe drauf </w:t>
      </w:r>
      <w:proofErr w:type="gramStart"/>
      <w:r>
        <w:t>wurde</w:t>
      </w:r>
      <w:proofErr w:type="gramEnd"/>
      <w:r>
        <w:t xml:space="preserve"> </w:t>
      </w:r>
      <w:r w:rsidR="005950B7">
        <w:t>zwei</w:t>
      </w:r>
      <w:r w:rsidR="00CC2BF9">
        <w:t>m</w:t>
      </w:r>
      <w:r w:rsidR="005950B7">
        <w:t>al</w:t>
      </w:r>
      <w:r>
        <w:t xml:space="preserve"> gemessen – </w:t>
      </w:r>
      <w:r w:rsidR="00CC2BF9">
        <w:t>in der Mitte (rotes Spektrum) und am Rand des Filters (blaue</w:t>
      </w:r>
      <w:r w:rsidR="00CC2BF9">
        <w:t>s</w:t>
      </w:r>
      <w:r w:rsidR="00CC2BF9">
        <w:t xml:space="preserve"> Spektrum)</w:t>
      </w:r>
      <w:r w:rsidR="00CC2BF9">
        <w:t>, s. auch oben</w:t>
      </w:r>
      <w:r w:rsidR="00CC2BF9">
        <w:t>.</w:t>
      </w:r>
    </w:p>
    <w:p w:rsidR="00C141F8" w:rsidRDefault="00C141F8"/>
    <w:p w:rsidR="00571D49" w:rsidRDefault="00C141F8">
      <w:r w:rsidRPr="00C141F8">
        <w:rPr>
          <w:noProof/>
        </w:rPr>
        <w:drawing>
          <wp:inline distT="0" distB="0" distL="0" distR="0">
            <wp:extent cx="5760720" cy="3996146"/>
            <wp:effectExtent l="0" t="0" r="0" b="44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96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BF9" w:rsidRDefault="00CC2BF9">
      <w:r w:rsidRPr="00CC2BF9">
        <w:rPr>
          <w:noProof/>
        </w:rPr>
        <w:lastRenderedPageBreak/>
        <w:drawing>
          <wp:inline distT="0" distB="0" distL="0" distR="0">
            <wp:extent cx="5760720" cy="3918134"/>
            <wp:effectExtent l="0" t="0" r="0" b="635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18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BF9" w:rsidRDefault="00CC2BF9"/>
    <w:p w:rsidR="00CC2BF9" w:rsidRDefault="00CC2BF9">
      <w:r w:rsidRPr="00CC2BF9">
        <w:rPr>
          <w:noProof/>
        </w:rPr>
        <w:drawing>
          <wp:inline distT="0" distB="0" distL="0" distR="0">
            <wp:extent cx="5760720" cy="3918134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18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BF9" w:rsidRDefault="005C7A6B" w:rsidP="00F413F1">
      <w:pPr>
        <w:jc w:val="both"/>
      </w:pPr>
      <w:r>
        <w:t>Die Spektren der Probe zeigen eine sehr intensive Bande im Bereich 1300-900 cm</w:t>
      </w:r>
      <w:r w:rsidRPr="00F413F1">
        <w:rPr>
          <w:vertAlign w:val="superscript"/>
        </w:rPr>
        <w:t>-1</w:t>
      </w:r>
      <w:r>
        <w:t>, welche den Schwingungen Si-O in Silikaten entspricht, was sogar noch dickere Oxidschicht auf der Oberfläche der Probe bedeutet, im Vergleich mit „Si-</w:t>
      </w:r>
      <w:proofErr w:type="spellStart"/>
      <w:r>
        <w:t>Filter_leer</w:t>
      </w:r>
      <w:proofErr w:type="spellEnd"/>
      <w:r>
        <w:t xml:space="preserve">…“. </w:t>
      </w:r>
    </w:p>
    <w:p w:rsidR="00CC2BF9" w:rsidRDefault="005C7A6B">
      <w:r>
        <w:lastRenderedPageBreak/>
        <w:t>Zusätzlich kann man eine Menge von Wasser auf der Oberfläche vermuten (s. Bibliothekvergleich unten.</w:t>
      </w:r>
    </w:p>
    <w:p w:rsidR="00CC2BF9" w:rsidRDefault="005C7A6B">
      <w:r w:rsidRPr="00CC2BF9">
        <w:rPr>
          <w:noProof/>
        </w:rPr>
        <w:drawing>
          <wp:inline distT="0" distB="0" distL="0" distR="0" wp14:anchorId="4E634535" wp14:editId="5162CF81">
            <wp:extent cx="5409598" cy="3752491"/>
            <wp:effectExtent l="0" t="0" r="0" b="6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2998" cy="3754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A6B" w:rsidRPr="00097CB6" w:rsidRDefault="005C7A6B" w:rsidP="005C7A6B">
      <w:r>
        <w:t xml:space="preserve">Das Spektrum in der Mitte der Oberfläche der Probe „Wasserglas“ zeigt </w:t>
      </w:r>
      <w:r>
        <w:t>zusätzlich die relativ gut aufgelösten Banden gegen 1400 cm</w:t>
      </w:r>
      <w:r w:rsidRPr="00F413F1">
        <w:rPr>
          <w:vertAlign w:val="superscript"/>
        </w:rPr>
        <w:t>-1</w:t>
      </w:r>
      <w:r>
        <w:t>, bei 830 und 705 cm</w:t>
      </w:r>
      <w:r w:rsidRPr="00F413F1">
        <w:rPr>
          <w:vertAlign w:val="superscript"/>
        </w:rPr>
        <w:t>-1</w:t>
      </w:r>
      <w:r w:rsidR="004E6321">
        <w:t xml:space="preserve"> v</w:t>
      </w:r>
      <w:r>
        <w:t>oraussichtlich entsprechen den Schwingung</w:t>
      </w:r>
      <w:r w:rsidR="004E6321">
        <w:t>en</w:t>
      </w:r>
      <w:r>
        <w:t xml:space="preserve"> in den anorganischen Carbonaten</w:t>
      </w:r>
      <w:r w:rsidR="00097CB6">
        <w:t xml:space="preserve"> (-CO</w:t>
      </w:r>
      <w:r w:rsidR="00097CB6" w:rsidRPr="00097CB6">
        <w:rPr>
          <w:vertAlign w:val="subscript"/>
        </w:rPr>
        <w:t>3</w:t>
      </w:r>
      <w:r w:rsidR="00097CB6" w:rsidRPr="00097CB6">
        <w:rPr>
          <w:vertAlign w:val="superscript"/>
        </w:rPr>
        <w:t>2-</w:t>
      </w:r>
      <w:r w:rsidR="00097CB6">
        <w:t>)</w:t>
      </w:r>
      <w:r w:rsidR="004E6321">
        <w:t xml:space="preserve">. </w:t>
      </w:r>
    </w:p>
    <w:p w:rsidR="005C7A6B" w:rsidRDefault="004E6321" w:rsidP="005C7A6B">
      <w:r w:rsidRPr="004E6321">
        <w:rPr>
          <w:noProof/>
        </w:rPr>
        <w:drawing>
          <wp:inline distT="0" distB="0" distL="0" distR="0">
            <wp:extent cx="5529532" cy="3835774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599" cy="38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3BB" w:rsidRDefault="004373BB" w:rsidP="005C7A6B"/>
    <w:p w:rsidR="004373BB" w:rsidRDefault="004373BB" w:rsidP="005C7A6B">
      <w:r w:rsidRPr="004373BB">
        <w:rPr>
          <w:noProof/>
        </w:rPr>
        <w:drawing>
          <wp:inline distT="0" distB="0" distL="0" distR="0">
            <wp:extent cx="5244353" cy="3566929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360" cy="356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321" w:rsidRDefault="004373BB" w:rsidP="005C7A6B">
      <w:r>
        <w:t xml:space="preserve">In dem Fall vermutete der Auftraggeber ein Kaliumsalz, deshalb wurde das Spektrum von der Mitte des Filters mit Kaliumcarbonat aus </w:t>
      </w:r>
      <w:proofErr w:type="spellStart"/>
      <w:r>
        <w:t>Spektrendatenbank</w:t>
      </w:r>
      <w:proofErr w:type="spellEnd"/>
      <w:r>
        <w:t xml:space="preserve"> verglichen. Die Übereinstimmung mit der </w:t>
      </w:r>
      <w:proofErr w:type="spellStart"/>
      <w:r>
        <w:t>Spektrenbibliothek</w:t>
      </w:r>
      <w:proofErr w:type="spellEnd"/>
      <w:r>
        <w:t xml:space="preserve"> ist sehr gut. Damit übereinstimmen die Bandenpositionen ganz genau und auch die Schulter beidseitig bei der Bande der </w:t>
      </w:r>
      <w:proofErr w:type="spellStart"/>
      <w:r>
        <w:t>Deformationschwingungen</w:t>
      </w:r>
      <w:proofErr w:type="spellEnd"/>
      <w:r>
        <w:t xml:space="preserve"> von Wasser (bei 1649 cm</w:t>
      </w:r>
      <w:r w:rsidRPr="004373BB">
        <w:rPr>
          <w:vertAlign w:val="superscript"/>
        </w:rPr>
        <w:t>-1</w:t>
      </w:r>
      <w:r>
        <w:t>):</w:t>
      </w:r>
    </w:p>
    <w:p w:rsidR="004E6321" w:rsidRDefault="004E6321" w:rsidP="005C7A6B">
      <w:r w:rsidRPr="004E6321">
        <w:rPr>
          <w:noProof/>
        </w:rPr>
        <w:drawing>
          <wp:inline distT="0" distB="0" distL="0" distR="0">
            <wp:extent cx="5834845" cy="4047564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030" cy="4061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321" w:rsidRDefault="004E6321" w:rsidP="005C7A6B"/>
    <w:p w:rsidR="004E6321" w:rsidRDefault="004E6321" w:rsidP="005C7A6B">
      <w:r w:rsidRPr="004E6321">
        <w:rPr>
          <w:noProof/>
        </w:rPr>
        <w:drawing>
          <wp:inline distT="0" distB="0" distL="0" distR="0">
            <wp:extent cx="5760720" cy="3918134"/>
            <wp:effectExtent l="0" t="0" r="0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18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63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605AD5"/>
    <w:multiLevelType w:val="hybridMultilevel"/>
    <w:tmpl w:val="C956781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4C0F3C"/>
    <w:multiLevelType w:val="hybridMultilevel"/>
    <w:tmpl w:val="33521CF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2A9"/>
    <w:rsid w:val="00014201"/>
    <w:rsid w:val="00036F35"/>
    <w:rsid w:val="00055D5F"/>
    <w:rsid w:val="00062152"/>
    <w:rsid w:val="00097CB6"/>
    <w:rsid w:val="00143ECA"/>
    <w:rsid w:val="00196087"/>
    <w:rsid w:val="001A17AA"/>
    <w:rsid w:val="001E6620"/>
    <w:rsid w:val="0020257A"/>
    <w:rsid w:val="00272AAD"/>
    <w:rsid w:val="002B0223"/>
    <w:rsid w:val="002B6820"/>
    <w:rsid w:val="002D2105"/>
    <w:rsid w:val="002E4C6B"/>
    <w:rsid w:val="0037031C"/>
    <w:rsid w:val="00382346"/>
    <w:rsid w:val="00383D42"/>
    <w:rsid w:val="00383F4E"/>
    <w:rsid w:val="003A511A"/>
    <w:rsid w:val="00403C99"/>
    <w:rsid w:val="004373BB"/>
    <w:rsid w:val="004416A3"/>
    <w:rsid w:val="00461915"/>
    <w:rsid w:val="00490186"/>
    <w:rsid w:val="0049056A"/>
    <w:rsid w:val="004A4EC4"/>
    <w:rsid w:val="004A577B"/>
    <w:rsid w:val="004E39A8"/>
    <w:rsid w:val="004E6321"/>
    <w:rsid w:val="00500D2F"/>
    <w:rsid w:val="005153E9"/>
    <w:rsid w:val="005167EC"/>
    <w:rsid w:val="00523DCB"/>
    <w:rsid w:val="00535324"/>
    <w:rsid w:val="005442A9"/>
    <w:rsid w:val="00571D49"/>
    <w:rsid w:val="005950B7"/>
    <w:rsid w:val="005C7A6B"/>
    <w:rsid w:val="00600DF8"/>
    <w:rsid w:val="00607E42"/>
    <w:rsid w:val="0064555E"/>
    <w:rsid w:val="006457D3"/>
    <w:rsid w:val="0064625C"/>
    <w:rsid w:val="00654F4C"/>
    <w:rsid w:val="00662BF2"/>
    <w:rsid w:val="006D529F"/>
    <w:rsid w:val="006D5798"/>
    <w:rsid w:val="006D743C"/>
    <w:rsid w:val="006F57DE"/>
    <w:rsid w:val="00776790"/>
    <w:rsid w:val="00782517"/>
    <w:rsid w:val="007F3CE0"/>
    <w:rsid w:val="00827E81"/>
    <w:rsid w:val="00840F42"/>
    <w:rsid w:val="008452A7"/>
    <w:rsid w:val="008A35A0"/>
    <w:rsid w:val="008D10E0"/>
    <w:rsid w:val="00905174"/>
    <w:rsid w:val="00950217"/>
    <w:rsid w:val="00956738"/>
    <w:rsid w:val="0096407D"/>
    <w:rsid w:val="009734B1"/>
    <w:rsid w:val="009B6C5C"/>
    <w:rsid w:val="00AB27DB"/>
    <w:rsid w:val="00AB2A4D"/>
    <w:rsid w:val="00AB683E"/>
    <w:rsid w:val="00AD12F3"/>
    <w:rsid w:val="00AD7694"/>
    <w:rsid w:val="00B0051B"/>
    <w:rsid w:val="00B23843"/>
    <w:rsid w:val="00B33330"/>
    <w:rsid w:val="00B347A5"/>
    <w:rsid w:val="00B73483"/>
    <w:rsid w:val="00BB55F3"/>
    <w:rsid w:val="00BE12DE"/>
    <w:rsid w:val="00C051BB"/>
    <w:rsid w:val="00C060CA"/>
    <w:rsid w:val="00C141F8"/>
    <w:rsid w:val="00C32DDB"/>
    <w:rsid w:val="00C417D8"/>
    <w:rsid w:val="00C967E9"/>
    <w:rsid w:val="00CC05BD"/>
    <w:rsid w:val="00CC2BF9"/>
    <w:rsid w:val="00D17A45"/>
    <w:rsid w:val="00D76122"/>
    <w:rsid w:val="00D803F3"/>
    <w:rsid w:val="00E0040D"/>
    <w:rsid w:val="00E01698"/>
    <w:rsid w:val="00E2708A"/>
    <w:rsid w:val="00E867A1"/>
    <w:rsid w:val="00E933DE"/>
    <w:rsid w:val="00EB659B"/>
    <w:rsid w:val="00EC00D7"/>
    <w:rsid w:val="00EC30DE"/>
    <w:rsid w:val="00ED2786"/>
    <w:rsid w:val="00EF20A3"/>
    <w:rsid w:val="00F16ED2"/>
    <w:rsid w:val="00F413F1"/>
    <w:rsid w:val="00F547A1"/>
    <w:rsid w:val="00F84FA6"/>
    <w:rsid w:val="00FA39F7"/>
    <w:rsid w:val="00FD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2960A"/>
  <w15:docId w15:val="{50205CE0-0FD9-40C2-9ED7-B5A0C38B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5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5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300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IPF Dresden e.V.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Vertex-70-IR1</dc:creator>
  <cp:keywords/>
  <dc:description/>
  <cp:lastModifiedBy>malanin@loc.ipfdd.de</cp:lastModifiedBy>
  <cp:revision>298</cp:revision>
  <dcterms:created xsi:type="dcterms:W3CDTF">2020-02-07T08:31:00Z</dcterms:created>
  <dcterms:modified xsi:type="dcterms:W3CDTF">2024-08-19T14:54:00Z</dcterms:modified>
</cp:coreProperties>
</file>