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b/>
          <w:sz w:val="36"/>
          <w:szCs w:val="21"/>
        </w:rPr>
      </w:pPr>
      <w:r>
        <w:rPr>
          <w:rFonts w:hint="eastAsia" w:ascii="华文中宋" w:hAnsi="华文中宋" w:eastAsia="华文中宋"/>
          <w:b/>
          <w:sz w:val="36"/>
          <w:szCs w:val="21"/>
        </w:rPr>
        <w:t>中国区高耗能工业数据集V</w:t>
      </w:r>
      <w:r>
        <w:rPr>
          <w:rFonts w:ascii="华文中宋" w:hAnsi="华文中宋" w:eastAsia="华文中宋"/>
          <w:b/>
          <w:sz w:val="36"/>
          <w:szCs w:val="21"/>
        </w:rPr>
        <w:t>2</w:t>
      </w:r>
      <w:r>
        <w:rPr>
          <w:rFonts w:hint="eastAsia" w:ascii="华文中宋" w:hAnsi="华文中宋" w:eastAsia="华文中宋"/>
          <w:b/>
          <w:sz w:val="36"/>
          <w:szCs w:val="21"/>
        </w:rPr>
        <w:t>.0版_20220920</w:t>
      </w:r>
    </w:p>
    <w:p>
      <w:pPr>
        <w:spacing w:line="360" w:lineRule="auto"/>
        <w:jc w:val="center"/>
        <w:rPr>
          <w:rFonts w:ascii="华文中宋" w:hAnsi="华文中宋" w:eastAsia="华文中宋"/>
          <w:b/>
          <w:sz w:val="36"/>
          <w:szCs w:val="21"/>
        </w:rPr>
      </w:pPr>
      <w:r>
        <w:rPr>
          <w:rFonts w:ascii="华文中宋" w:hAnsi="华文中宋" w:eastAsia="华文中宋"/>
          <w:b/>
          <w:sz w:val="36"/>
          <w:szCs w:val="21"/>
        </w:rPr>
        <w:t>数据</w:t>
      </w:r>
      <w:r>
        <w:rPr>
          <w:rFonts w:hint="eastAsia" w:ascii="华文中宋" w:hAnsi="华文中宋" w:eastAsia="华文中宋"/>
          <w:b/>
          <w:sz w:val="36"/>
          <w:szCs w:val="21"/>
        </w:rPr>
        <w:t>说明</w:t>
      </w:r>
      <w:r>
        <w:rPr>
          <w:rFonts w:ascii="华文中宋" w:hAnsi="华文中宋" w:eastAsia="华文中宋"/>
          <w:b/>
          <w:sz w:val="36"/>
          <w:szCs w:val="21"/>
        </w:rPr>
        <w:t>文档</w:t>
      </w:r>
    </w:p>
    <w:p>
      <w:pPr>
        <w:spacing w:line="360" w:lineRule="auto"/>
        <w:jc w:val="center"/>
        <w:rPr>
          <w:rFonts w:ascii="华文中宋" w:hAnsi="华文中宋" w:eastAsia="华文中宋"/>
          <w:b/>
          <w:sz w:val="36"/>
          <w:szCs w:val="21"/>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60" w:lineRule="auto"/>
              <w:jc w:val="right"/>
              <w:rPr>
                <w:rFonts w:ascii="华文中宋" w:hAnsi="华文中宋" w:eastAsia="华文中宋"/>
                <w:b/>
                <w:sz w:val="36"/>
                <w:szCs w:val="21"/>
              </w:rPr>
            </w:pPr>
            <w:r>
              <w:rPr>
                <w:rFonts w:hint="eastAsia" w:ascii="宋体" w:hAnsi="宋体"/>
                <w:sz w:val="24"/>
              </w:rPr>
              <w:t>提交人：</w:t>
            </w:r>
          </w:p>
        </w:tc>
        <w:tc>
          <w:tcPr>
            <w:tcW w:w="4148" w:type="dxa"/>
          </w:tcPr>
          <w:p>
            <w:pPr>
              <w:spacing w:line="360" w:lineRule="auto"/>
              <w:jc w:val="left"/>
              <w:rPr>
                <w:rFonts w:ascii="华文中宋" w:hAnsi="华文中宋" w:eastAsia="华文中宋"/>
                <w:b/>
                <w:sz w:val="36"/>
                <w:szCs w:val="21"/>
              </w:rPr>
            </w:pPr>
            <w:r>
              <w:rPr>
                <w:rFonts w:hint="eastAsia" w:ascii="宋体" w:hAnsi="宋体"/>
                <w:sz w:val="24"/>
              </w:rPr>
              <w:t>马彩虹、隋欣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60" w:lineRule="auto"/>
              <w:jc w:val="right"/>
              <w:rPr>
                <w:rFonts w:ascii="华文中宋" w:hAnsi="华文中宋" w:eastAsia="华文中宋"/>
                <w:b/>
                <w:sz w:val="36"/>
                <w:szCs w:val="21"/>
              </w:rPr>
            </w:pPr>
            <w:r>
              <w:rPr>
                <w:rFonts w:hint="eastAsia" w:ascii="宋体" w:hAnsi="宋体"/>
                <w:sz w:val="24"/>
              </w:rPr>
              <w:t>提交版本：</w:t>
            </w:r>
          </w:p>
        </w:tc>
        <w:tc>
          <w:tcPr>
            <w:tcW w:w="4148" w:type="dxa"/>
          </w:tcPr>
          <w:p>
            <w:pPr>
              <w:spacing w:line="360" w:lineRule="auto"/>
              <w:jc w:val="left"/>
              <w:rPr>
                <w:rFonts w:ascii="华文中宋" w:hAnsi="华文中宋" w:eastAsia="华文中宋"/>
                <w:b/>
                <w:sz w:val="36"/>
                <w:szCs w:val="21"/>
              </w:rPr>
            </w:pPr>
            <w:r>
              <w:rPr>
                <w:rFonts w:hint="eastAsia" w:ascii="宋体" w:hAnsi="宋体"/>
                <w:sz w:val="24"/>
              </w:rPr>
              <w:t>V</w:t>
            </w:r>
            <w:r>
              <w:rPr>
                <w:rFonts w:ascii="宋体" w:hAnsi="宋体"/>
                <w:sz w:val="24"/>
              </w:rPr>
              <w:t>1</w:t>
            </w:r>
            <w:r>
              <w:rPr>
                <w:rFonts w:hint="eastAsia" w:ascii="宋体" w:hAnsi="宋体"/>
                <w:sz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60" w:lineRule="auto"/>
              <w:jc w:val="right"/>
              <w:rPr>
                <w:rFonts w:ascii="华文中宋" w:hAnsi="华文中宋" w:eastAsia="华文中宋"/>
                <w:b/>
                <w:sz w:val="36"/>
                <w:szCs w:val="21"/>
              </w:rPr>
            </w:pPr>
            <w:r>
              <w:rPr>
                <w:rFonts w:hint="eastAsia" w:ascii="宋体" w:hAnsi="宋体"/>
                <w:sz w:val="24"/>
              </w:rPr>
              <w:t>提交日期：</w:t>
            </w:r>
          </w:p>
        </w:tc>
        <w:tc>
          <w:tcPr>
            <w:tcW w:w="4148" w:type="dxa"/>
          </w:tcPr>
          <w:p>
            <w:pPr>
              <w:spacing w:line="360" w:lineRule="auto"/>
              <w:jc w:val="left"/>
              <w:rPr>
                <w:rFonts w:ascii="华文中宋" w:hAnsi="华文中宋" w:eastAsia="华文中宋"/>
                <w:b/>
                <w:sz w:val="36"/>
                <w:szCs w:val="21"/>
              </w:rPr>
            </w:pPr>
            <w:r>
              <w:rPr>
                <w:rFonts w:hint="eastAsia" w:ascii="宋体" w:hAnsi="宋体"/>
                <w:sz w:val="24"/>
              </w:rPr>
              <w:t>2</w:t>
            </w:r>
            <w:r>
              <w:rPr>
                <w:rFonts w:ascii="宋体" w:hAnsi="宋体"/>
                <w:sz w:val="24"/>
              </w:rPr>
              <w:t>022.9.20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60" w:lineRule="auto"/>
              <w:jc w:val="right"/>
              <w:rPr>
                <w:rFonts w:ascii="华文中宋" w:hAnsi="华文中宋" w:eastAsia="华文中宋"/>
                <w:b/>
                <w:sz w:val="36"/>
                <w:szCs w:val="21"/>
              </w:rPr>
            </w:pPr>
            <w:r>
              <w:rPr>
                <w:rFonts w:hint="eastAsia" w:ascii="宋体" w:hAnsi="宋体"/>
                <w:sz w:val="24"/>
              </w:rPr>
              <w:t>审核人：</w:t>
            </w:r>
          </w:p>
        </w:tc>
        <w:tc>
          <w:tcPr>
            <w:tcW w:w="4148" w:type="dxa"/>
          </w:tcPr>
          <w:p>
            <w:pPr>
              <w:spacing w:line="360" w:lineRule="auto"/>
              <w:jc w:val="left"/>
              <w:rPr>
                <w:rFonts w:ascii="华文中宋" w:hAnsi="华文中宋" w:eastAsia="华文中宋"/>
                <w:b/>
                <w:sz w:val="36"/>
                <w:szCs w:val="21"/>
                <w:u w:val="single"/>
              </w:rPr>
            </w:pPr>
            <w:r>
              <w:rPr>
                <w:rFonts w:hint="eastAsia" w:ascii="宋体" w:hAnsi="宋体"/>
                <w:sz w:val="24"/>
                <w:u w:val="single"/>
              </w:rPr>
              <w:t xml:space="preserve"> </w:t>
            </w:r>
            <w:r>
              <w:rPr>
                <w:rFonts w:ascii="宋体" w:hAnsi="宋体"/>
                <w:sz w:val="24"/>
                <w:u w:val="single"/>
              </w:rPr>
              <w:t xml:space="preserve">          </w:t>
            </w:r>
          </w:p>
        </w:tc>
      </w:tr>
    </w:tbl>
    <w:p>
      <w:pPr>
        <w:spacing w:line="300" w:lineRule="exact"/>
        <w:jc w:val="center"/>
        <w:outlineLvl w:val="0"/>
        <w:rPr>
          <w:szCs w:val="21"/>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项目</w:t>
            </w:r>
          </w:p>
        </w:tc>
        <w:tc>
          <w:tcPr>
            <w:tcW w:w="6854" w:type="dxa"/>
          </w:tcPr>
          <w:p>
            <w:pPr>
              <w:rPr>
                <w:szCs w:val="21"/>
              </w:rPr>
            </w:pPr>
            <w:r>
              <w:rPr>
                <w:rFonts w:hint="eastAsia"/>
                <w:szCs w:val="21"/>
              </w:rPr>
              <w:t>中国区高耗能工业数据集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68" w:type="dxa"/>
          </w:tcPr>
          <w:p>
            <w:pPr>
              <w:rPr>
                <w:szCs w:val="21"/>
              </w:rPr>
            </w:pPr>
            <w:r>
              <w:rPr>
                <w:szCs w:val="21"/>
              </w:rPr>
              <w:t>1数据集名称</w:t>
            </w:r>
          </w:p>
        </w:tc>
        <w:tc>
          <w:tcPr>
            <w:tcW w:w="6854" w:type="dxa"/>
          </w:tcPr>
          <w:p>
            <w:pPr>
              <w:spacing w:line="300" w:lineRule="auto"/>
              <w:rPr>
                <w:szCs w:val="21"/>
              </w:rPr>
            </w:pPr>
            <w:r>
              <w:rPr>
                <w:rFonts w:hint="eastAsia"/>
                <w:szCs w:val="21"/>
              </w:rPr>
              <w:t>中国区高耗能工业数据集V</w:t>
            </w:r>
            <w:r>
              <w:rPr>
                <w:szCs w:val="21"/>
              </w:rPr>
              <w:t>2</w:t>
            </w:r>
            <w:r>
              <w:rPr>
                <w:rFonts w:hint="eastAsia"/>
                <w:szCs w:val="21"/>
              </w:rPr>
              <w:t>.0版_20220920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Pr>
          <w:p>
            <w:pPr>
              <w:rPr>
                <w:szCs w:val="21"/>
              </w:rPr>
            </w:pPr>
            <w:r>
              <w:rPr>
                <w:szCs w:val="21"/>
              </w:rPr>
              <w:t>2数据集内容说明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2.1数据集内容一般描述</w:t>
            </w:r>
          </w:p>
        </w:tc>
        <w:tc>
          <w:tcPr>
            <w:tcW w:w="6854" w:type="dxa"/>
          </w:tcPr>
          <w:p>
            <w:pPr>
              <w:rPr>
                <w:szCs w:val="21"/>
              </w:rPr>
            </w:pPr>
            <w:r>
              <w:rPr>
                <w:szCs w:val="21"/>
              </w:rPr>
              <w:t>a.数据内容（数据文件、表名称，包含的观测指标内容）</w:t>
            </w:r>
          </w:p>
          <w:p>
            <w:pPr>
              <w:ind w:firstLine="420" w:firstLineChars="200"/>
              <w:rPr>
                <w:szCs w:val="21"/>
              </w:rPr>
            </w:pPr>
            <w:r>
              <w:rPr>
                <w:rFonts w:hint="eastAsia"/>
                <w:szCs w:val="21"/>
              </w:rPr>
              <w:t>基于VIIRS（Visible Infrared Imaging Radiometer Suite）传感器中分辨率375mNPP-VIIRS主动热异常数据、实地调研等地球大数据，构建中国大陆区域高耗能产业热源产品数据集，共计</w:t>
            </w:r>
            <w:r>
              <w:rPr>
                <w:szCs w:val="21"/>
              </w:rPr>
              <w:t>4410</w:t>
            </w:r>
            <w:r>
              <w:rPr>
                <w:rFonts w:hint="eastAsia"/>
                <w:szCs w:val="21"/>
              </w:rPr>
              <w:t>条数据；输出格式为shapefile。</w:t>
            </w:r>
          </w:p>
          <w:p>
            <w:pPr>
              <w:rPr>
                <w:szCs w:val="21"/>
              </w:rPr>
            </w:pPr>
            <w:r>
              <w:rPr>
                <w:szCs w:val="21"/>
              </w:rPr>
              <w:t>b.数据的时间范围</w:t>
            </w:r>
          </w:p>
          <w:p>
            <w:pPr>
              <w:rPr>
                <w:szCs w:val="21"/>
              </w:rPr>
            </w:pPr>
            <w:r>
              <w:rPr>
                <w:szCs w:val="21"/>
              </w:rPr>
              <w:t xml:space="preserve">  2012年</w:t>
            </w:r>
            <w:r>
              <w:rPr>
                <w:rFonts w:hint="eastAsia"/>
                <w:szCs w:val="21"/>
              </w:rPr>
              <w:t>—2</w:t>
            </w:r>
            <w:r>
              <w:rPr>
                <w:szCs w:val="21"/>
              </w:rPr>
              <w:t>021</w:t>
            </w:r>
            <w:r>
              <w:rPr>
                <w:rFonts w:hint="eastAsia"/>
                <w:szCs w:val="21"/>
              </w:rPr>
              <w:t>年</w:t>
            </w:r>
          </w:p>
          <w:p>
            <w:pPr>
              <w:rPr>
                <w:szCs w:val="21"/>
              </w:rPr>
            </w:pPr>
            <w:r>
              <w:rPr>
                <w:szCs w:val="21"/>
              </w:rPr>
              <w:t>c.数据的空间范围、投影方式</w:t>
            </w:r>
          </w:p>
          <w:p>
            <w:pPr>
              <w:ind w:firstLine="210" w:firstLineChars="100"/>
              <w:rPr>
                <w:szCs w:val="21"/>
              </w:rPr>
            </w:pPr>
            <w:r>
              <w:rPr>
                <w:szCs w:val="21"/>
              </w:rPr>
              <w:t>空间范围：</w:t>
            </w:r>
            <w:r>
              <w:rPr>
                <w:rFonts w:hint="eastAsia"/>
                <w:szCs w:val="21"/>
              </w:rPr>
              <w:t>中国大陆区域</w:t>
            </w:r>
            <w:bookmarkStart w:id="0" w:name="_GoBack"/>
            <w:bookmarkEnd w:id="0"/>
          </w:p>
          <w:p>
            <w:pPr>
              <w:ind w:firstLine="210" w:firstLineChars="100"/>
              <w:rPr>
                <w:szCs w:val="21"/>
              </w:rPr>
            </w:pPr>
            <w:r>
              <w:rPr>
                <w:szCs w:val="21"/>
              </w:rPr>
              <w:t>投影方式：</w:t>
            </w:r>
            <w:r>
              <w:rPr>
                <w:color w:val="000000"/>
                <w:kern w:val="0"/>
                <w:szCs w:val="21"/>
              </w:rPr>
              <w:t>WGS84</w:t>
            </w:r>
          </w:p>
          <w:p>
            <w:pPr>
              <w:rPr>
                <w:szCs w:val="21"/>
              </w:rPr>
            </w:pPr>
            <w:r>
              <w:rPr>
                <w:szCs w:val="21"/>
              </w:rPr>
              <w:t>d.数据的量</w:t>
            </w:r>
          </w:p>
          <w:p>
            <w:pPr>
              <w:ind w:firstLine="315" w:firstLineChars="150"/>
              <w:rPr>
                <w:szCs w:val="21"/>
              </w:rPr>
            </w:pPr>
            <w:r>
              <w:rPr>
                <w:szCs w:val="21"/>
              </w:rPr>
              <w:t>数据量合计约3374kb</w:t>
            </w:r>
          </w:p>
          <w:p>
            <w:pPr>
              <w:rPr>
                <w:szCs w:val="21"/>
              </w:rPr>
            </w:pPr>
            <w:r>
              <w:rPr>
                <w:szCs w:val="21"/>
              </w:rPr>
              <w:t>e.数据类型（文献、属性、矢量、栅格、文本等）</w:t>
            </w:r>
          </w:p>
          <w:p>
            <w:pPr>
              <w:ind w:firstLine="210" w:firstLineChars="100"/>
              <w:rPr>
                <w:szCs w:val="21"/>
              </w:rPr>
            </w:pPr>
            <w:r>
              <w:rPr>
                <w:rFonts w:hint="eastAsia"/>
                <w:szCs w:val="21"/>
              </w:rPr>
              <w:t>矢量</w:t>
            </w:r>
          </w:p>
          <w:p>
            <w:pPr>
              <w:rPr>
                <w:szCs w:val="21"/>
              </w:rPr>
            </w:pPr>
            <w:r>
              <w:rPr>
                <w:szCs w:val="21"/>
              </w:rPr>
              <w:t>f.数据更新的频度</w:t>
            </w:r>
          </w:p>
          <w:p>
            <w:pPr>
              <w:ind w:firstLine="210" w:firstLineChars="100"/>
              <w:rPr>
                <w:szCs w:val="21"/>
              </w:rPr>
            </w:pPr>
            <w:r>
              <w:rPr>
                <w:szCs w:val="21"/>
              </w:rPr>
              <w:t>暂不更新</w:t>
            </w:r>
          </w:p>
          <w:p>
            <w:pPr>
              <w:rPr>
                <w:szCs w:val="21"/>
              </w:rPr>
            </w:pPr>
            <w:r>
              <w:rPr>
                <w:szCs w:val="21"/>
              </w:rPr>
              <w:t>g.缩略图（反应数据集内容或观测过程、场景等的示意图）</w:t>
            </w:r>
          </w:p>
          <w:p>
            <w:pPr>
              <w:jc w:val="center"/>
              <w:rPr>
                <w:szCs w:val="21"/>
              </w:rPr>
            </w:pPr>
            <w:r>
              <w:rPr>
                <w:szCs w:val="21"/>
              </w:rPr>
              <w:drawing>
                <wp:inline distT="0" distB="0" distL="114300" distR="114300">
                  <wp:extent cx="2073910" cy="14655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74079" cy="1465844"/>
                          </a:xfrm>
                          <a:prstGeom prst="rect">
                            <a:avLst/>
                          </a:prstGeom>
                          <a:noFill/>
                          <a:ln>
                            <a:noFill/>
                          </a:ln>
                        </pic:spPr>
                      </pic:pic>
                    </a:graphicData>
                  </a:graphic>
                </wp:inline>
              </w:drawing>
            </w:r>
          </w:p>
          <w:p>
            <w:pPr>
              <w:ind w:firstLine="630" w:firstLineChars="300"/>
              <w:rPr>
                <w:szCs w:val="21"/>
              </w:rPr>
            </w:pP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2.2 字段（要素）名称解释</w:t>
            </w:r>
          </w:p>
        </w:tc>
        <w:tc>
          <w:tcPr>
            <w:tcW w:w="6854" w:type="dxa"/>
          </w:tcPr>
          <w:p>
            <w:pPr>
              <w:spacing w:line="400" w:lineRule="exact"/>
              <w:rPr>
                <w:szCs w:val="21"/>
              </w:rPr>
            </w:pPr>
            <w:r>
              <w:rPr>
                <w:szCs w:val="21"/>
              </w:rPr>
              <w:t>a.名词解释：</w:t>
            </w:r>
          </w:p>
          <w:p>
            <w:pPr>
              <w:spacing w:line="400" w:lineRule="exact"/>
              <w:ind w:firstLine="420" w:firstLineChars="200"/>
              <w:rPr>
                <w:szCs w:val="21"/>
              </w:rPr>
            </w:pPr>
            <w:r>
              <w:rPr>
                <w:szCs w:val="21"/>
              </w:rPr>
              <w:t>数据集的</w:t>
            </w:r>
            <w:r>
              <w:rPr>
                <w:rFonts w:hint="eastAsia"/>
                <w:szCs w:val="21"/>
              </w:rPr>
              <w:t>工业热源对象是指生产过程中，所消耗的一次能源或二次能源比重比较高，能源成本在产值中占成分比较高的产业，同时在生产过程中产生大量余热的工业企业。</w:t>
            </w:r>
          </w:p>
          <w:p>
            <w:pPr>
              <w:spacing w:line="400" w:lineRule="exact"/>
              <w:rPr>
                <w:szCs w:val="21"/>
              </w:rPr>
            </w:pPr>
            <w:r>
              <w:rPr>
                <w:szCs w:val="21"/>
              </w:rPr>
              <w:t>b.量纲（度量单位）：</w:t>
            </w:r>
          </w:p>
          <w:p>
            <w:pPr>
              <w:spacing w:line="400" w:lineRule="exact"/>
              <w:rPr>
                <w:szCs w:val="21"/>
              </w:rPr>
            </w:pPr>
            <w:r>
              <w:rPr>
                <w:szCs w:val="21"/>
              </w:rPr>
              <w:t>c.数据精度:375米分辨率</w:t>
            </w:r>
          </w:p>
          <w:p>
            <w:pPr>
              <w:spacing w:line="400" w:lineRule="exact"/>
              <w:rPr>
                <w:szCs w:val="21"/>
              </w:rPr>
            </w:pPr>
            <w:r>
              <w:rPr>
                <w:rFonts w:hint="eastAsia"/>
                <w:szCs w:val="21"/>
              </w:rPr>
              <w:t>d</w:t>
            </w:r>
            <w:r>
              <w:rPr>
                <w:szCs w:val="21"/>
              </w:rPr>
              <w:t>.</w:t>
            </w:r>
            <w:r>
              <w:rPr>
                <w:rFonts w:hint="eastAsia"/>
                <w:szCs w:val="21"/>
              </w:rPr>
              <w:t>主要属性字段信息说明表</w:t>
            </w:r>
          </w:p>
          <w:tbl>
            <w:tblPr>
              <w:tblStyle w:val="8"/>
              <w:tblW w:w="67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6"/>
              <w:gridCol w:w="1536"/>
              <w:gridCol w:w="1331"/>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spacing w:line="360" w:lineRule="auto"/>
                    <w:rPr>
                      <w:rFonts w:ascii="宋体" w:hAnsi="宋体"/>
                      <w:b/>
                      <w:bCs/>
                      <w:sz w:val="24"/>
                    </w:rPr>
                  </w:pPr>
                  <w:r>
                    <w:rPr>
                      <w:rFonts w:hint="eastAsia" w:ascii="宋体" w:hAnsi="宋体"/>
                      <w:b/>
                      <w:bCs/>
                      <w:sz w:val="24"/>
                    </w:rPr>
                    <w:t>序号</w:t>
                  </w:r>
                </w:p>
              </w:tc>
              <w:tc>
                <w:tcPr>
                  <w:tcW w:w="1536" w:type="dxa"/>
                </w:tcPr>
                <w:p>
                  <w:pPr>
                    <w:spacing w:line="360" w:lineRule="auto"/>
                    <w:rPr>
                      <w:rFonts w:ascii="宋体" w:hAnsi="宋体"/>
                      <w:b/>
                      <w:bCs/>
                      <w:sz w:val="24"/>
                    </w:rPr>
                  </w:pPr>
                  <w:r>
                    <w:rPr>
                      <w:rFonts w:hint="eastAsia" w:ascii="宋体" w:hAnsi="宋体"/>
                      <w:b/>
                      <w:bCs/>
                      <w:sz w:val="24"/>
                    </w:rPr>
                    <w:t>名称</w:t>
                  </w:r>
                </w:p>
              </w:tc>
              <w:tc>
                <w:tcPr>
                  <w:tcW w:w="1331" w:type="dxa"/>
                </w:tcPr>
                <w:p>
                  <w:pPr>
                    <w:spacing w:line="360" w:lineRule="auto"/>
                    <w:rPr>
                      <w:rFonts w:ascii="宋体" w:hAnsi="宋体"/>
                      <w:b/>
                      <w:bCs/>
                      <w:sz w:val="24"/>
                    </w:rPr>
                  </w:pPr>
                  <w:r>
                    <w:rPr>
                      <w:rFonts w:hint="eastAsia" w:ascii="宋体" w:hAnsi="宋体"/>
                      <w:b/>
                      <w:bCs/>
                      <w:sz w:val="24"/>
                    </w:rPr>
                    <w:t>类型</w:t>
                  </w:r>
                </w:p>
              </w:tc>
              <w:tc>
                <w:tcPr>
                  <w:tcW w:w="2885" w:type="dxa"/>
                </w:tcPr>
                <w:p>
                  <w:pPr>
                    <w:spacing w:line="360" w:lineRule="auto"/>
                    <w:rPr>
                      <w:rFonts w:ascii="宋体" w:hAnsi="宋体"/>
                      <w:b/>
                      <w:bCs/>
                      <w:sz w:val="24"/>
                    </w:rPr>
                  </w:pPr>
                  <w:r>
                    <w:rPr>
                      <w:rFonts w:hint="eastAsia" w:ascii="宋体" w:hAnsi="宋体"/>
                      <w:b/>
                      <w:bCs/>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hint="eastAsia" w:ascii="宋体" w:hAnsi="宋体"/>
                      <w:szCs w:val="21"/>
                    </w:rPr>
                    <w:t>1</w:t>
                  </w:r>
                </w:p>
              </w:tc>
              <w:tc>
                <w:tcPr>
                  <w:tcW w:w="1536" w:type="dxa"/>
                </w:tcPr>
                <w:p>
                  <w:pPr>
                    <w:rPr>
                      <w:rFonts w:ascii="宋体" w:hAnsi="宋体"/>
                      <w:szCs w:val="21"/>
                    </w:rPr>
                  </w:pPr>
                  <w:r>
                    <w:rPr>
                      <w:rFonts w:hint="eastAsia" w:ascii="宋体" w:hAnsi="宋体"/>
                      <w:szCs w:val="21"/>
                    </w:rPr>
                    <w:t>FID</w:t>
                  </w:r>
                </w:p>
              </w:tc>
              <w:tc>
                <w:tcPr>
                  <w:tcW w:w="1331" w:type="dxa"/>
                </w:tcPr>
                <w:p>
                  <w:pPr>
                    <w:rPr>
                      <w:rFonts w:ascii="宋体" w:hAnsi="宋体"/>
                      <w:szCs w:val="21"/>
                    </w:rPr>
                  </w:pPr>
                  <w:r>
                    <w:rPr>
                      <w:rFonts w:hint="eastAsia" w:ascii="宋体" w:hAnsi="宋体"/>
                      <w:szCs w:val="21"/>
                    </w:rPr>
                    <w:t>整形</w:t>
                  </w:r>
                </w:p>
              </w:tc>
              <w:tc>
                <w:tcPr>
                  <w:tcW w:w="2885" w:type="dxa"/>
                </w:tcPr>
                <w:p>
                  <w:pPr>
                    <w:rPr>
                      <w:rFonts w:ascii="宋体" w:hAnsi="宋体"/>
                      <w:szCs w:val="21"/>
                    </w:rPr>
                  </w:pPr>
                  <w:r>
                    <w:rPr>
                      <w:rFonts w:hint="eastAsia" w:ascii="宋体" w:hAnsi="宋体"/>
                      <w:szCs w:val="21"/>
                    </w:rPr>
                    <w:t>内部标识号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hint="eastAsia" w:ascii="宋体" w:hAnsi="宋体"/>
                      <w:szCs w:val="21"/>
                    </w:rPr>
                    <w:t>2</w:t>
                  </w:r>
                </w:p>
              </w:tc>
              <w:tc>
                <w:tcPr>
                  <w:tcW w:w="1536" w:type="dxa"/>
                </w:tcPr>
                <w:p>
                  <w:pPr>
                    <w:rPr>
                      <w:rFonts w:ascii="宋体" w:hAnsi="宋体"/>
                      <w:szCs w:val="21"/>
                    </w:rPr>
                  </w:pPr>
                  <w:r>
                    <w:rPr>
                      <w:rFonts w:hint="eastAsia" w:ascii="宋体" w:hAnsi="宋体"/>
                      <w:szCs w:val="21"/>
                    </w:rPr>
                    <w:t>Shape</w:t>
                  </w:r>
                </w:p>
              </w:tc>
              <w:tc>
                <w:tcPr>
                  <w:tcW w:w="1331" w:type="dxa"/>
                </w:tcPr>
                <w:p>
                  <w:pPr>
                    <w:rPr>
                      <w:rFonts w:ascii="宋体" w:hAnsi="宋体"/>
                      <w:szCs w:val="21"/>
                    </w:rPr>
                  </w:pPr>
                  <w:r>
                    <w:rPr>
                      <w:rFonts w:hint="eastAsia" w:ascii="宋体" w:hAnsi="宋体"/>
                      <w:szCs w:val="21"/>
                    </w:rPr>
                    <w:t>Polygon</w:t>
                  </w:r>
                </w:p>
              </w:tc>
              <w:tc>
                <w:tcPr>
                  <w:tcW w:w="2885" w:type="dxa"/>
                </w:tcPr>
                <w:p>
                  <w:pPr>
                    <w:rPr>
                      <w:rFonts w:ascii="宋体" w:hAnsi="宋体"/>
                      <w:szCs w:val="21"/>
                    </w:rPr>
                  </w:pPr>
                  <w:r>
                    <w:rPr>
                      <w:rFonts w:hint="eastAsia" w:ascii="宋体" w:hAnsi="宋体"/>
                      <w:szCs w:val="21"/>
                    </w:rPr>
                    <w:t>厂矿多边形区域位置，点信息标识为经纬度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hint="eastAsia" w:ascii="宋体" w:hAnsi="宋体"/>
                      <w:szCs w:val="21"/>
                    </w:rPr>
                    <w:t>3</w:t>
                  </w:r>
                </w:p>
              </w:tc>
              <w:tc>
                <w:tcPr>
                  <w:tcW w:w="1536" w:type="dxa"/>
                </w:tcPr>
                <w:p>
                  <w:pPr>
                    <w:rPr>
                      <w:rFonts w:ascii="宋体" w:hAnsi="宋体"/>
                      <w:szCs w:val="21"/>
                    </w:rPr>
                  </w:pPr>
                  <w:r>
                    <w:rPr>
                      <w:rFonts w:hint="eastAsia" w:ascii="宋体" w:hAnsi="宋体"/>
                      <w:szCs w:val="21"/>
                    </w:rPr>
                    <w:t>m</w:t>
                  </w:r>
                  <w:r>
                    <w:rPr>
                      <w:rFonts w:ascii="宋体" w:hAnsi="宋体"/>
                      <w:szCs w:val="21"/>
                    </w:rPr>
                    <w:t>inDate</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开始运行时间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hint="eastAsia" w:ascii="宋体" w:hAnsi="宋体"/>
                      <w:szCs w:val="21"/>
                    </w:rPr>
                    <w:t>4</w:t>
                  </w:r>
                </w:p>
              </w:tc>
              <w:tc>
                <w:tcPr>
                  <w:tcW w:w="1536" w:type="dxa"/>
                </w:tcPr>
                <w:p>
                  <w:pPr>
                    <w:rPr>
                      <w:rFonts w:ascii="宋体" w:hAnsi="宋体"/>
                      <w:szCs w:val="21"/>
                    </w:rPr>
                  </w:pPr>
                  <w:r>
                    <w:rPr>
                      <w:rFonts w:hint="eastAsia" w:ascii="宋体" w:hAnsi="宋体"/>
                      <w:szCs w:val="21"/>
                    </w:rPr>
                    <w:t>m</w:t>
                  </w:r>
                  <w:r>
                    <w:rPr>
                      <w:rFonts w:ascii="宋体" w:hAnsi="宋体"/>
                      <w:szCs w:val="21"/>
                    </w:rPr>
                    <w:t>axDate</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最后运行时间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ascii="宋体" w:hAnsi="宋体"/>
                      <w:szCs w:val="21"/>
                    </w:rPr>
                    <w:t>5</w:t>
                  </w:r>
                </w:p>
              </w:tc>
              <w:tc>
                <w:tcPr>
                  <w:tcW w:w="1536" w:type="dxa"/>
                </w:tcPr>
                <w:p>
                  <w:pPr>
                    <w:rPr>
                      <w:rFonts w:hint="default" w:ascii="宋体" w:hAnsi="宋体" w:eastAsia="宋体"/>
                      <w:szCs w:val="21"/>
                      <w:lang w:val="en-US" w:eastAsia="zh-CN"/>
                    </w:rPr>
                  </w:pPr>
                  <w:r>
                    <w:rPr>
                      <w:rFonts w:hint="eastAsia" w:ascii="宋体" w:hAnsi="宋体"/>
                      <w:szCs w:val="21"/>
                      <w:lang w:val="en-US" w:eastAsia="zh-CN"/>
                    </w:rPr>
                    <w:t>province</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厂矿隶属省份名称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ascii="宋体" w:hAnsi="宋体"/>
                      <w:szCs w:val="21"/>
                    </w:rPr>
                    <w:t>6</w:t>
                  </w:r>
                </w:p>
              </w:tc>
              <w:tc>
                <w:tcPr>
                  <w:tcW w:w="1536" w:type="dxa"/>
                </w:tcPr>
                <w:p>
                  <w:pPr>
                    <w:rPr>
                      <w:rFonts w:hint="default" w:ascii="宋体" w:hAnsi="宋体" w:eastAsia="宋体"/>
                      <w:szCs w:val="21"/>
                      <w:lang w:val="en-US" w:eastAsia="zh-CN"/>
                    </w:rPr>
                  </w:pPr>
                  <w:r>
                    <w:rPr>
                      <w:rFonts w:hint="eastAsia" w:ascii="宋体" w:hAnsi="宋体"/>
                      <w:szCs w:val="21"/>
                      <w:lang w:val="en-US" w:eastAsia="zh-CN"/>
                    </w:rPr>
                    <w:t>city</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厂矿隶属市名称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ascii="宋体" w:hAnsi="宋体"/>
                      <w:szCs w:val="21"/>
                    </w:rPr>
                    <w:t>7</w:t>
                  </w:r>
                </w:p>
              </w:tc>
              <w:tc>
                <w:tcPr>
                  <w:tcW w:w="1536" w:type="dxa"/>
                </w:tcPr>
                <w:p>
                  <w:pPr>
                    <w:rPr>
                      <w:rFonts w:hint="default" w:ascii="宋体" w:hAnsi="宋体" w:eastAsia="宋体"/>
                      <w:szCs w:val="21"/>
                      <w:lang w:val="en-US" w:eastAsia="zh-CN"/>
                    </w:rPr>
                  </w:pPr>
                  <w:r>
                    <w:rPr>
                      <w:rFonts w:hint="eastAsia" w:ascii="宋体" w:hAnsi="宋体"/>
                      <w:szCs w:val="21"/>
                      <w:lang w:val="en-US" w:eastAsia="zh-CN"/>
                    </w:rPr>
                    <w:t>county</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厂矿隶属县名称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ascii="宋体" w:hAnsi="宋体"/>
                      <w:szCs w:val="21"/>
                    </w:rPr>
                    <w:t>8</w:t>
                  </w:r>
                </w:p>
              </w:tc>
              <w:tc>
                <w:tcPr>
                  <w:tcW w:w="1536" w:type="dxa"/>
                </w:tcPr>
                <w:p>
                  <w:pPr>
                    <w:rPr>
                      <w:rFonts w:ascii="宋体" w:hAnsi="宋体"/>
                      <w:szCs w:val="21"/>
                    </w:rPr>
                  </w:pPr>
                  <w:r>
                    <w:rPr>
                      <w:rFonts w:ascii="宋体" w:hAnsi="宋体"/>
                      <w:szCs w:val="21"/>
                    </w:rPr>
                    <w:t>f</w:t>
                  </w:r>
                  <w:r>
                    <w:rPr>
                      <w:rFonts w:hint="eastAsia" w:ascii="宋体" w:hAnsi="宋体"/>
                      <w:szCs w:val="21"/>
                    </w:rPr>
                    <w:t>actory</w:t>
                  </w:r>
                </w:p>
              </w:tc>
              <w:tc>
                <w:tcPr>
                  <w:tcW w:w="1331" w:type="dxa"/>
                </w:tcPr>
                <w:p>
                  <w:pPr>
                    <w:rPr>
                      <w:rFonts w:ascii="宋体" w:hAnsi="宋体"/>
                      <w:szCs w:val="21"/>
                    </w:rPr>
                  </w:pPr>
                  <w:r>
                    <w:rPr>
                      <w:rFonts w:hint="eastAsia" w:ascii="宋体" w:hAnsi="宋体"/>
                      <w:szCs w:val="21"/>
                    </w:rPr>
                    <w:t>字符串</w:t>
                  </w:r>
                </w:p>
              </w:tc>
              <w:tc>
                <w:tcPr>
                  <w:tcW w:w="2885" w:type="dxa"/>
                </w:tcPr>
                <w:p>
                  <w:pPr>
                    <w:rPr>
                      <w:rFonts w:ascii="宋体" w:hAnsi="宋体"/>
                      <w:szCs w:val="21"/>
                    </w:rPr>
                  </w:pPr>
                  <w:r>
                    <w:rPr>
                      <w:rFonts w:hint="eastAsia" w:ascii="宋体" w:hAnsi="宋体"/>
                      <w:szCs w:val="21"/>
                    </w:rPr>
                    <w:t>厂矿潜在的名称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tcPr>
                <w:p>
                  <w:pPr>
                    <w:rPr>
                      <w:rFonts w:ascii="宋体" w:hAnsi="宋体"/>
                      <w:szCs w:val="21"/>
                    </w:rPr>
                  </w:pPr>
                  <w:r>
                    <w:rPr>
                      <w:rFonts w:ascii="宋体" w:hAnsi="宋体"/>
                      <w:szCs w:val="21"/>
                    </w:rPr>
                    <w:t>9</w:t>
                  </w:r>
                </w:p>
              </w:tc>
              <w:tc>
                <w:tcPr>
                  <w:tcW w:w="1536" w:type="dxa"/>
                </w:tcPr>
                <w:p>
                  <w:pPr>
                    <w:rPr>
                      <w:rFonts w:ascii="宋体" w:hAnsi="宋体"/>
                      <w:szCs w:val="21"/>
                    </w:rPr>
                  </w:pPr>
                  <w:r>
                    <w:rPr>
                      <w:rFonts w:hint="eastAsia" w:ascii="宋体" w:hAnsi="宋体"/>
                      <w:szCs w:val="21"/>
                      <w:lang w:val="en-US" w:eastAsia="zh-CN"/>
                    </w:rPr>
                    <w:t>t</w:t>
                  </w:r>
                  <w:r>
                    <w:rPr>
                      <w:rFonts w:hint="eastAsia" w:ascii="宋体" w:hAnsi="宋体"/>
                      <w:szCs w:val="21"/>
                    </w:rPr>
                    <w:t>ype</w:t>
                  </w:r>
                </w:p>
              </w:tc>
              <w:tc>
                <w:tcPr>
                  <w:tcW w:w="1331" w:type="dxa"/>
                </w:tcPr>
                <w:p>
                  <w:pPr>
                    <w:rPr>
                      <w:rFonts w:ascii="宋体" w:hAnsi="宋体"/>
                      <w:szCs w:val="21"/>
                    </w:rPr>
                  </w:pPr>
                  <w:r>
                    <w:rPr>
                      <w:rFonts w:hint="eastAsia" w:ascii="宋体" w:hAnsi="宋体"/>
                      <w:szCs w:val="21"/>
                    </w:rPr>
                    <w:t>整形</w:t>
                  </w:r>
                </w:p>
              </w:tc>
              <w:tc>
                <w:tcPr>
                  <w:tcW w:w="2885" w:type="dxa"/>
                </w:tcPr>
                <w:p>
                  <w:pPr>
                    <w:rPr>
                      <w:rFonts w:ascii="宋体" w:hAnsi="宋体"/>
                      <w:szCs w:val="21"/>
                    </w:rPr>
                  </w:pPr>
                  <w:r>
                    <w:rPr>
                      <w:rFonts w:hint="eastAsia" w:ascii="宋体" w:hAnsi="宋体"/>
                      <w:szCs w:val="21"/>
                    </w:rPr>
                    <w:t>厂矿潜在的类型，其中：</w:t>
                  </w:r>
                </w:p>
                <w:p>
                  <w:pPr>
                    <w:rPr>
                      <w:rFonts w:ascii="宋体" w:hAnsi="宋体"/>
                      <w:szCs w:val="21"/>
                    </w:rPr>
                  </w:pPr>
                  <w:r>
                    <w:rPr>
                      <w:rFonts w:hint="eastAsia" w:ascii="宋体" w:hAnsi="宋体"/>
                      <w:szCs w:val="21"/>
                    </w:rPr>
                    <w:t>1：水泥厂类；</w:t>
                  </w:r>
                </w:p>
                <w:p>
                  <w:pPr>
                    <w:rPr>
                      <w:rFonts w:ascii="宋体" w:hAnsi="宋体"/>
                      <w:szCs w:val="21"/>
                    </w:rPr>
                  </w:pPr>
                  <w:r>
                    <w:rPr>
                      <w:rFonts w:hint="eastAsia" w:ascii="宋体" w:hAnsi="宋体"/>
                      <w:szCs w:val="21"/>
                    </w:rPr>
                    <w:t>2：钢铁类；</w:t>
                  </w:r>
                </w:p>
                <w:p>
                  <w:pPr>
                    <w:rPr>
                      <w:rFonts w:ascii="宋体" w:hAnsi="宋体"/>
                      <w:szCs w:val="21"/>
                    </w:rPr>
                  </w:pPr>
                  <w:r>
                    <w:rPr>
                      <w:rFonts w:hint="eastAsia" w:ascii="宋体" w:hAnsi="宋体"/>
                      <w:szCs w:val="21"/>
                    </w:rPr>
                    <w:t>3：煤化/煤矿类；</w:t>
                  </w:r>
                </w:p>
                <w:p>
                  <w:pPr>
                    <w:rPr>
                      <w:rFonts w:ascii="宋体" w:hAnsi="宋体"/>
                      <w:szCs w:val="21"/>
                    </w:rPr>
                  </w:pPr>
                  <w:r>
                    <w:rPr>
                      <w:rFonts w:hint="eastAsia" w:ascii="宋体" w:hAnsi="宋体"/>
                      <w:szCs w:val="21"/>
                    </w:rPr>
                    <w:t>4:油气开发类；</w:t>
                  </w:r>
                </w:p>
                <w:p>
                  <w:pPr>
                    <w:rPr>
                      <w:rFonts w:ascii="宋体" w:hAnsi="宋体"/>
                      <w:szCs w:val="21"/>
                    </w:rPr>
                  </w:pPr>
                  <w:r>
                    <w:rPr>
                      <w:rFonts w:hint="eastAsia" w:ascii="宋体" w:hAnsi="宋体"/>
                      <w:szCs w:val="21"/>
                    </w:rPr>
                    <w:t>5：其他类。</w:t>
                  </w:r>
                </w:p>
              </w:tc>
            </w:tr>
          </w:tbl>
          <w:p>
            <w:pPr>
              <w:spacing w:line="4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3 数据源描述</w:t>
            </w:r>
          </w:p>
        </w:tc>
        <w:tc>
          <w:tcPr>
            <w:tcW w:w="6854" w:type="dxa"/>
          </w:tcPr>
          <w:p>
            <w:pPr>
              <w:rPr>
                <w:szCs w:val="21"/>
              </w:rPr>
            </w:pPr>
            <w:r>
              <w:rPr>
                <w:szCs w:val="21"/>
              </w:rPr>
              <w:t>原始数据来源于</w:t>
            </w:r>
            <w:r>
              <w:rPr>
                <w:rFonts w:hint="eastAsia"/>
                <w:szCs w:val="21"/>
              </w:rPr>
              <w:t>NASA FIRMS网站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4数据加工方法</w:t>
            </w:r>
          </w:p>
        </w:tc>
        <w:tc>
          <w:tcPr>
            <w:tcW w:w="6854" w:type="dxa"/>
          </w:tcPr>
          <w:p>
            <w:pPr>
              <w:spacing w:line="400" w:lineRule="exact"/>
              <w:ind w:firstLine="420" w:firstLineChars="200"/>
              <w:rPr>
                <w:rFonts w:hint="eastAsia"/>
                <w:szCs w:val="21"/>
              </w:rPr>
            </w:pPr>
            <w:r>
              <w:rPr>
                <w:rFonts w:hint="eastAsia"/>
                <w:szCs w:val="21"/>
              </w:rPr>
              <w:t>基于长时序主动热异常数据，采用时空密度分割方法构建热源对象，构建热源对象的多元热信息特征，利用随机森林方法对耗能型工业热源对象进行识别分析。在V</w:t>
            </w:r>
            <w:r>
              <w:rPr>
                <w:szCs w:val="21"/>
              </w:rPr>
              <w:t>1.0</w:t>
            </w:r>
            <w:r>
              <w:rPr>
                <w:rFonts w:hint="eastAsia"/>
                <w:szCs w:val="21"/>
              </w:rPr>
              <w:t>数据基础上，结合POI数据、高分辨率遥感影像进行精度验证。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5数据质量描述</w:t>
            </w:r>
          </w:p>
        </w:tc>
        <w:tc>
          <w:tcPr>
            <w:tcW w:w="6854" w:type="dxa"/>
          </w:tcPr>
          <w:p>
            <w:pPr>
              <w:rPr>
                <w:szCs w:val="21"/>
              </w:rPr>
            </w:pPr>
            <w:r>
              <w:rPr>
                <w:szCs w:val="21"/>
              </w:rPr>
              <w:t>a.原始资料数据精度</w:t>
            </w:r>
          </w:p>
          <w:p>
            <w:pPr>
              <w:ind w:firstLine="210" w:firstLineChars="100"/>
              <w:rPr>
                <w:szCs w:val="21"/>
              </w:rPr>
            </w:pPr>
            <w:r>
              <w:rPr>
                <w:rFonts w:hint="eastAsia"/>
                <w:szCs w:val="21"/>
              </w:rPr>
              <w:t>空间</w:t>
            </w:r>
            <w:r>
              <w:rPr>
                <w:szCs w:val="21"/>
              </w:rPr>
              <w:t>分辨率375米</w:t>
            </w:r>
            <w:r>
              <w:rPr>
                <w:rFonts w:hint="eastAsia"/>
                <w:szCs w:val="21"/>
              </w:rPr>
              <w:t xml:space="preserve"> 时间分辨率1天</w:t>
            </w:r>
          </w:p>
          <w:p>
            <w:pPr>
              <w:rPr>
                <w:szCs w:val="21"/>
              </w:rPr>
            </w:pPr>
            <w:r>
              <w:rPr>
                <w:szCs w:val="21"/>
              </w:rPr>
              <w:t>b.加工后数据精度</w:t>
            </w:r>
          </w:p>
          <w:p>
            <w:pPr>
              <w:ind w:firstLine="210" w:firstLineChars="100"/>
              <w:rPr>
                <w:b/>
                <w:szCs w:val="21"/>
              </w:rPr>
            </w:pPr>
            <w:r>
              <w:rPr>
                <w:rFonts w:hint="eastAsia"/>
                <w:szCs w:val="21"/>
              </w:rPr>
              <w:t>空间</w:t>
            </w:r>
            <w:r>
              <w:rPr>
                <w:szCs w:val="21"/>
              </w:rPr>
              <w:t>分辨率375米</w:t>
            </w:r>
            <w:r>
              <w:rPr>
                <w:rFonts w:hint="eastAsia"/>
                <w:szCs w:val="21"/>
              </w:rPr>
              <w:t xml:space="preserve"> 时间分辨率1天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6 知识产权</w:t>
            </w:r>
          </w:p>
        </w:tc>
        <w:tc>
          <w:tcPr>
            <w:tcW w:w="6854" w:type="dxa"/>
          </w:tcPr>
          <w:p>
            <w:pPr>
              <w:pStyle w:val="15"/>
              <w:numPr>
                <w:ilvl w:val="0"/>
                <w:numId w:val="1"/>
              </w:numPr>
              <w:ind w:firstLineChars="0"/>
              <w:rPr>
                <w:szCs w:val="21"/>
              </w:rPr>
            </w:pPr>
            <w:r>
              <w:rPr>
                <w:szCs w:val="21"/>
              </w:rPr>
              <w:t>标注知识产权说明(数据使用引用方式规定等)</w:t>
            </w:r>
          </w:p>
          <w:p>
            <w:pPr>
              <w:pStyle w:val="15"/>
              <w:numPr>
                <w:ilvl w:val="0"/>
                <w:numId w:val="2"/>
              </w:numPr>
              <w:ind w:firstLineChars="0"/>
              <w:rPr>
                <w:rFonts w:ascii="Times New Roman" w:hAnsi="Times New Roman"/>
                <w:szCs w:val="21"/>
              </w:rPr>
            </w:pPr>
            <w:r>
              <w:rPr>
                <w:rFonts w:ascii="Times New Roman" w:hAnsi="Times New Roman"/>
                <w:szCs w:val="21"/>
              </w:rPr>
              <w:t>Ma, C., Yang, J., Chen, F., et al. Assessing Heavy Industrial Heat Source Distribution in China Using Real-Time VIIRS Active Fire/Hotspot Data [J]. Sustainability 2018, 10(12), 4419.</w:t>
            </w:r>
          </w:p>
          <w:p>
            <w:pPr>
              <w:pStyle w:val="15"/>
              <w:numPr>
                <w:ilvl w:val="0"/>
                <w:numId w:val="2"/>
              </w:numPr>
              <w:ind w:firstLineChars="0"/>
              <w:rPr>
                <w:rFonts w:ascii="Times New Roman" w:hAnsi="Times New Roman"/>
                <w:szCs w:val="21"/>
              </w:rPr>
            </w:pPr>
            <w:r>
              <w:rPr>
                <w:rFonts w:ascii="Times New Roman" w:hAnsi="Times New Roman"/>
                <w:szCs w:val="21"/>
              </w:rPr>
              <w:t>Ma, C., Yang, J., Xia. W., et al. A model for expressing industrial information based on object-oriented industrial heat sources detected using multi-source thermal anomaly data in China [J]. Remote Sens. 2022, 14(4), 835.</w:t>
            </w:r>
          </w:p>
          <w:p>
            <w:pPr>
              <w:pStyle w:val="15"/>
              <w:numPr>
                <w:ilvl w:val="0"/>
                <w:numId w:val="2"/>
              </w:numPr>
              <w:ind w:firstLineChars="0"/>
              <w:rPr>
                <w:rFonts w:ascii="Times New Roman" w:hAnsi="Times New Roman"/>
                <w:szCs w:val="21"/>
              </w:rPr>
            </w:pPr>
            <w:r>
              <w:rPr>
                <w:rFonts w:ascii="Times New Roman" w:hAnsi="Times New Roman"/>
                <w:szCs w:val="21"/>
              </w:rPr>
              <w:t>Ma, C., Sui, X., Zeng, Y.; Yang, J., Xie, Y., Li, T., Zhang, P. Classification of Industrial Heat Source Objects Based on Active Fire Point Density Segmentation and Spatial Topological Correlation Analysis in the Beijing–Tianjin–Hebei Region. Sustainability 2022, 14, 11228.</w:t>
            </w:r>
          </w:p>
          <w:p>
            <w:pPr>
              <w:rPr>
                <w:color w:val="000000"/>
                <w:szCs w:val="21"/>
              </w:rPr>
            </w:pPr>
            <w:r>
              <w:rPr>
                <w:color w:val="000000"/>
                <w:szCs w:val="21"/>
              </w:rPr>
              <w:t>b.使用数据的联系人</w:t>
            </w:r>
          </w:p>
          <w:p>
            <w:pPr>
              <w:ind w:left="252" w:leftChars="120"/>
              <w:rPr>
                <w:color w:val="000000"/>
                <w:szCs w:val="21"/>
              </w:rPr>
            </w:pPr>
            <w:r>
              <w:rPr>
                <w:color w:val="000000"/>
                <w:szCs w:val="21"/>
              </w:rPr>
              <w:t>获取数据如遇到困难，请联系数据服务人员</w:t>
            </w:r>
          </w:p>
          <w:p>
            <w:pPr>
              <w:ind w:left="252" w:leftChars="120"/>
              <w:rPr>
                <w:color w:val="000000"/>
                <w:szCs w:val="21"/>
              </w:rPr>
            </w:pPr>
            <w:r>
              <w:rPr>
                <w:color w:val="000000"/>
                <w:szCs w:val="21"/>
              </w:rPr>
              <w:t>联系信息：</w:t>
            </w:r>
          </w:p>
          <w:p>
            <w:pPr>
              <w:ind w:left="252" w:leftChars="120"/>
              <w:rPr>
                <w:color w:val="000000"/>
                <w:szCs w:val="21"/>
              </w:rPr>
            </w:pPr>
            <w:r>
              <w:rPr>
                <w:color w:val="000000"/>
                <w:szCs w:val="21"/>
              </w:rPr>
              <w:t>联系人姓名:</w:t>
            </w:r>
            <w:r>
              <w:rPr>
                <w:rFonts w:hint="eastAsia"/>
                <w:color w:val="000000"/>
                <w:szCs w:val="21"/>
              </w:rPr>
              <w:t>马彩虹</w:t>
            </w:r>
          </w:p>
          <w:p>
            <w:pPr>
              <w:ind w:left="252" w:leftChars="120"/>
              <w:rPr>
                <w:szCs w:val="21"/>
              </w:rPr>
            </w:pPr>
            <w:r>
              <w:rPr>
                <w:color w:val="000000"/>
                <w:szCs w:val="21"/>
              </w:rPr>
              <w:t>Email: mach@radi.ac.cn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szCs w:val="21"/>
              </w:rPr>
            </w:pPr>
            <w:r>
              <w:rPr>
                <w:szCs w:val="21"/>
              </w:rPr>
              <w:t>7.其他补充说明</w:t>
            </w:r>
          </w:p>
        </w:tc>
        <w:tc>
          <w:tcPr>
            <w:tcW w:w="6854" w:type="dxa"/>
          </w:tcPr>
          <w:p>
            <w:pPr>
              <w:rPr>
                <w:color w:val="000000"/>
                <w:szCs w:val="21"/>
              </w:rPr>
            </w:pPr>
            <w:r>
              <w:rPr>
                <w:color w:val="000000"/>
                <w:szCs w:val="21"/>
              </w:rPr>
              <w:t>填写包括但不限于提交的数据</w:t>
            </w:r>
            <w:r>
              <w:rPr>
                <w:rFonts w:hint="eastAsia"/>
                <w:color w:val="000000"/>
                <w:szCs w:val="21"/>
              </w:rPr>
              <w:t>集</w:t>
            </w:r>
            <w:r>
              <w:rPr>
                <w:color w:val="000000"/>
                <w:szCs w:val="21"/>
              </w:rPr>
              <w:t>的科学应用情况（论文、奖项、应用证明等）</w:t>
            </w:r>
          </w:p>
          <w:p>
            <w:pPr>
              <w:rPr>
                <w:color w:val="000000"/>
                <w:szCs w:val="21"/>
              </w:rPr>
            </w:pPr>
            <w:r>
              <w:rPr>
                <w:rFonts w:hint="eastAsia"/>
                <w:color w:val="000000"/>
                <w:szCs w:val="21"/>
              </w:rPr>
              <w:t>中国高耗能产业热源产品数据集首次利用目前空间分辨率（375m）、时间分辨率（1天）热异常数据产品，采用基于矢量的海量数据处理算法，提出了一种海量长时序遥感数据支持下的中国大陆区域工业热源对象识别模型。研究成果可为中国积极应对“调结构、去产能”产业模式升级、碳税国内外交易、大气环境改善等推进全球可持续发展进程和构建人类命运共同体等提供自主的科学数据和能力支撑；研究累计发表SCI论文四篇，CSCD论文两篇，EI论文两篇；申请发明专利4项，获得软件著作权两项；获得三项独立项目支持，共同申请科技部重点项目 1 项。</w:t>
            </w:r>
          </w:p>
        </w:tc>
      </w:tr>
    </w:tbl>
    <w:p>
      <w:pPr>
        <w:rPr>
          <w:szCs w:val="21"/>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B3BFF"/>
    <w:multiLevelType w:val="multilevel"/>
    <w:tmpl w:val="01FB3BFF"/>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5B13EC1"/>
    <w:multiLevelType w:val="multilevel"/>
    <w:tmpl w:val="55B13E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yZDVmZjVmNzExZWEyMGY2MWMyNDBiY2U0MmJjNmQifQ=="/>
  </w:docVars>
  <w:rsids>
    <w:rsidRoot w:val="00770518"/>
    <w:rsid w:val="00002026"/>
    <w:rsid w:val="000079D6"/>
    <w:rsid w:val="00012A03"/>
    <w:rsid w:val="00021320"/>
    <w:rsid w:val="00021774"/>
    <w:rsid w:val="00036AB1"/>
    <w:rsid w:val="0003745D"/>
    <w:rsid w:val="00040E46"/>
    <w:rsid w:val="000536D5"/>
    <w:rsid w:val="00054739"/>
    <w:rsid w:val="00055DA4"/>
    <w:rsid w:val="00056CB7"/>
    <w:rsid w:val="000666B0"/>
    <w:rsid w:val="00077889"/>
    <w:rsid w:val="00077FB3"/>
    <w:rsid w:val="00084302"/>
    <w:rsid w:val="000843C2"/>
    <w:rsid w:val="000A0945"/>
    <w:rsid w:val="000A253C"/>
    <w:rsid w:val="000A296E"/>
    <w:rsid w:val="000A6C23"/>
    <w:rsid w:val="000B0326"/>
    <w:rsid w:val="000B4263"/>
    <w:rsid w:val="000B77B4"/>
    <w:rsid w:val="000C2EF8"/>
    <w:rsid w:val="000C4AF1"/>
    <w:rsid w:val="000C56F2"/>
    <w:rsid w:val="000D276F"/>
    <w:rsid w:val="000F23CC"/>
    <w:rsid w:val="000F6B04"/>
    <w:rsid w:val="00101A94"/>
    <w:rsid w:val="00102080"/>
    <w:rsid w:val="00103F6F"/>
    <w:rsid w:val="001168D0"/>
    <w:rsid w:val="001238B4"/>
    <w:rsid w:val="00126E16"/>
    <w:rsid w:val="00126E64"/>
    <w:rsid w:val="001302E8"/>
    <w:rsid w:val="00134052"/>
    <w:rsid w:val="00137694"/>
    <w:rsid w:val="0015420E"/>
    <w:rsid w:val="00155F1B"/>
    <w:rsid w:val="001754B0"/>
    <w:rsid w:val="00176CC6"/>
    <w:rsid w:val="001773F4"/>
    <w:rsid w:val="00180537"/>
    <w:rsid w:val="00184547"/>
    <w:rsid w:val="001A313B"/>
    <w:rsid w:val="001B4F4B"/>
    <w:rsid w:val="001C14B3"/>
    <w:rsid w:val="001C293E"/>
    <w:rsid w:val="001C64A8"/>
    <w:rsid w:val="001D36FB"/>
    <w:rsid w:val="001E30F7"/>
    <w:rsid w:val="001E63F5"/>
    <w:rsid w:val="001F158D"/>
    <w:rsid w:val="001F317A"/>
    <w:rsid w:val="001F7C2C"/>
    <w:rsid w:val="0020034C"/>
    <w:rsid w:val="00201D60"/>
    <w:rsid w:val="00201ED0"/>
    <w:rsid w:val="002070CA"/>
    <w:rsid w:val="0021149A"/>
    <w:rsid w:val="002166C5"/>
    <w:rsid w:val="0022476B"/>
    <w:rsid w:val="0022693B"/>
    <w:rsid w:val="00243F30"/>
    <w:rsid w:val="002440BD"/>
    <w:rsid w:val="0024442F"/>
    <w:rsid w:val="00245CA4"/>
    <w:rsid w:val="00246291"/>
    <w:rsid w:val="00246446"/>
    <w:rsid w:val="002475A3"/>
    <w:rsid w:val="00247E60"/>
    <w:rsid w:val="002547BB"/>
    <w:rsid w:val="00261AF9"/>
    <w:rsid w:val="00283CAB"/>
    <w:rsid w:val="00286B22"/>
    <w:rsid w:val="00293B17"/>
    <w:rsid w:val="00294B29"/>
    <w:rsid w:val="00295CD3"/>
    <w:rsid w:val="002B049F"/>
    <w:rsid w:val="002C3014"/>
    <w:rsid w:val="002C7866"/>
    <w:rsid w:val="002D09B4"/>
    <w:rsid w:val="002E794F"/>
    <w:rsid w:val="002E7F8D"/>
    <w:rsid w:val="002F1234"/>
    <w:rsid w:val="002F4C58"/>
    <w:rsid w:val="002F7161"/>
    <w:rsid w:val="002F73D8"/>
    <w:rsid w:val="003046D6"/>
    <w:rsid w:val="00320364"/>
    <w:rsid w:val="00321E8B"/>
    <w:rsid w:val="0033223C"/>
    <w:rsid w:val="003405AE"/>
    <w:rsid w:val="00346D11"/>
    <w:rsid w:val="00347415"/>
    <w:rsid w:val="003518E2"/>
    <w:rsid w:val="00351C92"/>
    <w:rsid w:val="00352139"/>
    <w:rsid w:val="00355832"/>
    <w:rsid w:val="00356984"/>
    <w:rsid w:val="00365761"/>
    <w:rsid w:val="00366D43"/>
    <w:rsid w:val="00367548"/>
    <w:rsid w:val="003A0FEB"/>
    <w:rsid w:val="003A1276"/>
    <w:rsid w:val="003A77D6"/>
    <w:rsid w:val="003B2D93"/>
    <w:rsid w:val="003B75EA"/>
    <w:rsid w:val="003C1B07"/>
    <w:rsid w:val="003C507C"/>
    <w:rsid w:val="003C6AEF"/>
    <w:rsid w:val="003C78F1"/>
    <w:rsid w:val="003E12FB"/>
    <w:rsid w:val="003F161B"/>
    <w:rsid w:val="00401632"/>
    <w:rsid w:val="00407ABA"/>
    <w:rsid w:val="00410162"/>
    <w:rsid w:val="0041311B"/>
    <w:rsid w:val="0041449C"/>
    <w:rsid w:val="004168E1"/>
    <w:rsid w:val="00422BD5"/>
    <w:rsid w:val="0042656C"/>
    <w:rsid w:val="004309C8"/>
    <w:rsid w:val="004327D5"/>
    <w:rsid w:val="00433486"/>
    <w:rsid w:val="00435D9F"/>
    <w:rsid w:val="004424FA"/>
    <w:rsid w:val="00442640"/>
    <w:rsid w:val="004509A9"/>
    <w:rsid w:val="00450BFE"/>
    <w:rsid w:val="0045614D"/>
    <w:rsid w:val="00460FE1"/>
    <w:rsid w:val="00464137"/>
    <w:rsid w:val="00473DDC"/>
    <w:rsid w:val="004762DA"/>
    <w:rsid w:val="004819B8"/>
    <w:rsid w:val="00486518"/>
    <w:rsid w:val="0049228F"/>
    <w:rsid w:val="004962AD"/>
    <w:rsid w:val="004A066D"/>
    <w:rsid w:val="004B65C8"/>
    <w:rsid w:val="004C659F"/>
    <w:rsid w:val="004D57B1"/>
    <w:rsid w:val="004D7759"/>
    <w:rsid w:val="004E5361"/>
    <w:rsid w:val="004E7A9D"/>
    <w:rsid w:val="004F492B"/>
    <w:rsid w:val="00501061"/>
    <w:rsid w:val="0050769E"/>
    <w:rsid w:val="005176FF"/>
    <w:rsid w:val="00535AE6"/>
    <w:rsid w:val="00543BA0"/>
    <w:rsid w:val="00550612"/>
    <w:rsid w:val="00553B2D"/>
    <w:rsid w:val="0056290E"/>
    <w:rsid w:val="00562F8A"/>
    <w:rsid w:val="0057797A"/>
    <w:rsid w:val="00585B46"/>
    <w:rsid w:val="0058732C"/>
    <w:rsid w:val="005A09C8"/>
    <w:rsid w:val="005A3C88"/>
    <w:rsid w:val="005A42D9"/>
    <w:rsid w:val="005A511E"/>
    <w:rsid w:val="005B42C7"/>
    <w:rsid w:val="005B488A"/>
    <w:rsid w:val="005C010B"/>
    <w:rsid w:val="005C09C2"/>
    <w:rsid w:val="005D10E0"/>
    <w:rsid w:val="005D7705"/>
    <w:rsid w:val="005E2A25"/>
    <w:rsid w:val="005E2D33"/>
    <w:rsid w:val="005F0006"/>
    <w:rsid w:val="005F2619"/>
    <w:rsid w:val="005F3296"/>
    <w:rsid w:val="005F3657"/>
    <w:rsid w:val="006011B8"/>
    <w:rsid w:val="00601EB2"/>
    <w:rsid w:val="006113EA"/>
    <w:rsid w:val="00630056"/>
    <w:rsid w:val="0063152B"/>
    <w:rsid w:val="00650F12"/>
    <w:rsid w:val="006715D9"/>
    <w:rsid w:val="00677CFA"/>
    <w:rsid w:val="00694533"/>
    <w:rsid w:val="0069582C"/>
    <w:rsid w:val="006A07E4"/>
    <w:rsid w:val="006B077A"/>
    <w:rsid w:val="006D3AC4"/>
    <w:rsid w:val="006E10AE"/>
    <w:rsid w:val="006E2A59"/>
    <w:rsid w:val="006E3E5A"/>
    <w:rsid w:val="006E732A"/>
    <w:rsid w:val="006F1FE2"/>
    <w:rsid w:val="006F4D36"/>
    <w:rsid w:val="006F528F"/>
    <w:rsid w:val="00707C79"/>
    <w:rsid w:val="00712C63"/>
    <w:rsid w:val="00716B78"/>
    <w:rsid w:val="007224EF"/>
    <w:rsid w:val="00732FD4"/>
    <w:rsid w:val="00740998"/>
    <w:rsid w:val="007439DA"/>
    <w:rsid w:val="0074638E"/>
    <w:rsid w:val="00747283"/>
    <w:rsid w:val="007531CB"/>
    <w:rsid w:val="00754D8D"/>
    <w:rsid w:val="00756BD8"/>
    <w:rsid w:val="00756FCB"/>
    <w:rsid w:val="00765987"/>
    <w:rsid w:val="00770197"/>
    <w:rsid w:val="00770518"/>
    <w:rsid w:val="0077170B"/>
    <w:rsid w:val="00781227"/>
    <w:rsid w:val="00795D59"/>
    <w:rsid w:val="007978ED"/>
    <w:rsid w:val="007A1279"/>
    <w:rsid w:val="007A2C5C"/>
    <w:rsid w:val="007A6E74"/>
    <w:rsid w:val="007B2C31"/>
    <w:rsid w:val="007B5B26"/>
    <w:rsid w:val="007C13A2"/>
    <w:rsid w:val="007C334B"/>
    <w:rsid w:val="007D21C8"/>
    <w:rsid w:val="007D2DD1"/>
    <w:rsid w:val="007E2F35"/>
    <w:rsid w:val="007F2C09"/>
    <w:rsid w:val="007F49E9"/>
    <w:rsid w:val="007F55E6"/>
    <w:rsid w:val="00801A4C"/>
    <w:rsid w:val="0081674B"/>
    <w:rsid w:val="008242AD"/>
    <w:rsid w:val="0083135A"/>
    <w:rsid w:val="008348B0"/>
    <w:rsid w:val="00852703"/>
    <w:rsid w:val="008539E2"/>
    <w:rsid w:val="00865088"/>
    <w:rsid w:val="008728A2"/>
    <w:rsid w:val="00875469"/>
    <w:rsid w:val="008763EE"/>
    <w:rsid w:val="0088600B"/>
    <w:rsid w:val="008877DC"/>
    <w:rsid w:val="00895B25"/>
    <w:rsid w:val="008A54F3"/>
    <w:rsid w:val="008A7DCB"/>
    <w:rsid w:val="008B4BD5"/>
    <w:rsid w:val="008B64B7"/>
    <w:rsid w:val="008C01E1"/>
    <w:rsid w:val="008C348A"/>
    <w:rsid w:val="008D3FC1"/>
    <w:rsid w:val="008D6A76"/>
    <w:rsid w:val="008F7C94"/>
    <w:rsid w:val="00904CEF"/>
    <w:rsid w:val="00905CB1"/>
    <w:rsid w:val="00910F4D"/>
    <w:rsid w:val="00916992"/>
    <w:rsid w:val="0092058B"/>
    <w:rsid w:val="00921BB0"/>
    <w:rsid w:val="00927903"/>
    <w:rsid w:val="00935B09"/>
    <w:rsid w:val="009479C7"/>
    <w:rsid w:val="00962080"/>
    <w:rsid w:val="009624B5"/>
    <w:rsid w:val="00972F8E"/>
    <w:rsid w:val="00987EE5"/>
    <w:rsid w:val="009A22B3"/>
    <w:rsid w:val="009B0E0C"/>
    <w:rsid w:val="009B15AC"/>
    <w:rsid w:val="009B77A2"/>
    <w:rsid w:val="009D0038"/>
    <w:rsid w:val="009D5EA8"/>
    <w:rsid w:val="009E184F"/>
    <w:rsid w:val="009F45CF"/>
    <w:rsid w:val="00A00610"/>
    <w:rsid w:val="00A01039"/>
    <w:rsid w:val="00A035CE"/>
    <w:rsid w:val="00A04EC2"/>
    <w:rsid w:val="00A206B1"/>
    <w:rsid w:val="00A24D5A"/>
    <w:rsid w:val="00A26A4F"/>
    <w:rsid w:val="00A32472"/>
    <w:rsid w:val="00A4046C"/>
    <w:rsid w:val="00A46451"/>
    <w:rsid w:val="00A47D8C"/>
    <w:rsid w:val="00A53AFD"/>
    <w:rsid w:val="00A553F4"/>
    <w:rsid w:val="00A55BAD"/>
    <w:rsid w:val="00A60207"/>
    <w:rsid w:val="00A62A91"/>
    <w:rsid w:val="00A7041B"/>
    <w:rsid w:val="00A70900"/>
    <w:rsid w:val="00A731FF"/>
    <w:rsid w:val="00A77B32"/>
    <w:rsid w:val="00A85D25"/>
    <w:rsid w:val="00A94AE1"/>
    <w:rsid w:val="00A94DE6"/>
    <w:rsid w:val="00A950B5"/>
    <w:rsid w:val="00AA56D1"/>
    <w:rsid w:val="00AC01C6"/>
    <w:rsid w:val="00AC270A"/>
    <w:rsid w:val="00AC514E"/>
    <w:rsid w:val="00AC7592"/>
    <w:rsid w:val="00AD0509"/>
    <w:rsid w:val="00AD1E63"/>
    <w:rsid w:val="00AD5E30"/>
    <w:rsid w:val="00AD60A0"/>
    <w:rsid w:val="00AE0FE7"/>
    <w:rsid w:val="00AF1B32"/>
    <w:rsid w:val="00AF2132"/>
    <w:rsid w:val="00B02A84"/>
    <w:rsid w:val="00B13C26"/>
    <w:rsid w:val="00B22525"/>
    <w:rsid w:val="00B33893"/>
    <w:rsid w:val="00B456B1"/>
    <w:rsid w:val="00B64B94"/>
    <w:rsid w:val="00B666B2"/>
    <w:rsid w:val="00B70D4C"/>
    <w:rsid w:val="00B83F8A"/>
    <w:rsid w:val="00B869EA"/>
    <w:rsid w:val="00B86AA4"/>
    <w:rsid w:val="00B87F8B"/>
    <w:rsid w:val="00B92CDD"/>
    <w:rsid w:val="00B93F4B"/>
    <w:rsid w:val="00B97F43"/>
    <w:rsid w:val="00BA44A7"/>
    <w:rsid w:val="00BC26D2"/>
    <w:rsid w:val="00BD7730"/>
    <w:rsid w:val="00BF7212"/>
    <w:rsid w:val="00C01BAE"/>
    <w:rsid w:val="00C032EB"/>
    <w:rsid w:val="00C03AB4"/>
    <w:rsid w:val="00C11408"/>
    <w:rsid w:val="00C114E3"/>
    <w:rsid w:val="00C20269"/>
    <w:rsid w:val="00C20D0B"/>
    <w:rsid w:val="00C22CFF"/>
    <w:rsid w:val="00C321F3"/>
    <w:rsid w:val="00C43D85"/>
    <w:rsid w:val="00C44FC3"/>
    <w:rsid w:val="00C51E67"/>
    <w:rsid w:val="00C56CA6"/>
    <w:rsid w:val="00C6253D"/>
    <w:rsid w:val="00C723E6"/>
    <w:rsid w:val="00C73C92"/>
    <w:rsid w:val="00C7452E"/>
    <w:rsid w:val="00C74AE2"/>
    <w:rsid w:val="00C75E7E"/>
    <w:rsid w:val="00CA336A"/>
    <w:rsid w:val="00CA7436"/>
    <w:rsid w:val="00CB6640"/>
    <w:rsid w:val="00CC41BC"/>
    <w:rsid w:val="00CC4825"/>
    <w:rsid w:val="00CC4A24"/>
    <w:rsid w:val="00CD0E21"/>
    <w:rsid w:val="00CD5BA4"/>
    <w:rsid w:val="00CE5FE7"/>
    <w:rsid w:val="00CE6554"/>
    <w:rsid w:val="00CF03F1"/>
    <w:rsid w:val="00CF2597"/>
    <w:rsid w:val="00CF2D19"/>
    <w:rsid w:val="00CF7387"/>
    <w:rsid w:val="00D1479E"/>
    <w:rsid w:val="00D16B02"/>
    <w:rsid w:val="00D22031"/>
    <w:rsid w:val="00D43E1E"/>
    <w:rsid w:val="00D44F9E"/>
    <w:rsid w:val="00D5093D"/>
    <w:rsid w:val="00D50DB7"/>
    <w:rsid w:val="00D516BE"/>
    <w:rsid w:val="00D55460"/>
    <w:rsid w:val="00D83674"/>
    <w:rsid w:val="00D8434C"/>
    <w:rsid w:val="00D84CFD"/>
    <w:rsid w:val="00D85017"/>
    <w:rsid w:val="00D91697"/>
    <w:rsid w:val="00D94CB8"/>
    <w:rsid w:val="00D95E7A"/>
    <w:rsid w:val="00D960F2"/>
    <w:rsid w:val="00DA63D9"/>
    <w:rsid w:val="00DB11A6"/>
    <w:rsid w:val="00DC08E5"/>
    <w:rsid w:val="00DE5896"/>
    <w:rsid w:val="00DF1084"/>
    <w:rsid w:val="00DF34FB"/>
    <w:rsid w:val="00DF6A2F"/>
    <w:rsid w:val="00DF6B78"/>
    <w:rsid w:val="00E0353D"/>
    <w:rsid w:val="00E120A0"/>
    <w:rsid w:val="00E13282"/>
    <w:rsid w:val="00E1398F"/>
    <w:rsid w:val="00E16B23"/>
    <w:rsid w:val="00E20EA1"/>
    <w:rsid w:val="00E21DA0"/>
    <w:rsid w:val="00E25D13"/>
    <w:rsid w:val="00E27F53"/>
    <w:rsid w:val="00E5470D"/>
    <w:rsid w:val="00E70A4A"/>
    <w:rsid w:val="00E81CEB"/>
    <w:rsid w:val="00EA21C3"/>
    <w:rsid w:val="00EA221D"/>
    <w:rsid w:val="00EA67E4"/>
    <w:rsid w:val="00EC09DC"/>
    <w:rsid w:val="00ED19C9"/>
    <w:rsid w:val="00ED2D4C"/>
    <w:rsid w:val="00ED4F0E"/>
    <w:rsid w:val="00EF6E7C"/>
    <w:rsid w:val="00F02758"/>
    <w:rsid w:val="00F24110"/>
    <w:rsid w:val="00F2480E"/>
    <w:rsid w:val="00F3164E"/>
    <w:rsid w:val="00F40F2B"/>
    <w:rsid w:val="00F43EB1"/>
    <w:rsid w:val="00F50610"/>
    <w:rsid w:val="00F50814"/>
    <w:rsid w:val="00F558C4"/>
    <w:rsid w:val="00F6027E"/>
    <w:rsid w:val="00F670AA"/>
    <w:rsid w:val="00F731B1"/>
    <w:rsid w:val="00F77E33"/>
    <w:rsid w:val="00F80B15"/>
    <w:rsid w:val="00F84A77"/>
    <w:rsid w:val="00F879CF"/>
    <w:rsid w:val="00F91B3F"/>
    <w:rsid w:val="00F91FA9"/>
    <w:rsid w:val="00F933BF"/>
    <w:rsid w:val="00FA53F9"/>
    <w:rsid w:val="00FA54FA"/>
    <w:rsid w:val="00FC787C"/>
    <w:rsid w:val="00FE29B6"/>
    <w:rsid w:val="00FE4285"/>
    <w:rsid w:val="00FE4EC4"/>
    <w:rsid w:val="00FF154B"/>
    <w:rsid w:val="00FF169B"/>
    <w:rsid w:val="18F04008"/>
    <w:rsid w:val="29074CF0"/>
    <w:rsid w:val="37445000"/>
    <w:rsid w:val="76857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1"/>
    <w:autoRedefine/>
    <w:qFormat/>
    <w:uiPriority w:val="0"/>
    <w:rPr>
      <w:rFonts w:ascii="宋体"/>
      <w:sz w:val="18"/>
      <w:szCs w:val="18"/>
    </w:rPr>
  </w:style>
  <w:style w:type="paragraph" w:styleId="3">
    <w:name w:val="Balloon Text"/>
    <w:basedOn w:val="1"/>
    <w:autoRedefine/>
    <w:semiHidden/>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uiPriority w:val="99"/>
    <w:pPr>
      <w:widowControl/>
      <w:jc w:val="left"/>
    </w:pPr>
    <w:rPr>
      <w:rFonts w:ascii="宋体" w:hAnsi="宋体" w:cs="宋体"/>
      <w:kern w:val="0"/>
      <w:sz w:val="24"/>
    </w:rPr>
  </w:style>
  <w:style w:type="table" w:styleId="8">
    <w:name w:val="Table Grid"/>
    <w:basedOn w:val="7"/>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Hyperlink"/>
    <w:autoRedefine/>
    <w:qFormat/>
    <w:uiPriority w:val="0"/>
    <w:rPr>
      <w:color w:val="0000FF"/>
      <w:u w:val="single"/>
    </w:rPr>
  </w:style>
  <w:style w:type="character" w:customStyle="1" w:styleId="11">
    <w:name w:val="文档结构图 字符"/>
    <w:link w:val="2"/>
    <w:autoRedefine/>
    <w:qFormat/>
    <w:uiPriority w:val="0"/>
    <w:rPr>
      <w:rFonts w:ascii="宋体"/>
      <w:kern w:val="2"/>
      <w:sz w:val="18"/>
      <w:szCs w:val="18"/>
    </w:rPr>
  </w:style>
  <w:style w:type="character" w:customStyle="1" w:styleId="12">
    <w:name w:val="页脚 字符"/>
    <w:link w:val="4"/>
    <w:autoRedefine/>
    <w:qFormat/>
    <w:uiPriority w:val="99"/>
    <w:rPr>
      <w:kern w:val="2"/>
      <w:sz w:val="18"/>
      <w:szCs w:val="18"/>
    </w:rPr>
  </w:style>
  <w:style w:type="character" w:customStyle="1" w:styleId="13">
    <w:name w:val="页眉 字符"/>
    <w:link w:val="5"/>
    <w:autoRedefine/>
    <w:qFormat/>
    <w:uiPriority w:val="0"/>
    <w:rPr>
      <w:kern w:val="2"/>
      <w:sz w:val="18"/>
      <w:szCs w:val="18"/>
    </w:rPr>
  </w:style>
  <w:style w:type="paragraph" w:customStyle="1" w:styleId="14">
    <w:name w:val="Char"/>
    <w:basedOn w:val="1"/>
    <w:uiPriority w:val="0"/>
    <w:pPr>
      <w:keepNext/>
      <w:tabs>
        <w:tab w:val="left" w:pos="2940"/>
      </w:tabs>
      <w:autoSpaceDE w:val="0"/>
      <w:autoSpaceDN w:val="0"/>
      <w:adjustRightInd w:val="0"/>
      <w:ind w:hanging="420"/>
      <w:jc w:val="left"/>
    </w:pPr>
    <w:rPr>
      <w:sz w:val="20"/>
      <w:szCs w:val="20"/>
    </w:r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自定义正文"/>
    <w:basedOn w:val="1"/>
    <w:uiPriority w:val="0"/>
    <w:pPr>
      <w:adjustRightInd w:val="0"/>
      <w:snapToGrid w:val="0"/>
      <w:spacing w:line="360" w:lineRule="auto"/>
    </w:pPr>
    <w:rPr>
      <w:bCs/>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cern</Company>
  <Pages>3</Pages>
  <Words>1258</Words>
  <Characters>1012</Characters>
  <Lines>8</Lines>
  <Paragraphs>4</Paragraphs>
  <TotalTime>5</TotalTime>
  <ScaleCrop>false</ScaleCrop>
  <LinksUpToDate>false</LinksUpToDate>
  <CharactersWithSpaces>2266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2022-10-11T12:35:00Z</dcterms:created>
  <dc:creator>cern</dc:creator>
  <cp:lastModifiedBy>南岸青栀</cp:lastModifiedBy>
  <cp:lastPrinted>2008-05-05T06:54:00Z</cp:lastPrinted>
  <dcterms:modified xsi:type="dcterms:W3CDTF">2024-01-18T05:29:45Z</dcterms:modified>
  <dc:title>973计划资源环境领域项目数据汇交</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6FFA4BD5484D428E9FCD7F3CB1253812</vt:lpwstr>
  </property>
</Properties>
</file>