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F2555"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anchor>
            </w:drawing>
          </mc:Choice>
          <mc:Fallback>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ubZ8AEAAK0DAAAOAAAAZHJzL2Uyb0RvYy54bWysU9tu2zAMfR+wfxD0vvjSOF2COEXRIsOA&#10;Ygva7QMUWY4F6DZKiZ3P2bfsx0bJXputb8VgQCZFmjznkF7fDFqRkwAvralpMcspEYbbRppDTb9/&#10;2374SIkPzDRMWSNqehae3mzev1v3biVK21nVCCBYxPhV72raheBWWeZ5JzTzM+uEwWBrQbOALhyy&#10;BliP1bXKyjxfZL2FxoHlwnu8vR+DdJPqt63g4WvbehGIqiliC+mEdO7jmW3WbHUA5jrJJxjsDSg0&#10;kwabPpe6Z4GRI8hXpbTkYL1tw4xbndm2lVwkDsimyP9h89QxJxIXFMe7Z5n8/yvLv5x2QGRT03JJ&#10;iWEaZ/SIqv36aQ5HZQneokS98yvMfHI7mDyPZuQ7tKDjG5mQoabzYjFf5ij0uaZX8+X1vKxGicUQ&#10;CMeE8mpR4two4ZhRLaqiSjPIXio58OGTsJpEo6aAYJKy7PTgA3bH1D8psbG3SjZbqVRy4LC/U0BO&#10;DMd9W8UntsdP/kpTJiYbGz8bw/EmiyxHXtEKw36YyO5tc0aVvONbiaAemA87BrgnBSU97k5N/Y8j&#10;A0GJ+mxwOMsi8iYhOfPqOvKFy8j+MsIM7yyuZKBkNO9CWtAR4+0x2FYm4hHVCGUCizuRyE37G5fu&#10;0k9ZL3/Z5jcAAAD//wMAUEsDBBQABgAIAAAAIQCOXpA23wAAAAsBAAAPAAAAZHJzL2Rvd25yZXYu&#10;eG1sTI/NTsMwEITvSLyDtUjcWhuL/ijEqRAiN5CgzYWba5skSryOYicNb8/2BKfd1Yxmv8kPi+/Z&#10;7MbYBlTwsBbAHJpgW6wVVKdytQcWk0ar+4BOwY+LcChub3Kd2XDBTzcfU80oBGOmFTQpDRnn0TTO&#10;67gOg0PSvsPodaJzrLkd9YXCfc+lEFvudYv0odGDe2mc6Y6TV9BVnRFvr3P1/mG8/ApTKawslbq/&#10;W56fgCW3pD8zXPEJHQpiOocJbWS9gpWUWyqTFOwlzavjcbcBdqZlJzfAi5z/71D8AgAA//8DAFBL&#10;AQItABQABgAIAAAAIQC2gziS/gAAAOEBAAATAAAAAAAAAAAAAAAAAAAAAABbQ29udGVudF9UeXBl&#10;c10ueG1sUEsBAi0AFAAGAAgAAAAhADj9If/WAAAAlAEAAAsAAAAAAAAAAAAAAAAALwEAAF9yZWxz&#10;Ly5yZWxzUEsBAi0AFAAGAAgAAAAhAGqe5tnwAQAArQMAAA4AAAAAAAAAAAAAAAAALgIAAGRycy9l&#10;Mm9Eb2MueG1sUEsBAi0AFAAGAAgAAAAhAI5ekDbfAAAACwEAAA8AAAAAAAAAAAAAAAAASgQAAGRy&#10;cy9kb3ducmV2LnhtbFBLBQYAAAAABAAEAPMAAABWBQAAAAA=&#10;" fillcolor="#a5a5a5" stroked="f">
                <v:textbox inset="2.53958mm,1.2694mm,2.53958mm,1.2694mm">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v:textbox>
              </v:rect>
            </w:pict>
          </mc:Fallback>
        </mc:AlternateContent>
      </w:r>
    </w:p>
    <w:p w14:paraId="46480013"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152567A1">
                <wp:simplePos x="0" y="0"/>
                <wp:positionH relativeFrom="column">
                  <wp:posOffset>571500</wp:posOffset>
                </wp:positionH>
                <wp:positionV relativeFrom="paragraph">
                  <wp:posOffset>12700</wp:posOffset>
                </wp:positionV>
                <wp:extent cx="5772785" cy="573405"/>
                <wp:effectExtent l="0" t="0" r="0" b="0"/>
                <wp:wrapNone/>
                <wp:docPr id="30" name="Rectángulo 30"/>
                <wp:cNvGraphicFramePr/>
                <a:graphic xmlns:a="http://schemas.openxmlformats.org/drawingml/2006/main">
                  <a:graphicData uri="http://schemas.microsoft.com/office/word/2010/wordprocessingShape">
                    <wps:wsp>
                      <wps:cNvSpPr/>
                      <wps:spPr>
                        <a:xfrm>
                          <a:off x="2464370" y="3498060"/>
                          <a:ext cx="5763260" cy="563880"/>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anchor>
            </w:drawing>
          </mc:Choice>
          <mc:Fallback>
            <w:pict>
              <v:rect w14:anchorId="762F7195" id="Rectángulo 30" o:spid="_x0000_s1027" style="position:absolute;left:0;text-align:left;margin-left:45pt;margin-top:1pt;width:454.55pt;height:45.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zI8wEAALQDAAAOAAAAZHJzL2Uyb0RvYy54bWysU22O0zAQ/Y/EHSz/p0n6kWajpiu0VRHS&#10;CioWDuA4TmPJsc3YbdLjcBYuxtjp7hb4h1AkZ8YzeX7vebK5H3tFzgKcNLqi2SylRGhuGqmPFf32&#10;df+uoMR5phumjBYVvQhH77dv32wGW4q56YxqBBAE0a4cbEU7722ZJI53omduZqzQWGwN9MxjCsek&#10;ATYgeq+SeZrmyWCgsWC4cA53d1ORbiN+2wruP7etE56oiiI3H1eIax3WZLth5RGY7SS/0mD/wKJn&#10;UuOhL1A75hk5gfwLqpccjDOtn3HTJ6ZtJRdRA6rJ0j/UPHXMiqgFzXH2xSb3/2D5p/MBiGwqukB7&#10;NOvxjr6gaz9/6ONJGYK7aNFgXYmdT/YA18xhGPSOLfThjUrIWNH5Ml8u1oh0QcDlXZHmV4vF6AnH&#10;htU6X8xxk3DsWOWLoogNySuSBec/CNOTEFQUkEx0lp0fncfTsfW5JRzsjJLNXioVEzjWDwrImeF1&#10;74rwBPr4yW9tSodmbcJnUznsJEHlpCtEfqzHaEz27EBtmgua5SzfS+T2yJw/MMBxySgZcIQq6r6f&#10;GAhK1EeNd3SXLecrnLmYLFfrFGXDbaW+rTDNO4OT6SmZwgcf53Si+v7kTSuj/kBuonLljKMRNV7H&#10;OMzebR67Xn+27S8AAAD//wMAUEsDBBQABgAIAAAAIQDNvwic3QAAAAcBAAAPAAAAZHJzL2Rvd25y&#10;ZXYueG1sTI/NTsQwDITvSLxDZCQuiE23/IiWpiuEtEfYZdkHSBvTFBqnNOkPPD3mBCePNdbM52Kz&#10;uE5MOITWk4L1KgGBVHvTUqPg+Lq9vAMRoiajO0+o4AsDbMrTk0Lnxs/0gtMhNoJDKORagY2xz6UM&#10;tUWnw8r3SOy9+cHpyOvQSDPomcNdJ9MkuZVOt8QNVvf4aLH+OIxOwf59rG76i/Zpe/ycn68nY3e7&#10;b6vU+dnycA8i4hL/juEXn9GhZKbKj2SC6BRkCb8SFaQ82M6ybA2iYpFegSwL+Z+//AEAAP//AwBQ&#10;SwECLQAUAAYACAAAACEAtoM4kv4AAADhAQAAEwAAAAAAAAAAAAAAAAAAAAAAW0NvbnRlbnRfVHlw&#10;ZXNdLnhtbFBLAQItABQABgAIAAAAIQA4/SH/1gAAAJQBAAALAAAAAAAAAAAAAAAAAC8BAABfcmVs&#10;cy8ucmVsc1BLAQItABQABgAIAAAAIQBzm1zI8wEAALQDAAAOAAAAAAAAAAAAAAAAAC4CAABkcnMv&#10;ZTJvRG9jLnhtbFBLAQItABQABgAIAAAAIQDNvwic3QAAAAcBAAAPAAAAAAAAAAAAAAAAAE0EAABk&#10;cnMvZG93bnJldi54bWxQSwUGAAAAAAQABADzAAAAVwU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pPr>
        <w:pStyle w:val="Heading2"/>
        <w:spacing w:after="60" w:line="240" w:lineRule="auto"/>
        <w:ind w:firstLine="709"/>
        <w:rPr>
          <w:rFonts w:ascii="Garamond" w:eastAsia="Garamond" w:hAnsi="Garamond" w:cs="Garamond"/>
          <w:smallCaps/>
          <w:sz w:val="50"/>
          <w:szCs w:val="50"/>
        </w:rPr>
      </w:pPr>
    </w:p>
    <w:p w14:paraId="4094AE38" w14:textId="22EC6F8A" w:rsidR="00312C78" w:rsidRDefault="00312C78" w:rsidP="008D02B4">
      <w:pPr>
        <w:jc w:val="right"/>
        <w:rPr>
          <w:rFonts w:ascii="Garamond" w:eastAsia="Garamond" w:hAnsi="Garamond" w:cs="Garamond"/>
          <w:b/>
          <w:bCs/>
          <w:smallCaps/>
          <w:sz w:val="44"/>
          <w:szCs w:val="44"/>
          <w:lang w:val="es-AR"/>
        </w:rPr>
      </w:pPr>
      <w:r w:rsidRPr="00312C78">
        <w:rPr>
          <w:rFonts w:ascii="Garamond" w:eastAsia="Garamond" w:hAnsi="Garamond" w:cs="Garamond"/>
          <w:b/>
          <w:bCs/>
          <w:smallCaps/>
          <w:sz w:val="44"/>
          <w:szCs w:val="44"/>
          <w:lang w:val="es-AR"/>
        </w:rPr>
        <w:t xml:space="preserve">Sobre </w:t>
      </w:r>
      <w:r w:rsidRPr="00312C78">
        <w:rPr>
          <w:rFonts w:ascii="Garamond" w:eastAsia="Garamond" w:hAnsi="Garamond" w:cs="Garamond"/>
          <w:b/>
          <w:bCs/>
          <w:i/>
          <w:smallCaps/>
          <w:sz w:val="44"/>
          <w:szCs w:val="44"/>
          <w:lang w:val="es-AR"/>
        </w:rPr>
        <w:t>Ficciones fónicas. Materias, paisajes, insistencias de la voz</w:t>
      </w:r>
    </w:p>
    <w:p w14:paraId="3064A351" w14:textId="7F2BC53E" w:rsidR="001E6F61" w:rsidRDefault="00312C78" w:rsidP="008D02B4">
      <w:pPr>
        <w:jc w:val="right"/>
        <w:rPr>
          <w:rFonts w:ascii="Garamond" w:eastAsia="Garamond" w:hAnsi="Garamond" w:cs="Garamond"/>
          <w:b/>
          <w:bCs/>
          <w:iCs/>
          <w:smallCaps/>
          <w:sz w:val="36"/>
          <w:szCs w:val="36"/>
          <w:lang w:val="es-AR"/>
        </w:rPr>
      </w:pPr>
      <w:r w:rsidRPr="00312C78">
        <w:rPr>
          <w:rFonts w:ascii="Garamond" w:eastAsia="Garamond" w:hAnsi="Garamond" w:cs="Garamond"/>
          <w:b/>
          <w:bCs/>
          <w:iCs/>
          <w:smallCaps/>
          <w:sz w:val="36"/>
          <w:szCs w:val="36"/>
          <w:lang w:val="es-AR"/>
        </w:rPr>
        <w:t xml:space="preserve">Gabriela </w:t>
      </w:r>
      <w:proofErr w:type="spellStart"/>
      <w:r w:rsidRPr="00312C78">
        <w:rPr>
          <w:rFonts w:ascii="Garamond" w:eastAsia="Garamond" w:hAnsi="Garamond" w:cs="Garamond"/>
          <w:b/>
          <w:bCs/>
          <w:iCs/>
          <w:smallCaps/>
          <w:sz w:val="36"/>
          <w:szCs w:val="36"/>
          <w:lang w:val="es-AR"/>
        </w:rPr>
        <w:t>Milone</w:t>
      </w:r>
      <w:proofErr w:type="spellEnd"/>
    </w:p>
    <w:p w14:paraId="4D3AD761" w14:textId="77777777" w:rsidR="00312C78" w:rsidRPr="00677181" w:rsidRDefault="00312C78" w:rsidP="008D02B4">
      <w:pPr>
        <w:jc w:val="right"/>
        <w:rPr>
          <w:rFonts w:eastAsia="Garamond"/>
        </w:rPr>
      </w:pPr>
    </w:p>
    <w:p w14:paraId="7F7A4AEA" w14:textId="7A4E6169" w:rsidR="001E4283" w:rsidRDefault="00312C78">
      <w:pPr>
        <w:pStyle w:val="Heading2"/>
        <w:spacing w:after="60" w:line="240" w:lineRule="auto"/>
        <w:ind w:firstLine="709"/>
        <w:rPr>
          <w:rFonts w:ascii="Garamond" w:eastAsia="Garamond" w:hAnsi="Garamond" w:cs="Garamond"/>
          <w:sz w:val="30"/>
          <w:szCs w:val="30"/>
        </w:rPr>
      </w:pPr>
      <w:r w:rsidRPr="00312C78">
        <w:rPr>
          <w:rFonts w:ascii="Garamond" w:eastAsia="Garamond" w:hAnsi="Garamond"/>
          <w:b w:val="0"/>
          <w:bCs w:val="0"/>
          <w:iCs w:val="0"/>
          <w:sz w:val="30"/>
          <w:szCs w:val="30"/>
          <w:lang w:val="es-AR"/>
        </w:rPr>
        <w:t>Ediciones Mímesis, 2022</w:t>
      </w:r>
    </w:p>
    <w:p w14:paraId="313EA4EA" w14:textId="77777777" w:rsidR="001E4283" w:rsidRDefault="001E4283" w:rsidP="009225AF">
      <w:pPr>
        <w:pStyle w:val="Heading2"/>
        <w:spacing w:after="60" w:line="240" w:lineRule="auto"/>
        <w:jc w:val="left"/>
        <w:rPr>
          <w:rFonts w:ascii="Garamond" w:eastAsia="Garamond" w:hAnsi="Garamond" w:cs="Garamond"/>
          <w:sz w:val="30"/>
          <w:szCs w:val="30"/>
        </w:rPr>
      </w:pPr>
    </w:p>
    <w:p w14:paraId="5AD79469" w14:textId="412C0D9D" w:rsidR="001E4283" w:rsidRPr="009225AF" w:rsidRDefault="00677181" w:rsidP="009225AF">
      <w:pPr>
        <w:jc w:val="right"/>
        <w:rPr>
          <w:rFonts w:ascii="Garamond" w:hAnsi="Garamond"/>
          <w:sz w:val="36"/>
          <w:szCs w:val="36"/>
        </w:rPr>
      </w:pPr>
      <w:r w:rsidRPr="00677181">
        <w:rPr>
          <w:rFonts w:ascii="Garamond" w:hAnsi="Garamond"/>
          <w:sz w:val="36"/>
          <w:szCs w:val="36"/>
        </w:rPr>
        <w:t>po</w:t>
      </w:r>
      <w:r w:rsidR="009225AF">
        <w:rPr>
          <w:rFonts w:ascii="Garamond" w:hAnsi="Garamond"/>
          <w:sz w:val="36"/>
          <w:szCs w:val="36"/>
        </w:rPr>
        <w:t>r</w:t>
      </w:r>
    </w:p>
    <w:p w14:paraId="1B657017" w14:textId="77777777" w:rsidR="001E4283" w:rsidRDefault="001E4283"/>
    <w:p w14:paraId="1D89E412" w14:textId="375C91A3" w:rsidR="001E4283" w:rsidRDefault="001E4283"/>
    <w:p w14:paraId="754BE2F8" w14:textId="7B4F2C3E" w:rsidR="00312C78" w:rsidRDefault="00312C78"/>
    <w:p w14:paraId="276132F2" w14:textId="56EC4175" w:rsidR="00312C78" w:rsidRDefault="00312C78"/>
    <w:p w14:paraId="409813A6" w14:textId="2536A198" w:rsidR="00312C78" w:rsidRDefault="00312C78"/>
    <w:p w14:paraId="3BE21956" w14:textId="6BF2DF44" w:rsidR="00312C78" w:rsidRDefault="00312C78"/>
    <w:p w14:paraId="5F6C2A8A" w14:textId="53A8CD45" w:rsidR="00312C78" w:rsidRDefault="00312C78"/>
    <w:p w14:paraId="0DD7A171" w14:textId="77777777" w:rsidR="00312C78" w:rsidRDefault="00312C78"/>
    <w:p w14:paraId="092DF9C6" w14:textId="77777777" w:rsidR="00312C78" w:rsidRPr="00312C78" w:rsidRDefault="00312C78" w:rsidP="00312C78">
      <w:pPr>
        <w:ind w:firstLine="709"/>
        <w:jc w:val="right"/>
        <w:rPr>
          <w:rFonts w:ascii="Garamond" w:eastAsia="Garamond" w:hAnsi="Garamond" w:cs="Garamond"/>
          <w:b/>
          <w:bCs/>
          <w:iCs/>
          <w:sz w:val="30"/>
          <w:szCs w:val="30"/>
          <w:lang w:val="es-AR"/>
        </w:rPr>
      </w:pPr>
      <w:r w:rsidRPr="00312C78">
        <w:rPr>
          <w:rFonts w:ascii="Garamond" w:eastAsia="Garamond" w:hAnsi="Garamond" w:cs="Garamond"/>
          <w:b/>
          <w:bCs/>
          <w:iCs/>
          <w:sz w:val="30"/>
          <w:szCs w:val="30"/>
          <w:lang w:val="es-AR"/>
        </w:rPr>
        <w:t xml:space="preserve">Diego </w:t>
      </w:r>
      <w:proofErr w:type="spellStart"/>
      <w:r w:rsidRPr="00312C78">
        <w:rPr>
          <w:rFonts w:ascii="Garamond" w:eastAsia="Garamond" w:hAnsi="Garamond" w:cs="Garamond"/>
          <w:b/>
          <w:bCs/>
          <w:iCs/>
          <w:sz w:val="30"/>
          <w:szCs w:val="30"/>
          <w:lang w:val="es-AR"/>
        </w:rPr>
        <w:t>Carballar</w:t>
      </w:r>
      <w:proofErr w:type="spellEnd"/>
      <w:r w:rsidRPr="00312C78">
        <w:rPr>
          <w:rFonts w:ascii="Garamond" w:eastAsia="Garamond" w:hAnsi="Garamond" w:cs="Garamond"/>
          <w:b/>
          <w:bCs/>
          <w:iCs/>
          <w:sz w:val="30"/>
          <w:szCs w:val="30"/>
          <w:lang w:val="es-AR"/>
        </w:rPr>
        <w:t xml:space="preserve"> </w:t>
      </w:r>
    </w:p>
    <w:p w14:paraId="6CC39A84" w14:textId="77777777" w:rsidR="00312C78" w:rsidRPr="00312C78" w:rsidRDefault="00312C78" w:rsidP="00312C78">
      <w:pPr>
        <w:ind w:firstLine="709"/>
        <w:jc w:val="right"/>
        <w:rPr>
          <w:rFonts w:ascii="Agency FB" w:eastAsia="Teko" w:hAnsi="Agency FB" w:cs="Teko"/>
          <w:b/>
          <w:bCs/>
          <w:iCs/>
          <w:spacing w:val="-4"/>
          <w:lang w:val="es-AR"/>
        </w:rPr>
      </w:pPr>
      <w:r w:rsidRPr="00312C78">
        <w:rPr>
          <w:rFonts w:ascii="Agency FB" w:eastAsia="Teko" w:hAnsi="Agency FB" w:cs="Teko"/>
          <w:b/>
          <w:bCs/>
          <w:iCs/>
          <w:spacing w:val="-4"/>
          <w:lang w:val="es-AR"/>
        </w:rPr>
        <w:t>Universidad Nacion</w:t>
      </w:r>
      <w:bookmarkStart w:id="0" w:name="_GoBack"/>
      <w:bookmarkEnd w:id="0"/>
      <w:r w:rsidRPr="00312C78">
        <w:rPr>
          <w:rFonts w:ascii="Agency FB" w:eastAsia="Teko" w:hAnsi="Agency FB" w:cs="Teko"/>
          <w:b/>
          <w:bCs/>
          <w:iCs/>
          <w:spacing w:val="-4"/>
          <w:lang w:val="es-AR"/>
        </w:rPr>
        <w:t xml:space="preserve">al de Tres de Febrero </w:t>
      </w:r>
    </w:p>
    <w:p w14:paraId="4051721B" w14:textId="77777777" w:rsidR="00312C78" w:rsidRPr="00312C78" w:rsidRDefault="00312C78" w:rsidP="00312C78">
      <w:pPr>
        <w:ind w:firstLine="709"/>
        <w:jc w:val="right"/>
        <w:rPr>
          <w:rFonts w:ascii="Garamond" w:hAnsi="Garamond"/>
          <w:i/>
          <w:iCs/>
          <w:sz w:val="22"/>
          <w:szCs w:val="22"/>
          <w:lang w:val="es-AR"/>
        </w:rPr>
      </w:pPr>
      <w:r w:rsidRPr="00312C78">
        <w:rPr>
          <w:rFonts w:ascii="Garamond" w:hAnsi="Garamond"/>
          <w:i/>
          <w:iCs/>
          <w:sz w:val="22"/>
          <w:szCs w:val="22"/>
          <w:lang w:val="es-AR"/>
        </w:rPr>
        <w:t xml:space="preserve">Licenciado en Letras (Facultad de Filosofía y Letras, Universidad de Buenos Aires, UBA), escritor, poeta y docente en la Maestría en Estudios Literarios Latinoamericanos (UNTREF) y en la Universidad Pedagógica Nacional. Participa de proyectos de investigación en la UBA y la UNTREF.  </w:t>
      </w:r>
    </w:p>
    <w:p w14:paraId="7181CDC0" w14:textId="2358EE56" w:rsidR="005C1EB4" w:rsidRPr="00B328FD" w:rsidRDefault="005D0F35" w:rsidP="005D0F35">
      <w:pPr>
        <w:ind w:firstLine="709"/>
        <w:jc w:val="right"/>
        <w:rPr>
          <w:rFonts w:ascii="Garamond" w:hAnsi="Garamond"/>
          <w:sz w:val="22"/>
          <w:szCs w:val="22"/>
          <w:lang w:val="es-AR"/>
        </w:rPr>
      </w:pPr>
      <w:r w:rsidRPr="005D0F35">
        <w:rPr>
          <w:rFonts w:ascii="Garamond" w:hAnsi="Garamond"/>
          <w:sz w:val="22"/>
          <w:szCs w:val="22"/>
        </w:rPr>
        <w:t xml:space="preserve">Correo electrónico: </w:t>
      </w:r>
      <w:hyperlink r:id="rId7" w:history="1">
        <w:r w:rsidR="00063CF5" w:rsidRPr="00063CF5">
          <w:rPr>
            <w:rStyle w:val="Hyperlink"/>
            <w:rFonts w:ascii="Garamond" w:hAnsi="Garamond"/>
            <w:sz w:val="22"/>
            <w:szCs w:val="22"/>
            <w:lang w:val="es-AR"/>
          </w:rPr>
          <w:t>diegocarballar@gmail.com</w:t>
        </w:r>
      </w:hyperlink>
    </w:p>
    <w:p w14:paraId="794F442B" w14:textId="5D7E3D29" w:rsidR="003C5BDD" w:rsidRDefault="005C1EB4" w:rsidP="00665B53">
      <w:pPr>
        <w:ind w:firstLine="709"/>
        <w:jc w:val="right"/>
        <w:rPr>
          <w:rFonts w:ascii="Garamond" w:hAnsi="Garamond"/>
          <w:sz w:val="22"/>
          <w:szCs w:val="22"/>
          <w:lang w:val="es-AR"/>
        </w:rPr>
      </w:pPr>
      <w:r w:rsidRPr="00063CF5">
        <w:rPr>
          <w:rFonts w:ascii="Garamond" w:hAnsi="Garamond"/>
          <w:sz w:val="22"/>
          <w:szCs w:val="22"/>
          <w:lang w:val="es-AR"/>
        </w:rPr>
        <w:t xml:space="preserve">ORCID: </w:t>
      </w:r>
      <w:hyperlink r:id="rId8" w:history="1">
        <w:r w:rsidR="00063CF5" w:rsidRPr="00063CF5">
          <w:rPr>
            <w:rStyle w:val="Hyperlink"/>
            <w:rFonts w:ascii="Garamond" w:hAnsi="Garamond"/>
            <w:sz w:val="22"/>
            <w:szCs w:val="22"/>
          </w:rPr>
          <w:t>0000-0002-4406-6496</w:t>
        </w:r>
      </w:hyperlink>
    </w:p>
    <w:p w14:paraId="7E82B723" w14:textId="76BB1D51" w:rsidR="00D8038A" w:rsidRPr="001E6F61" w:rsidRDefault="00D8038A" w:rsidP="00665B53">
      <w:pPr>
        <w:ind w:firstLine="709"/>
        <w:jc w:val="right"/>
        <w:rPr>
          <w:rFonts w:ascii="Garamond" w:hAnsi="Garamond"/>
          <w:sz w:val="22"/>
          <w:szCs w:val="22"/>
          <w:lang w:val="es-AR"/>
        </w:rPr>
      </w:pPr>
      <w:r w:rsidRPr="00063CF5">
        <w:rPr>
          <w:rFonts w:ascii="Garamond" w:hAnsi="Garamond"/>
          <w:sz w:val="22"/>
          <w:szCs w:val="22"/>
          <w:lang w:val="es-AR"/>
        </w:rPr>
        <w:t>DOI:</w:t>
      </w:r>
      <w:r w:rsidRPr="001E6F61">
        <w:rPr>
          <w:rFonts w:ascii="Garamond" w:hAnsi="Garamond"/>
          <w:sz w:val="22"/>
          <w:szCs w:val="22"/>
          <w:lang w:val="es-AR"/>
        </w:rPr>
        <w:t xml:space="preserve"> </w:t>
      </w:r>
      <w:r w:rsidR="00FA2526" w:rsidRPr="00FA2526">
        <w:rPr>
          <w:rFonts w:ascii="Garamond" w:hAnsi="Garamond"/>
          <w:sz w:val="22"/>
          <w:szCs w:val="22"/>
        </w:rPr>
        <w:t>10.5281/zenodo.10433576</w:t>
      </w:r>
    </w:p>
    <w:p w14:paraId="68607159" w14:textId="00E3C945" w:rsidR="003C5BDD" w:rsidRPr="001E6F61" w:rsidRDefault="003C5BDD">
      <w:pPr>
        <w:rPr>
          <w:rFonts w:ascii="Garamond" w:hAnsi="Garamond"/>
          <w:sz w:val="22"/>
          <w:szCs w:val="22"/>
          <w:lang w:val="es-AR"/>
        </w:rPr>
      </w:pPr>
    </w:p>
    <w:p w14:paraId="3DAD062D" w14:textId="77777777" w:rsidR="00D8038A" w:rsidRPr="001E6F61" w:rsidRDefault="00D8038A">
      <w:pPr>
        <w:rPr>
          <w:rFonts w:ascii="Garamond" w:hAnsi="Garamond"/>
          <w:sz w:val="22"/>
          <w:szCs w:val="22"/>
          <w:lang w:val="es-AR"/>
        </w:rPr>
      </w:pPr>
    </w:p>
    <w:p w14:paraId="20A36ED2" w14:textId="77777777" w:rsidR="001E4283" w:rsidRPr="001E6F61" w:rsidRDefault="001E4283" w:rsidP="00665B53">
      <w:pPr>
        <w:ind w:firstLine="709"/>
        <w:jc w:val="right"/>
        <w:rPr>
          <w:rFonts w:ascii="Garamond" w:hAnsi="Garamond"/>
          <w:sz w:val="22"/>
          <w:szCs w:val="22"/>
          <w:lang w:val="es-AR"/>
        </w:rPr>
      </w:pPr>
    </w:p>
    <w:p w14:paraId="70F72EBD" w14:textId="77777777" w:rsidR="001E4283" w:rsidRPr="001E6F61" w:rsidRDefault="001E4283">
      <w:pPr>
        <w:spacing w:after="60"/>
        <w:jc w:val="both"/>
        <w:rPr>
          <w:rFonts w:ascii="Garamond" w:eastAsia="Garamond" w:hAnsi="Garamond" w:cs="Garamond"/>
          <w:b/>
          <w:sz w:val="26"/>
          <w:szCs w:val="26"/>
          <w:lang w:val="es-AR"/>
        </w:rPr>
      </w:pPr>
    </w:p>
    <w:p w14:paraId="55C8F215" w14:textId="00EC95B1" w:rsidR="001E4283" w:rsidRPr="001E6F61" w:rsidRDefault="001E4283">
      <w:pPr>
        <w:spacing w:after="60"/>
        <w:jc w:val="both"/>
        <w:rPr>
          <w:rFonts w:ascii="Garamond" w:eastAsia="Garamond" w:hAnsi="Garamond" w:cs="Garamond"/>
          <w:b/>
          <w:sz w:val="26"/>
          <w:szCs w:val="26"/>
          <w:lang w:val="es-AR"/>
        </w:rPr>
      </w:pPr>
    </w:p>
    <w:p w14:paraId="0F374666" w14:textId="56947924" w:rsidR="0056725D" w:rsidRPr="001E6F61" w:rsidRDefault="0056725D">
      <w:pPr>
        <w:spacing w:after="60"/>
        <w:jc w:val="both"/>
        <w:rPr>
          <w:rFonts w:ascii="Garamond" w:eastAsia="Garamond" w:hAnsi="Garamond" w:cs="Garamond"/>
          <w:b/>
          <w:sz w:val="26"/>
          <w:szCs w:val="26"/>
          <w:lang w:val="es-AR"/>
        </w:rPr>
      </w:pPr>
    </w:p>
    <w:p w14:paraId="18F8475D" w14:textId="07D67E86" w:rsidR="0056725D" w:rsidRPr="001E6F61" w:rsidRDefault="0056725D">
      <w:pPr>
        <w:spacing w:after="60"/>
        <w:jc w:val="both"/>
        <w:rPr>
          <w:rFonts w:ascii="Garamond" w:eastAsia="Garamond" w:hAnsi="Garamond" w:cs="Garamond"/>
          <w:b/>
          <w:sz w:val="26"/>
          <w:szCs w:val="26"/>
          <w:lang w:val="es-AR"/>
        </w:rPr>
      </w:pPr>
    </w:p>
    <w:p w14:paraId="4FD38473" w14:textId="77777777" w:rsidR="003C5BDD" w:rsidRPr="003C5BDD" w:rsidRDefault="003C5BDD" w:rsidP="003C5BDD">
      <w:pPr>
        <w:spacing w:after="60"/>
        <w:jc w:val="both"/>
        <w:rPr>
          <w:rFonts w:ascii="Garamond" w:eastAsia="Garamond" w:hAnsi="Garamond" w:cs="Garamond"/>
          <w:sz w:val="26"/>
          <w:szCs w:val="26"/>
        </w:rPr>
      </w:pPr>
    </w:p>
    <w:p w14:paraId="17DC91BE" w14:textId="4B0CEA85" w:rsidR="00920EE5" w:rsidRDefault="00920EE5" w:rsidP="00920EE5">
      <w:pPr>
        <w:spacing w:after="60"/>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En el libro tal vez más </w:t>
      </w:r>
      <w:r w:rsidRPr="00920EE5">
        <w:rPr>
          <w:rFonts w:ascii="Garamond" w:eastAsia="Garamond" w:hAnsi="Garamond" w:cs="Garamond"/>
          <w:i/>
          <w:sz w:val="26"/>
          <w:szCs w:val="26"/>
          <w:lang w:val="es-AR"/>
        </w:rPr>
        <w:t>pop</w:t>
      </w:r>
      <w:r w:rsidRPr="00920EE5">
        <w:rPr>
          <w:rFonts w:ascii="Garamond" w:eastAsia="Garamond" w:hAnsi="Garamond" w:cs="Garamond"/>
          <w:sz w:val="26"/>
          <w:szCs w:val="26"/>
          <w:lang w:val="es-AR"/>
        </w:rPr>
        <w:t xml:space="preserve"> (por éxito comercial y diseminación) de su producción, </w:t>
      </w:r>
      <w:r w:rsidRPr="00920EE5">
        <w:rPr>
          <w:rFonts w:ascii="Garamond" w:eastAsia="Garamond" w:hAnsi="Garamond" w:cs="Garamond"/>
          <w:i/>
          <w:sz w:val="26"/>
          <w:szCs w:val="26"/>
          <w:lang w:val="es-AR"/>
        </w:rPr>
        <w:t xml:space="preserve">Fragmentos de un discurso amoroso, </w:t>
      </w:r>
      <w:r w:rsidRPr="00920EE5">
        <w:rPr>
          <w:rFonts w:ascii="Garamond" w:eastAsia="Garamond" w:hAnsi="Garamond" w:cs="Garamond"/>
          <w:sz w:val="26"/>
          <w:szCs w:val="26"/>
          <w:lang w:val="es-AR"/>
        </w:rPr>
        <w:t xml:space="preserve">Roland Barthes despliega una serie, que es una lectura, de figuras discursivas enhebradas en un juego de citas y referencias abierto y, hasta cierto punto, delirante. Alrededor de la idea del enamorado goethiano, el antiguo retórico juega con la imaginación del novelista: renuncia a los ejemplos y pasa a una “única acción de un lenguaje primero (y no de un metalenguaje)”. Al comienzo de </w:t>
      </w:r>
      <w:r w:rsidRPr="00920EE5">
        <w:rPr>
          <w:rFonts w:ascii="Garamond" w:eastAsia="Garamond" w:hAnsi="Garamond" w:cs="Garamond"/>
          <w:i/>
          <w:sz w:val="26"/>
          <w:szCs w:val="26"/>
          <w:lang w:val="es-AR"/>
        </w:rPr>
        <w:t>Fragmentos</w:t>
      </w:r>
      <w:r w:rsidRPr="00920EE5">
        <w:rPr>
          <w:rFonts w:ascii="Garamond" w:eastAsia="Garamond" w:hAnsi="Garamond" w:cs="Garamond"/>
          <w:sz w:val="26"/>
          <w:szCs w:val="26"/>
          <w:lang w:val="es-AR"/>
        </w:rPr>
        <w:t xml:space="preserve"> (“Cómo está hecho este libro”), leemos un párrafo célebre y fascinante: </w:t>
      </w:r>
    </w:p>
    <w:p w14:paraId="498DCD9A" w14:textId="77777777" w:rsidR="00920EE5" w:rsidRPr="00920EE5" w:rsidRDefault="00920EE5" w:rsidP="00920EE5">
      <w:pPr>
        <w:spacing w:after="60"/>
        <w:jc w:val="both"/>
        <w:rPr>
          <w:rFonts w:ascii="Garamond" w:eastAsia="Garamond" w:hAnsi="Garamond" w:cs="Garamond"/>
          <w:sz w:val="26"/>
          <w:szCs w:val="26"/>
          <w:lang w:val="es-AR"/>
        </w:rPr>
      </w:pPr>
    </w:p>
    <w:p w14:paraId="03CFF620" w14:textId="53F09603" w:rsidR="00920EE5" w:rsidRPr="00920EE5" w:rsidRDefault="00920EE5" w:rsidP="007847CA">
      <w:pPr>
        <w:spacing w:after="60"/>
        <w:ind w:left="567"/>
        <w:jc w:val="both"/>
        <w:rPr>
          <w:rFonts w:ascii="Garamond" w:eastAsia="Garamond" w:hAnsi="Garamond" w:cs="Garamond"/>
          <w:lang w:val="es-AR"/>
        </w:rPr>
      </w:pPr>
      <w:r w:rsidRPr="00920EE5">
        <w:rPr>
          <w:rFonts w:ascii="Garamond" w:eastAsia="Garamond" w:hAnsi="Garamond" w:cs="Garamond"/>
          <w:lang w:val="es-AR"/>
        </w:rPr>
        <w:t>“¡</w:t>
      </w:r>
      <w:proofErr w:type="spellStart"/>
      <w:r w:rsidRPr="00920EE5">
        <w:rPr>
          <w:rFonts w:ascii="Garamond" w:eastAsia="Garamond" w:hAnsi="Garamond" w:cs="Garamond"/>
          <w:lang w:val="es-AR"/>
        </w:rPr>
        <w:t>Angoscia</w:t>
      </w:r>
      <w:proofErr w:type="spellEnd"/>
      <w:r w:rsidRPr="00920EE5">
        <w:rPr>
          <w:rFonts w:ascii="Garamond" w:eastAsia="Garamond" w:hAnsi="Garamond" w:cs="Garamond"/>
          <w:lang w:val="es-AR"/>
        </w:rPr>
        <w:t xml:space="preserve">!”, canta en algún momento la Callas. La figura es de algún modo un aria de ópera; así como esta aria se identifica, evoca y maneja a través de su </w:t>
      </w:r>
      <w:proofErr w:type="spellStart"/>
      <w:r w:rsidRPr="00920EE5">
        <w:rPr>
          <w:rFonts w:ascii="Garamond" w:eastAsia="Garamond" w:hAnsi="Garamond" w:cs="Garamond"/>
          <w:lang w:val="es-AR"/>
        </w:rPr>
        <w:t>incipit</w:t>
      </w:r>
      <w:proofErr w:type="spellEnd"/>
      <w:r w:rsidRPr="00920EE5">
        <w:rPr>
          <w:rFonts w:ascii="Garamond" w:eastAsia="Garamond" w:hAnsi="Garamond" w:cs="Garamond"/>
          <w:lang w:val="es-AR"/>
        </w:rPr>
        <w:t xml:space="preserve"> (“Je </w:t>
      </w:r>
      <w:proofErr w:type="spellStart"/>
      <w:r w:rsidRPr="00920EE5">
        <w:rPr>
          <w:rFonts w:ascii="Garamond" w:eastAsia="Garamond" w:hAnsi="Garamond" w:cs="Garamond"/>
          <w:lang w:val="es-AR"/>
        </w:rPr>
        <w:t>veux</w:t>
      </w:r>
      <w:proofErr w:type="spellEnd"/>
      <w:r w:rsidRPr="00920EE5">
        <w:rPr>
          <w:rFonts w:ascii="Garamond" w:eastAsia="Garamond" w:hAnsi="Garamond" w:cs="Garamond"/>
          <w:lang w:val="es-AR"/>
        </w:rPr>
        <w:t xml:space="preserve"> </w:t>
      </w:r>
      <w:proofErr w:type="spellStart"/>
      <w:r w:rsidRPr="00920EE5">
        <w:rPr>
          <w:rFonts w:ascii="Garamond" w:eastAsia="Garamond" w:hAnsi="Garamond" w:cs="Garamond"/>
          <w:lang w:val="es-AR"/>
        </w:rPr>
        <w:t>vivre</w:t>
      </w:r>
      <w:proofErr w:type="spellEnd"/>
      <w:r w:rsidRPr="00920EE5">
        <w:rPr>
          <w:rFonts w:ascii="Garamond" w:eastAsia="Garamond" w:hAnsi="Garamond" w:cs="Garamond"/>
          <w:lang w:val="es-AR"/>
        </w:rPr>
        <w:t xml:space="preserve"> ce </w:t>
      </w:r>
      <w:proofErr w:type="spellStart"/>
      <w:r w:rsidRPr="00920EE5">
        <w:rPr>
          <w:rFonts w:ascii="Garamond" w:eastAsia="Garamond" w:hAnsi="Garamond" w:cs="Garamond"/>
          <w:lang w:val="es-AR"/>
        </w:rPr>
        <w:t>rêve</w:t>
      </w:r>
      <w:proofErr w:type="spellEnd"/>
      <w:r w:rsidRPr="00920EE5">
        <w:rPr>
          <w:rFonts w:ascii="Garamond" w:eastAsia="Garamond" w:hAnsi="Garamond" w:cs="Garamond"/>
          <w:lang w:val="es-AR"/>
        </w:rPr>
        <w:t>”, “</w:t>
      </w:r>
      <w:proofErr w:type="spellStart"/>
      <w:r w:rsidRPr="00920EE5">
        <w:rPr>
          <w:rFonts w:ascii="Garamond" w:eastAsia="Garamond" w:hAnsi="Garamond" w:cs="Garamond"/>
          <w:lang w:val="es-AR"/>
        </w:rPr>
        <w:t>Pleurez</w:t>
      </w:r>
      <w:proofErr w:type="spellEnd"/>
      <w:r w:rsidRPr="00920EE5">
        <w:rPr>
          <w:rFonts w:ascii="Garamond" w:eastAsia="Garamond" w:hAnsi="Garamond" w:cs="Garamond"/>
          <w:lang w:val="es-AR"/>
        </w:rPr>
        <w:t xml:space="preserve">, mes </w:t>
      </w:r>
      <w:proofErr w:type="spellStart"/>
      <w:r w:rsidRPr="00920EE5">
        <w:rPr>
          <w:rFonts w:ascii="Garamond" w:eastAsia="Garamond" w:hAnsi="Garamond" w:cs="Garamond"/>
          <w:lang w:val="es-AR"/>
        </w:rPr>
        <w:t>yeux</w:t>
      </w:r>
      <w:proofErr w:type="spellEnd"/>
      <w:r w:rsidRPr="00920EE5">
        <w:rPr>
          <w:rFonts w:ascii="Garamond" w:eastAsia="Garamond" w:hAnsi="Garamond" w:cs="Garamond"/>
          <w:lang w:val="es-AR"/>
        </w:rPr>
        <w:t>”, “</w:t>
      </w:r>
      <w:proofErr w:type="spellStart"/>
      <w:r w:rsidRPr="00920EE5">
        <w:rPr>
          <w:rFonts w:ascii="Garamond" w:eastAsia="Garamond" w:hAnsi="Garamond" w:cs="Garamond"/>
          <w:lang w:val="es-AR"/>
        </w:rPr>
        <w:t>Lucevan</w:t>
      </w:r>
      <w:proofErr w:type="spellEnd"/>
      <w:r w:rsidRPr="00920EE5">
        <w:rPr>
          <w:rFonts w:ascii="Garamond" w:eastAsia="Garamond" w:hAnsi="Garamond" w:cs="Garamond"/>
          <w:lang w:val="es-AR"/>
        </w:rPr>
        <w:t xml:space="preserve"> le </w:t>
      </w:r>
      <w:proofErr w:type="spellStart"/>
      <w:r w:rsidRPr="00920EE5">
        <w:rPr>
          <w:rFonts w:ascii="Garamond" w:eastAsia="Garamond" w:hAnsi="Garamond" w:cs="Garamond"/>
          <w:lang w:val="es-AR"/>
        </w:rPr>
        <w:t>stelle</w:t>
      </w:r>
      <w:proofErr w:type="spellEnd"/>
      <w:r w:rsidRPr="00920EE5">
        <w:rPr>
          <w:rFonts w:ascii="Garamond" w:eastAsia="Garamond" w:hAnsi="Garamond" w:cs="Garamond"/>
          <w:lang w:val="es-AR"/>
        </w:rPr>
        <w:t>”, “</w:t>
      </w:r>
      <w:proofErr w:type="spellStart"/>
      <w:r w:rsidRPr="00920EE5">
        <w:rPr>
          <w:rFonts w:ascii="Garamond" w:eastAsia="Garamond" w:hAnsi="Garamond" w:cs="Garamond"/>
          <w:lang w:val="es-AR"/>
        </w:rPr>
        <w:t>Piangerò</w:t>
      </w:r>
      <w:proofErr w:type="spellEnd"/>
      <w:r w:rsidRPr="00920EE5">
        <w:rPr>
          <w:rFonts w:ascii="Garamond" w:eastAsia="Garamond" w:hAnsi="Garamond" w:cs="Garamond"/>
          <w:lang w:val="es-AR"/>
        </w:rPr>
        <w:t xml:space="preserve"> la </w:t>
      </w:r>
      <w:proofErr w:type="spellStart"/>
      <w:r w:rsidRPr="00920EE5">
        <w:rPr>
          <w:rFonts w:ascii="Garamond" w:eastAsia="Garamond" w:hAnsi="Garamond" w:cs="Garamond"/>
          <w:lang w:val="es-AR"/>
        </w:rPr>
        <w:t>mia</w:t>
      </w:r>
      <w:proofErr w:type="spellEnd"/>
      <w:r w:rsidRPr="00920EE5">
        <w:rPr>
          <w:rFonts w:ascii="Garamond" w:eastAsia="Garamond" w:hAnsi="Garamond" w:cs="Garamond"/>
          <w:lang w:val="es-AR"/>
        </w:rPr>
        <w:t xml:space="preserve"> </w:t>
      </w:r>
      <w:proofErr w:type="spellStart"/>
      <w:r w:rsidRPr="00920EE5">
        <w:rPr>
          <w:rFonts w:ascii="Garamond" w:eastAsia="Garamond" w:hAnsi="Garamond" w:cs="Garamond"/>
          <w:lang w:val="es-AR"/>
        </w:rPr>
        <w:t>sorte</w:t>
      </w:r>
      <w:proofErr w:type="spellEnd"/>
      <w:r w:rsidRPr="00920EE5">
        <w:rPr>
          <w:rFonts w:ascii="Garamond" w:eastAsia="Garamond" w:hAnsi="Garamond" w:cs="Garamond"/>
          <w:lang w:val="es-AR"/>
        </w:rPr>
        <w:t xml:space="preserve">”), del mismo modo la figura parte de un pliegue del lenguaje (especie de versículo, de refrán, de cantinela) que lo articula en la sombra. </w:t>
      </w:r>
    </w:p>
    <w:p w14:paraId="5C21E3C5" w14:textId="77777777" w:rsidR="00920EE5" w:rsidRPr="00920EE5" w:rsidRDefault="00920EE5" w:rsidP="00920EE5">
      <w:pPr>
        <w:spacing w:after="60"/>
        <w:jc w:val="both"/>
        <w:rPr>
          <w:rFonts w:ascii="Garamond" w:eastAsia="Garamond" w:hAnsi="Garamond" w:cs="Garamond"/>
          <w:sz w:val="26"/>
          <w:szCs w:val="26"/>
          <w:lang w:val="es-AR"/>
        </w:rPr>
      </w:pPr>
    </w:p>
    <w:p w14:paraId="1B2BD49C" w14:textId="191DC64F" w:rsidR="00920EE5" w:rsidRPr="00920EE5" w:rsidRDefault="00920EE5" w:rsidP="00920EE5">
      <w:pPr>
        <w:spacing w:after="60"/>
        <w:jc w:val="both"/>
        <w:rPr>
          <w:rFonts w:ascii="Garamond" w:eastAsia="Garamond" w:hAnsi="Garamond" w:cs="Garamond"/>
          <w:sz w:val="26"/>
          <w:szCs w:val="26"/>
          <w:lang w:val="es-AR"/>
        </w:rPr>
      </w:pPr>
      <w:r w:rsidRPr="00920EE5">
        <w:rPr>
          <w:rFonts w:ascii="Garamond" w:eastAsia="Garamond" w:hAnsi="Garamond" w:cs="Garamond"/>
          <w:sz w:val="26"/>
          <w:szCs w:val="26"/>
          <w:lang w:val="es-AR"/>
        </w:rPr>
        <w:t>La complejidad de esta bella afirmación, tan razonada como especulativa, tan poética como teórica, en la que la articulación de una voz (“la Callas”: tono, cadencia, dicción, timbre) en un texto resulta un umbral (</w:t>
      </w:r>
      <w:proofErr w:type="spellStart"/>
      <w:r w:rsidRPr="00920EE5">
        <w:rPr>
          <w:rFonts w:ascii="Garamond" w:eastAsia="Garamond" w:hAnsi="Garamond" w:cs="Garamond"/>
          <w:i/>
          <w:sz w:val="26"/>
          <w:szCs w:val="26"/>
          <w:lang w:val="es-AR"/>
        </w:rPr>
        <w:t>incipit</w:t>
      </w:r>
      <w:proofErr w:type="spellEnd"/>
      <w:r w:rsidRPr="00920EE5">
        <w:rPr>
          <w:rFonts w:ascii="Garamond" w:eastAsia="Garamond" w:hAnsi="Garamond" w:cs="Garamond"/>
          <w:sz w:val="26"/>
          <w:szCs w:val="26"/>
          <w:lang w:val="es-AR"/>
        </w:rPr>
        <w:t xml:space="preserve">) de escritura en el que se </w:t>
      </w:r>
      <w:proofErr w:type="spellStart"/>
      <w:r w:rsidRPr="00920EE5">
        <w:rPr>
          <w:rFonts w:ascii="Garamond" w:eastAsia="Garamond" w:hAnsi="Garamond" w:cs="Garamond"/>
          <w:sz w:val="26"/>
          <w:szCs w:val="26"/>
          <w:lang w:val="es-AR"/>
        </w:rPr>
        <w:t>intersectan</w:t>
      </w:r>
      <w:proofErr w:type="spellEnd"/>
      <w:r w:rsidRPr="00920EE5">
        <w:rPr>
          <w:rFonts w:ascii="Garamond" w:eastAsia="Garamond" w:hAnsi="Garamond" w:cs="Garamond"/>
          <w:sz w:val="26"/>
          <w:szCs w:val="26"/>
          <w:lang w:val="es-AR"/>
        </w:rPr>
        <w:t xml:space="preserve"> la imaginación teórica con la imaginación literaria (bodas a las que también podrían asistir Eros y </w:t>
      </w:r>
      <w:proofErr w:type="spellStart"/>
      <w:r w:rsidRPr="00920EE5">
        <w:rPr>
          <w:rFonts w:ascii="Garamond" w:eastAsia="Garamond" w:hAnsi="Garamond" w:cs="Garamond"/>
          <w:sz w:val="26"/>
          <w:szCs w:val="26"/>
          <w:lang w:val="es-AR"/>
        </w:rPr>
        <w:t>Thanatos</w:t>
      </w:r>
      <w:proofErr w:type="spellEnd"/>
      <w:r w:rsidRPr="00920EE5">
        <w:rPr>
          <w:rFonts w:ascii="Garamond" w:eastAsia="Garamond" w:hAnsi="Garamond" w:cs="Garamond"/>
          <w:sz w:val="26"/>
          <w:szCs w:val="26"/>
          <w:lang w:val="es-AR"/>
        </w:rPr>
        <w:t xml:space="preserve">). La escritura de </w:t>
      </w:r>
      <w:r w:rsidRPr="00920EE5">
        <w:rPr>
          <w:rFonts w:ascii="Garamond" w:eastAsia="Garamond" w:hAnsi="Garamond" w:cs="Garamond"/>
          <w:i/>
          <w:sz w:val="26"/>
          <w:szCs w:val="26"/>
          <w:lang w:val="es-AR"/>
        </w:rPr>
        <w:t xml:space="preserve">Fragmentos… </w:t>
      </w:r>
      <w:r w:rsidRPr="00920EE5">
        <w:rPr>
          <w:rFonts w:ascii="Garamond" w:eastAsia="Garamond" w:hAnsi="Garamond" w:cs="Garamond"/>
          <w:sz w:val="26"/>
          <w:szCs w:val="26"/>
          <w:lang w:val="es-AR"/>
        </w:rPr>
        <w:t xml:space="preserve">estaba armada, afirmaba Barthes, bajo la insistencia del </w:t>
      </w:r>
      <w:r w:rsidRPr="00920EE5">
        <w:rPr>
          <w:rFonts w:ascii="Garamond" w:eastAsia="Garamond" w:hAnsi="Garamond" w:cs="Garamond"/>
          <w:i/>
          <w:sz w:val="26"/>
          <w:szCs w:val="26"/>
          <w:lang w:val="es-AR"/>
        </w:rPr>
        <w:t>Lied</w:t>
      </w:r>
      <w:r w:rsidRPr="00920EE5">
        <w:rPr>
          <w:rFonts w:ascii="Garamond" w:eastAsia="Garamond" w:hAnsi="Garamond" w:cs="Garamond"/>
          <w:sz w:val="26"/>
          <w:szCs w:val="26"/>
          <w:lang w:val="es-AR"/>
        </w:rPr>
        <w:t xml:space="preserve"> alemán: un género musical que él adoraba y al que consideraba una manifestación dramática (afectiva) entre un texto y una voz. A Barthes nunca deja</w:t>
      </w:r>
      <w:r w:rsidR="007C7790">
        <w:rPr>
          <w:rFonts w:ascii="Garamond" w:eastAsia="Garamond" w:hAnsi="Garamond" w:cs="Garamond"/>
          <w:sz w:val="26"/>
          <w:szCs w:val="26"/>
          <w:lang w:val="es-AR"/>
        </w:rPr>
        <w:t>ba</w:t>
      </w:r>
      <w:r w:rsidRPr="00920EE5">
        <w:rPr>
          <w:rFonts w:ascii="Garamond" w:eastAsia="Garamond" w:hAnsi="Garamond" w:cs="Garamond"/>
          <w:sz w:val="26"/>
          <w:szCs w:val="26"/>
          <w:lang w:val="es-AR"/>
        </w:rPr>
        <w:t xml:space="preserve"> de interpelarlo la cuestión musical y sonora de la lengua; de hecho, consideraba que esa relación definía la poesía popular: la sonoridad cambiante de la lengua en la pronunciación comunitaria del pueblo, que transformaba a la lengua, fuera de las escuelas y los museos. </w:t>
      </w:r>
    </w:p>
    <w:p w14:paraId="7B88288E" w14:textId="77777777"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i/>
          <w:sz w:val="26"/>
          <w:szCs w:val="26"/>
          <w:lang w:val="es-AR"/>
        </w:rPr>
        <w:t>Ficciones fónicas</w:t>
      </w:r>
      <w:r w:rsidRPr="00920EE5">
        <w:rPr>
          <w:rFonts w:ascii="Garamond" w:eastAsia="Garamond" w:hAnsi="Garamond" w:cs="Garamond"/>
          <w:sz w:val="26"/>
          <w:szCs w:val="26"/>
          <w:lang w:val="es-AR"/>
        </w:rPr>
        <w:t xml:space="preserve">, de Gabriela </w:t>
      </w: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se instala en el paso rítmico-afectivo de una escritura en la que la lengua de la teoría es pronunciada por la posesión (lo que hacen las ninfas) lírica. Un estilo “anfibio” –el discurso de las ranas cantando al borde del agua– en el que las citas ocupan un lugar sintácticamente alternativo: los nombres y las referencias parecen ser más bien palabras sometidas a resonancias y variaciones de una serie que citas sustantivas de autoridad. En ocasiones, la progresión se dirige, de manera experimental, a la asociación (libre) fónica, al balbuceo y aún al murmullo. </w:t>
      </w:r>
    </w:p>
    <w:p w14:paraId="3188BF28" w14:textId="4D28DB55"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En una carta durante su estancia en </w:t>
      </w:r>
      <w:proofErr w:type="spellStart"/>
      <w:r w:rsidRPr="00920EE5">
        <w:rPr>
          <w:rFonts w:ascii="Garamond" w:eastAsia="Garamond" w:hAnsi="Garamond" w:cs="Garamond"/>
          <w:sz w:val="26"/>
          <w:szCs w:val="26"/>
          <w:lang w:val="es-AR"/>
        </w:rPr>
        <w:t>Zürau</w:t>
      </w:r>
      <w:proofErr w:type="spellEnd"/>
      <w:r w:rsidRPr="00920EE5">
        <w:rPr>
          <w:rFonts w:ascii="Garamond" w:eastAsia="Garamond" w:hAnsi="Garamond" w:cs="Garamond"/>
          <w:sz w:val="26"/>
          <w:szCs w:val="26"/>
          <w:lang w:val="es-AR"/>
        </w:rPr>
        <w:t xml:space="preserve"> (la aldea bohemia donde había ido a vivir en casa de su hermana </w:t>
      </w:r>
      <w:proofErr w:type="spellStart"/>
      <w:r w:rsidRPr="00920EE5">
        <w:rPr>
          <w:rFonts w:ascii="Garamond" w:eastAsia="Garamond" w:hAnsi="Garamond" w:cs="Garamond"/>
          <w:sz w:val="26"/>
          <w:szCs w:val="26"/>
          <w:lang w:val="es-AR"/>
        </w:rPr>
        <w:t>Ottla</w:t>
      </w:r>
      <w:proofErr w:type="spellEnd"/>
      <w:r w:rsidRPr="00920EE5">
        <w:rPr>
          <w:rFonts w:ascii="Garamond" w:eastAsia="Garamond" w:hAnsi="Garamond" w:cs="Garamond"/>
          <w:sz w:val="26"/>
          <w:szCs w:val="26"/>
          <w:lang w:val="es-AR"/>
        </w:rPr>
        <w:t xml:space="preserve">, al poco tiempo de la primera manifestación de la tuberculosis), Franz Kafka, un escritor que imaginó murmullos sin fin, vivió días de alegría, lejos de su familia, las preocupaciones </w:t>
      </w:r>
      <w:r w:rsidRPr="00920EE5">
        <w:rPr>
          <w:rFonts w:ascii="Garamond" w:eastAsia="Garamond" w:hAnsi="Garamond" w:cs="Garamond"/>
          <w:sz w:val="26"/>
          <w:szCs w:val="26"/>
          <w:lang w:val="es-AR"/>
        </w:rPr>
        <w:lastRenderedPageBreak/>
        <w:t xml:space="preserve">laborales y los seres humanos. Cuenta Roberto </w:t>
      </w:r>
      <w:proofErr w:type="spellStart"/>
      <w:r w:rsidRPr="00920EE5">
        <w:rPr>
          <w:rFonts w:ascii="Garamond" w:eastAsia="Garamond" w:hAnsi="Garamond" w:cs="Garamond"/>
          <w:sz w:val="26"/>
          <w:szCs w:val="26"/>
          <w:lang w:val="es-AR"/>
        </w:rPr>
        <w:t>Calasso</w:t>
      </w:r>
      <w:proofErr w:type="spellEnd"/>
      <w:r w:rsidRPr="00920EE5">
        <w:rPr>
          <w:rFonts w:ascii="Garamond" w:eastAsia="Garamond" w:hAnsi="Garamond" w:cs="Garamond"/>
          <w:sz w:val="26"/>
          <w:szCs w:val="26"/>
          <w:lang w:val="es-AR"/>
        </w:rPr>
        <w:t xml:space="preserve"> (en </w:t>
      </w:r>
      <w:r w:rsidRPr="00920EE5">
        <w:rPr>
          <w:rFonts w:ascii="Garamond" w:eastAsia="Garamond" w:hAnsi="Garamond" w:cs="Garamond"/>
          <w:i/>
          <w:sz w:val="26"/>
          <w:szCs w:val="26"/>
          <w:lang w:val="es-AR"/>
        </w:rPr>
        <w:t>K.</w:t>
      </w:r>
      <w:r w:rsidRPr="00920EE5">
        <w:rPr>
          <w:rFonts w:ascii="Garamond" w:eastAsia="Garamond" w:hAnsi="Garamond" w:cs="Garamond"/>
          <w:sz w:val="26"/>
          <w:szCs w:val="26"/>
          <w:lang w:val="es-AR"/>
        </w:rPr>
        <w:t xml:space="preserve">) que Kafka le escribió entonces a Oskar </w:t>
      </w:r>
      <w:proofErr w:type="spellStart"/>
      <w:r w:rsidRPr="00920EE5">
        <w:rPr>
          <w:rFonts w:ascii="Garamond" w:eastAsia="Garamond" w:hAnsi="Garamond" w:cs="Garamond"/>
          <w:sz w:val="26"/>
          <w:szCs w:val="26"/>
          <w:lang w:val="es-AR"/>
        </w:rPr>
        <w:t>Baum</w:t>
      </w:r>
      <w:proofErr w:type="spellEnd"/>
      <w:r w:rsidRPr="00920EE5">
        <w:rPr>
          <w:rFonts w:ascii="Garamond" w:eastAsia="Garamond" w:hAnsi="Garamond" w:cs="Garamond"/>
          <w:sz w:val="26"/>
          <w:szCs w:val="26"/>
          <w:lang w:val="es-AR"/>
        </w:rPr>
        <w:t>: “por otra parte, nunca me he sentido mejor en lo que a salud se refiere”. Hasta que, luego de una noche intranquila en la que lo atormentó un rumor, nada fue igual. Era el rumor de las ratas (“un pueblo proletario oprimido a quien pertenece la noche”)</w:t>
      </w:r>
      <w:r w:rsidR="00D02529">
        <w:rPr>
          <w:rFonts w:ascii="Garamond" w:eastAsia="Garamond" w:hAnsi="Garamond" w:cs="Garamond"/>
          <w:sz w:val="26"/>
          <w:szCs w:val="26"/>
          <w:lang w:val="es-AR"/>
        </w:rPr>
        <w:t>.</w:t>
      </w:r>
      <w:r w:rsidRPr="00920EE5">
        <w:rPr>
          <w:rFonts w:ascii="Garamond" w:eastAsia="Garamond" w:hAnsi="Garamond" w:cs="Garamond"/>
          <w:sz w:val="26"/>
          <w:szCs w:val="26"/>
          <w:vertAlign w:val="superscript"/>
          <w:lang w:val="es-AR"/>
        </w:rPr>
        <w:footnoteReference w:id="1"/>
      </w:r>
      <w:r w:rsidRPr="00920EE5">
        <w:rPr>
          <w:rFonts w:ascii="Garamond" w:eastAsia="Garamond" w:hAnsi="Garamond" w:cs="Garamond"/>
          <w:sz w:val="26"/>
          <w:szCs w:val="26"/>
          <w:lang w:val="es-AR"/>
        </w:rPr>
        <w:t xml:space="preserve"> A partir de ese rumor que lo atravesaba todo: campo, paredes, cama y él mismo en todas direcciones, Kafka imaginó un pueblo, el pueblo de Josefina, el de los melismas indecibles</w:t>
      </w:r>
      <w:r w:rsidR="00D02529">
        <w:rPr>
          <w:rFonts w:ascii="Garamond" w:eastAsia="Garamond" w:hAnsi="Garamond" w:cs="Garamond"/>
          <w:sz w:val="26"/>
          <w:szCs w:val="26"/>
          <w:lang w:val="es-AR"/>
        </w:rPr>
        <w:t>.</w:t>
      </w:r>
      <w:r w:rsidRPr="00920EE5">
        <w:rPr>
          <w:rFonts w:ascii="Garamond" w:eastAsia="Garamond" w:hAnsi="Garamond" w:cs="Garamond"/>
          <w:sz w:val="26"/>
          <w:szCs w:val="26"/>
          <w:vertAlign w:val="superscript"/>
          <w:lang w:val="es-AR"/>
        </w:rPr>
        <w:footnoteReference w:id="2"/>
      </w:r>
      <w:r w:rsidRPr="00920EE5">
        <w:rPr>
          <w:rFonts w:ascii="Garamond" w:eastAsia="Garamond" w:hAnsi="Garamond" w:cs="Garamond"/>
          <w:sz w:val="26"/>
          <w:szCs w:val="26"/>
          <w:lang w:val="es-AR"/>
        </w:rPr>
        <w:t xml:space="preserve"> </w:t>
      </w:r>
    </w:p>
    <w:p w14:paraId="661A26D7" w14:textId="77777777" w:rsidR="00920EE5" w:rsidRPr="00920EE5" w:rsidRDefault="00920EE5" w:rsidP="007847CA">
      <w:pPr>
        <w:spacing w:after="60"/>
        <w:ind w:firstLine="567"/>
        <w:jc w:val="both"/>
        <w:rPr>
          <w:rFonts w:ascii="Garamond" w:eastAsia="Garamond" w:hAnsi="Garamond" w:cs="Garamond"/>
          <w:sz w:val="26"/>
          <w:szCs w:val="26"/>
          <w:lang w:val="es-AR"/>
        </w:rPr>
      </w:pP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quiere escuchar las ficciones del murmullo en la lengua: lo </w:t>
      </w:r>
      <w:r w:rsidRPr="00920EE5">
        <w:rPr>
          <w:rFonts w:ascii="Garamond" w:eastAsia="Garamond" w:hAnsi="Garamond" w:cs="Garamond"/>
          <w:i/>
          <w:sz w:val="26"/>
          <w:szCs w:val="26"/>
          <w:lang w:val="es-AR"/>
        </w:rPr>
        <w:t>no diciente</w:t>
      </w:r>
      <w:r w:rsidRPr="00920EE5">
        <w:rPr>
          <w:rFonts w:ascii="Garamond" w:eastAsia="Garamond" w:hAnsi="Garamond" w:cs="Garamond"/>
          <w:sz w:val="26"/>
          <w:szCs w:val="26"/>
          <w:lang w:val="es-AR"/>
        </w:rPr>
        <w:t xml:space="preserve"> que se muestra como potencia, pero no en la lengua sólo entendida como articulación del lenguaje –donde Benveniste señaló la primera ligadura de un posible “vivir juntos”–, sino la lengua muscular: la lengua de la boca, custodiada por los labios. Y desde allí, desde esa posición hecha de murmullos, ya no fragmentos sino líneas moleculares, imagina “de sonido en sonido”: </w:t>
      </w:r>
    </w:p>
    <w:p w14:paraId="64B7074A" w14:textId="77777777" w:rsidR="00D02529" w:rsidRDefault="00D02529" w:rsidP="00D02529">
      <w:pPr>
        <w:spacing w:after="60"/>
        <w:jc w:val="both"/>
        <w:rPr>
          <w:rFonts w:ascii="Garamond" w:eastAsia="Garamond" w:hAnsi="Garamond" w:cs="Garamond"/>
          <w:sz w:val="26"/>
          <w:szCs w:val="26"/>
          <w:lang w:val="es-AR"/>
        </w:rPr>
      </w:pPr>
    </w:p>
    <w:p w14:paraId="1450E09F" w14:textId="1E08C4EF" w:rsidR="00920EE5" w:rsidRPr="00920EE5" w:rsidRDefault="00920EE5" w:rsidP="00D02529">
      <w:pPr>
        <w:spacing w:after="60"/>
        <w:ind w:left="567"/>
        <w:jc w:val="both"/>
        <w:rPr>
          <w:rFonts w:ascii="Garamond" w:eastAsia="Garamond" w:hAnsi="Garamond" w:cs="Garamond"/>
          <w:szCs w:val="26"/>
          <w:lang w:val="es-AR"/>
        </w:rPr>
      </w:pPr>
      <w:proofErr w:type="spellStart"/>
      <w:r w:rsidRPr="00920EE5">
        <w:rPr>
          <w:rFonts w:ascii="Garamond" w:eastAsia="Garamond" w:hAnsi="Garamond" w:cs="Garamond"/>
          <w:szCs w:val="26"/>
          <w:lang w:val="es-AR"/>
        </w:rPr>
        <w:t>Brisset</w:t>
      </w:r>
      <w:proofErr w:type="spellEnd"/>
      <w:r w:rsidRPr="00920EE5">
        <w:rPr>
          <w:rFonts w:ascii="Garamond" w:eastAsia="Garamond" w:hAnsi="Garamond" w:cs="Garamond"/>
          <w:szCs w:val="26"/>
          <w:vertAlign w:val="superscript"/>
          <w:lang w:val="es-AR"/>
        </w:rPr>
        <w:footnoteReference w:id="3"/>
      </w:r>
      <w:r w:rsidRPr="00920EE5">
        <w:rPr>
          <w:rFonts w:ascii="Garamond" w:eastAsia="Garamond" w:hAnsi="Garamond" w:cs="Garamond"/>
          <w:szCs w:val="26"/>
          <w:lang w:val="es-AR"/>
        </w:rPr>
        <w:t xml:space="preserve"> expone toda una estereofónica</w:t>
      </w:r>
      <w:r w:rsidRPr="00920EE5">
        <w:rPr>
          <w:rFonts w:ascii="Garamond" w:eastAsia="Garamond" w:hAnsi="Garamond" w:cs="Garamond"/>
          <w:szCs w:val="26"/>
          <w:vertAlign w:val="superscript"/>
          <w:lang w:val="es-AR"/>
        </w:rPr>
        <w:footnoteReference w:id="4"/>
      </w:r>
      <w:r w:rsidRPr="00920EE5">
        <w:rPr>
          <w:rFonts w:ascii="Garamond" w:eastAsia="Garamond" w:hAnsi="Garamond" w:cs="Garamond"/>
          <w:szCs w:val="26"/>
          <w:lang w:val="es-AR"/>
        </w:rPr>
        <w:t xml:space="preserve"> fabulada entre </w:t>
      </w:r>
      <w:r w:rsidRPr="00920EE5">
        <w:rPr>
          <w:rFonts w:ascii="Garamond" w:eastAsia="Garamond" w:hAnsi="Garamond" w:cs="Garamond"/>
          <w:i/>
          <w:szCs w:val="26"/>
          <w:lang w:val="es-AR"/>
        </w:rPr>
        <w:t>oris</w:t>
      </w:r>
      <w:r w:rsidRPr="00920EE5">
        <w:rPr>
          <w:rFonts w:ascii="Garamond" w:eastAsia="Garamond" w:hAnsi="Garamond" w:cs="Garamond"/>
          <w:szCs w:val="26"/>
          <w:lang w:val="es-AR"/>
        </w:rPr>
        <w:t xml:space="preserve">, </w:t>
      </w:r>
      <w:r w:rsidRPr="00920EE5">
        <w:rPr>
          <w:rFonts w:ascii="Garamond" w:eastAsia="Garamond" w:hAnsi="Garamond" w:cs="Garamond"/>
          <w:i/>
          <w:szCs w:val="26"/>
          <w:lang w:val="es-AR"/>
        </w:rPr>
        <w:t>agua</w:t>
      </w:r>
      <w:r w:rsidRPr="00920EE5">
        <w:rPr>
          <w:rFonts w:ascii="Garamond" w:eastAsia="Garamond" w:hAnsi="Garamond" w:cs="Garamond"/>
          <w:szCs w:val="26"/>
          <w:lang w:val="es-AR"/>
        </w:rPr>
        <w:t xml:space="preserve">, </w:t>
      </w:r>
      <w:r w:rsidRPr="00920EE5">
        <w:rPr>
          <w:rFonts w:ascii="Garamond" w:eastAsia="Garamond" w:hAnsi="Garamond" w:cs="Garamond"/>
          <w:i/>
          <w:szCs w:val="26"/>
          <w:lang w:val="es-AR"/>
        </w:rPr>
        <w:t>imagen</w:t>
      </w:r>
      <w:r w:rsidRPr="00920EE5">
        <w:rPr>
          <w:rFonts w:ascii="Garamond" w:eastAsia="Garamond" w:hAnsi="Garamond" w:cs="Garamond"/>
          <w:szCs w:val="26"/>
          <w:lang w:val="es-AR"/>
        </w:rPr>
        <w:t xml:space="preserve">, </w:t>
      </w:r>
      <w:r w:rsidRPr="00920EE5">
        <w:rPr>
          <w:rFonts w:ascii="Garamond" w:eastAsia="Garamond" w:hAnsi="Garamond" w:cs="Garamond"/>
          <w:i/>
          <w:szCs w:val="26"/>
          <w:lang w:val="es-AR"/>
        </w:rPr>
        <w:t>Origine</w:t>
      </w:r>
      <w:r w:rsidRPr="00920EE5">
        <w:rPr>
          <w:rFonts w:ascii="Garamond" w:eastAsia="Garamond" w:hAnsi="Garamond" w:cs="Garamond"/>
          <w:szCs w:val="26"/>
          <w:lang w:val="es-AR"/>
        </w:rPr>
        <w:t xml:space="preserve">, </w:t>
      </w:r>
      <w:r w:rsidRPr="00920EE5">
        <w:rPr>
          <w:rFonts w:ascii="Garamond" w:eastAsia="Garamond" w:hAnsi="Garamond" w:cs="Garamond"/>
          <w:i/>
          <w:szCs w:val="26"/>
          <w:lang w:val="es-AR"/>
        </w:rPr>
        <w:t>imagine</w:t>
      </w:r>
      <w:r w:rsidRPr="00920EE5">
        <w:rPr>
          <w:rFonts w:ascii="Garamond" w:eastAsia="Garamond" w:hAnsi="Garamond" w:cs="Garamond"/>
          <w:szCs w:val="26"/>
          <w:lang w:val="es-AR"/>
        </w:rPr>
        <w:t xml:space="preserve">, </w:t>
      </w:r>
      <w:r w:rsidRPr="00920EE5">
        <w:rPr>
          <w:rFonts w:ascii="Garamond" w:eastAsia="Garamond" w:hAnsi="Garamond" w:cs="Garamond"/>
          <w:i/>
          <w:szCs w:val="26"/>
          <w:lang w:val="es-AR"/>
        </w:rPr>
        <w:t>gime el agua en la imagen del himen</w:t>
      </w:r>
      <w:r w:rsidRPr="00920EE5">
        <w:rPr>
          <w:rFonts w:ascii="Garamond" w:eastAsia="Garamond" w:hAnsi="Garamond" w:cs="Garamond"/>
          <w:szCs w:val="26"/>
          <w:lang w:val="es-AR"/>
        </w:rPr>
        <w:t xml:space="preserve">. Oris río, boca agua, </w:t>
      </w:r>
      <w:proofErr w:type="spellStart"/>
      <w:r w:rsidRPr="00920EE5">
        <w:rPr>
          <w:rFonts w:ascii="Garamond" w:eastAsia="Garamond" w:hAnsi="Garamond" w:cs="Garamond"/>
          <w:szCs w:val="26"/>
          <w:lang w:val="es-AR"/>
        </w:rPr>
        <w:t>ima-gina</w:t>
      </w:r>
      <w:proofErr w:type="spellEnd"/>
      <w:r w:rsidRPr="00920EE5">
        <w:rPr>
          <w:rFonts w:ascii="Garamond" w:eastAsia="Garamond" w:hAnsi="Garamond" w:cs="Garamond"/>
          <w:szCs w:val="26"/>
          <w:lang w:val="es-AR"/>
        </w:rPr>
        <w:t xml:space="preserve"> el margen limado de lo ori-</w:t>
      </w:r>
      <w:proofErr w:type="spellStart"/>
      <w:r w:rsidRPr="00920EE5">
        <w:rPr>
          <w:rFonts w:ascii="Garamond" w:eastAsia="Garamond" w:hAnsi="Garamond" w:cs="Garamond"/>
          <w:szCs w:val="26"/>
          <w:lang w:val="es-AR"/>
        </w:rPr>
        <w:t>gina</w:t>
      </w:r>
      <w:proofErr w:type="spellEnd"/>
      <w:r w:rsidRPr="00920EE5">
        <w:rPr>
          <w:rFonts w:ascii="Garamond" w:eastAsia="Garamond" w:hAnsi="Garamond" w:cs="Garamond"/>
          <w:szCs w:val="26"/>
          <w:lang w:val="es-AR"/>
        </w:rPr>
        <w:t xml:space="preserve">-rio. Las palabras no son casos a descomponer morfo-semánticamente, son cosas a extender homofónicamente. El sonido no se analiza, se amplifica. Y resuena en las palabras a lo largo del tiempo. (13) </w:t>
      </w:r>
    </w:p>
    <w:p w14:paraId="7DC5F76B" w14:textId="77777777" w:rsidR="00920EE5" w:rsidRPr="00920EE5" w:rsidRDefault="00920EE5" w:rsidP="007847CA">
      <w:pPr>
        <w:spacing w:after="60"/>
        <w:ind w:firstLine="567"/>
        <w:jc w:val="both"/>
        <w:rPr>
          <w:rFonts w:ascii="Garamond" w:eastAsia="Garamond" w:hAnsi="Garamond" w:cs="Garamond"/>
          <w:sz w:val="26"/>
          <w:szCs w:val="26"/>
          <w:lang w:val="es-AR"/>
        </w:rPr>
      </w:pPr>
    </w:p>
    <w:p w14:paraId="2EB1C4E6" w14:textId="381300F9" w:rsidR="00920EE5" w:rsidRPr="00920EE5" w:rsidRDefault="00920EE5" w:rsidP="00D02529">
      <w:pPr>
        <w:spacing w:after="60"/>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Además de </w:t>
      </w:r>
      <w:proofErr w:type="spellStart"/>
      <w:r w:rsidRPr="00920EE5">
        <w:rPr>
          <w:rFonts w:ascii="Garamond" w:eastAsia="Garamond" w:hAnsi="Garamond" w:cs="Garamond"/>
          <w:sz w:val="26"/>
          <w:szCs w:val="26"/>
          <w:lang w:val="es-AR"/>
        </w:rPr>
        <w:t>Brisset</w:t>
      </w:r>
      <w:proofErr w:type="spellEnd"/>
      <w:r w:rsidRPr="00920EE5">
        <w:rPr>
          <w:rFonts w:ascii="Garamond" w:eastAsia="Garamond" w:hAnsi="Garamond" w:cs="Garamond"/>
          <w:sz w:val="26"/>
          <w:szCs w:val="26"/>
          <w:lang w:val="es-AR"/>
        </w:rPr>
        <w:t xml:space="preserve"> (quien presta atención a </w:t>
      </w:r>
      <w:r w:rsidRPr="00920EE5">
        <w:rPr>
          <w:rFonts w:ascii="Garamond" w:eastAsia="Garamond" w:hAnsi="Garamond" w:cs="Garamond"/>
          <w:iCs/>
          <w:sz w:val="26"/>
          <w:szCs w:val="26"/>
          <w:lang w:val="es-AR"/>
        </w:rPr>
        <w:t>“</w:t>
      </w:r>
      <w:r w:rsidRPr="00920EE5">
        <w:rPr>
          <w:rFonts w:ascii="Garamond" w:eastAsia="Garamond" w:hAnsi="Garamond" w:cs="Garamond"/>
          <w:i/>
          <w:sz w:val="26"/>
          <w:szCs w:val="26"/>
          <w:lang w:val="es-AR"/>
        </w:rPr>
        <w:t>la voz sagrada de la tierra ingenua</w:t>
      </w:r>
      <w:r w:rsidRPr="00920EE5">
        <w:rPr>
          <w:rFonts w:ascii="Garamond" w:eastAsia="Garamond" w:hAnsi="Garamond" w:cs="Garamond"/>
          <w:iCs/>
          <w:sz w:val="26"/>
          <w:szCs w:val="26"/>
          <w:lang w:val="es-AR"/>
        </w:rPr>
        <w:t xml:space="preserve">” </w:t>
      </w:r>
      <w:r w:rsidRPr="00920EE5">
        <w:rPr>
          <w:rFonts w:ascii="Garamond" w:eastAsia="Garamond" w:hAnsi="Garamond" w:cs="Garamond"/>
          <w:sz w:val="26"/>
          <w:szCs w:val="26"/>
          <w:lang w:val="es-AR"/>
        </w:rPr>
        <w:t xml:space="preserve">que Mallarmé escuchaba compuesta en el canto del grillo, mientras él lo hacía en el canto de las ranas), </w:t>
      </w: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trae a Emeterio Villamil de Rada (filólogo y </w:t>
      </w:r>
      <w:r w:rsidRPr="00920EE5">
        <w:rPr>
          <w:rFonts w:ascii="Garamond" w:eastAsia="Garamond" w:hAnsi="Garamond" w:cs="Garamond"/>
          <w:sz w:val="26"/>
          <w:szCs w:val="26"/>
          <w:lang w:val="es-AR"/>
        </w:rPr>
        <w:lastRenderedPageBreak/>
        <w:t xml:space="preserve">político boliviano), quien escuchaba en el </w:t>
      </w:r>
      <w:proofErr w:type="spellStart"/>
      <w:r w:rsidRPr="00920EE5">
        <w:rPr>
          <w:rFonts w:ascii="Garamond" w:eastAsia="Garamond" w:hAnsi="Garamond" w:cs="Garamond"/>
          <w:i/>
          <w:sz w:val="26"/>
          <w:szCs w:val="26"/>
          <w:lang w:val="es-AR"/>
        </w:rPr>
        <w:t>aymará</w:t>
      </w:r>
      <w:proofErr w:type="spellEnd"/>
      <w:r w:rsidRPr="00920EE5">
        <w:rPr>
          <w:rFonts w:ascii="Garamond" w:eastAsia="Garamond" w:hAnsi="Garamond" w:cs="Garamond"/>
          <w:sz w:val="26"/>
          <w:szCs w:val="26"/>
          <w:lang w:val="es-AR"/>
        </w:rPr>
        <w:t xml:space="preserve"> una lengua edénica: una lengua total (trastocando el mito babélico: las variaciones de las lenguas no son por dispersión, sino por migraciones de una sola lengua); una lengua sin origen ni fin, que ocurre en presente y cuya deriva puede ser recuperada por las irradiaciones de las ficciones teóricas. Antes de rechazar los postulados de </w:t>
      </w:r>
      <w:proofErr w:type="spellStart"/>
      <w:r w:rsidRPr="00920EE5">
        <w:rPr>
          <w:rFonts w:ascii="Garamond" w:eastAsia="Garamond" w:hAnsi="Garamond" w:cs="Garamond"/>
          <w:sz w:val="26"/>
          <w:szCs w:val="26"/>
          <w:lang w:val="es-AR"/>
        </w:rPr>
        <w:t>Brisset</w:t>
      </w:r>
      <w:proofErr w:type="spellEnd"/>
      <w:r w:rsidRPr="00920EE5">
        <w:rPr>
          <w:rFonts w:ascii="Garamond" w:eastAsia="Garamond" w:hAnsi="Garamond" w:cs="Garamond"/>
          <w:sz w:val="26"/>
          <w:szCs w:val="26"/>
          <w:lang w:val="es-AR"/>
        </w:rPr>
        <w:t xml:space="preserve"> o Villamil de Rada como excesos imaginarios del positivismo decimonónico, la escritora propone leerlos junto con Benveniste (“Nunca llegamos al hombre separado del lenguaje ni jamás lo vemos inventarlo”). El edén es pronunciado en cada boca que se abre: “Una lengua húmeda y </w:t>
      </w:r>
      <w:proofErr w:type="spellStart"/>
      <w:r w:rsidRPr="00920EE5">
        <w:rPr>
          <w:rFonts w:ascii="Garamond" w:eastAsia="Garamond" w:hAnsi="Garamond" w:cs="Garamond"/>
          <w:sz w:val="26"/>
          <w:szCs w:val="26"/>
          <w:lang w:val="es-AR"/>
        </w:rPr>
        <w:t>altiplana</w:t>
      </w:r>
      <w:proofErr w:type="spellEnd"/>
      <w:r w:rsidRPr="00920EE5">
        <w:rPr>
          <w:rFonts w:ascii="Garamond" w:eastAsia="Garamond" w:hAnsi="Garamond" w:cs="Garamond"/>
          <w:sz w:val="26"/>
          <w:szCs w:val="26"/>
          <w:lang w:val="es-AR"/>
        </w:rPr>
        <w:t xml:space="preserve"> […] En cada boca, todas las bocas. En cada lengua, todas las lenguas” (15).  </w:t>
      </w:r>
    </w:p>
    <w:p w14:paraId="74DB7D4C" w14:textId="1967F13A"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Estos postulados, que inevitablemente resumimos, cuyo volumen se intensifica por contagio y resonancia, son los que enmarcan el recorrido de todo el libro, que se organiza en remansos de concentración en donde la separación entre capítulos es menos determinante que el párrafo o la línea de escritura. Se trata de una propuesta que, en prosa, se articula como la poesía: </w:t>
      </w:r>
      <w:r w:rsidRPr="00920EE5">
        <w:rPr>
          <w:rFonts w:ascii="Garamond" w:eastAsia="Garamond" w:hAnsi="Garamond" w:cs="Garamond"/>
          <w:iCs/>
          <w:sz w:val="26"/>
          <w:szCs w:val="26"/>
          <w:lang w:val="es-AR"/>
        </w:rPr>
        <w:t>“</w:t>
      </w:r>
      <w:r w:rsidRPr="00920EE5">
        <w:rPr>
          <w:rFonts w:ascii="Garamond" w:eastAsia="Garamond" w:hAnsi="Garamond" w:cs="Garamond"/>
          <w:i/>
          <w:sz w:val="26"/>
          <w:szCs w:val="26"/>
          <w:lang w:val="es-AR"/>
        </w:rPr>
        <w:t>ha de leerse en entre líneas</w:t>
      </w:r>
      <w:r w:rsidRPr="00920EE5">
        <w:rPr>
          <w:rFonts w:ascii="Garamond" w:eastAsia="Garamond" w:hAnsi="Garamond" w:cs="Garamond"/>
          <w:iCs/>
          <w:sz w:val="26"/>
          <w:szCs w:val="26"/>
          <w:lang w:val="es-AR"/>
        </w:rPr>
        <w:t>”</w:t>
      </w:r>
      <w:r w:rsidRPr="00920EE5">
        <w:rPr>
          <w:rFonts w:ascii="Garamond" w:eastAsia="Garamond" w:hAnsi="Garamond" w:cs="Garamond"/>
          <w:sz w:val="26"/>
          <w:szCs w:val="26"/>
          <w:lang w:val="es-AR"/>
        </w:rPr>
        <w:t>: la prosa poseída por el furor fónico del verso. Y cada una de las partes del libro (Presentación/ Insistencias de la voz/ Ficciones insumisas/ Paisaje fónicos/ Coda</w:t>
      </w:r>
      <w:r w:rsidR="00DB69E6">
        <w:rPr>
          <w:rFonts w:ascii="Garamond" w:eastAsia="Garamond" w:hAnsi="Garamond" w:cs="Garamond"/>
          <w:sz w:val="26"/>
          <w:szCs w:val="26"/>
          <w:lang w:val="es-AR"/>
        </w:rPr>
        <w:t>)</w:t>
      </w:r>
      <w:r w:rsidRPr="00920EE5">
        <w:rPr>
          <w:rFonts w:ascii="Garamond" w:eastAsia="Garamond" w:hAnsi="Garamond" w:cs="Garamond"/>
          <w:sz w:val="26"/>
          <w:szCs w:val="26"/>
          <w:vertAlign w:val="superscript"/>
          <w:lang w:val="es-AR"/>
        </w:rPr>
        <w:footnoteReference w:id="5"/>
      </w:r>
      <w:r w:rsidRPr="00920EE5">
        <w:rPr>
          <w:rFonts w:ascii="Garamond" w:eastAsia="Garamond" w:hAnsi="Garamond" w:cs="Garamond"/>
          <w:sz w:val="26"/>
          <w:szCs w:val="26"/>
          <w:lang w:val="es-AR"/>
        </w:rPr>
        <w:t xml:space="preserve"> podría pensarse como una reunión temporal (estrófica) de sentidos. </w:t>
      </w:r>
    </w:p>
    <w:p w14:paraId="2362D355" w14:textId="03F0DE47"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Tomemos un ejemplo: en un juego de pliegues sobre la serie </w:t>
      </w:r>
      <w:r w:rsidRPr="00920EE5">
        <w:rPr>
          <w:rFonts w:ascii="Garamond" w:eastAsia="Garamond" w:hAnsi="Garamond" w:cs="Garamond"/>
          <w:i/>
          <w:sz w:val="26"/>
          <w:szCs w:val="26"/>
          <w:lang w:val="es-AR"/>
        </w:rPr>
        <w:t>(J.L.) Ortiz-Derrida-Nancy-</w:t>
      </w:r>
      <w:proofErr w:type="spellStart"/>
      <w:r w:rsidRPr="00920EE5">
        <w:rPr>
          <w:rFonts w:ascii="Garamond" w:eastAsia="Garamond" w:hAnsi="Garamond" w:cs="Garamond"/>
          <w:i/>
          <w:sz w:val="26"/>
          <w:szCs w:val="26"/>
          <w:lang w:val="es-AR"/>
        </w:rPr>
        <w:t>Blanchot</w:t>
      </w:r>
      <w:proofErr w:type="spellEnd"/>
      <w:r w:rsidRPr="00920EE5">
        <w:rPr>
          <w:rFonts w:ascii="Garamond" w:eastAsia="Garamond" w:hAnsi="Garamond" w:cs="Garamond"/>
          <w:sz w:val="26"/>
          <w:szCs w:val="26"/>
          <w:lang w:val="es-AR"/>
        </w:rPr>
        <w:t>, las “cosas sonoras” (materialidad de la poesía y nombre del primer capítulo de la primera parte) son cantos del sentido, “el carácter primitivo resonante del sentido mismo”, ya no es la relación música y texto, sino la búsqueda de algunas experiencias inmanentes como la de John Cage, podemos pensar, en la irradiación de la serie en acto</w:t>
      </w:r>
      <w:r w:rsidR="00FF5D1A">
        <w:rPr>
          <w:rFonts w:ascii="Garamond" w:eastAsia="Garamond" w:hAnsi="Garamond" w:cs="Garamond"/>
          <w:sz w:val="26"/>
          <w:szCs w:val="26"/>
          <w:lang w:val="es-AR"/>
        </w:rPr>
        <w:t>:</w:t>
      </w:r>
      <w:r w:rsidRPr="00920EE5">
        <w:rPr>
          <w:rFonts w:ascii="Garamond" w:eastAsia="Garamond" w:hAnsi="Garamond" w:cs="Garamond"/>
          <w:sz w:val="26"/>
          <w:szCs w:val="26"/>
          <w:vertAlign w:val="superscript"/>
          <w:lang w:val="es-AR"/>
        </w:rPr>
        <w:footnoteReference w:id="6"/>
      </w:r>
      <w:r w:rsidRPr="00920EE5">
        <w:rPr>
          <w:rFonts w:ascii="Garamond" w:eastAsia="Garamond" w:hAnsi="Garamond" w:cs="Garamond"/>
          <w:sz w:val="26"/>
          <w:szCs w:val="26"/>
          <w:lang w:val="es-AR"/>
        </w:rPr>
        <w:t xml:space="preserve"> “No hay más allá ni más acá de la lengua, porque a la poesía se la ve venir, se la oye venir, se la canta viniendo” (</w:t>
      </w:r>
      <w:r w:rsidR="003E55A5">
        <w:rPr>
          <w:rFonts w:ascii="Garamond" w:eastAsia="Garamond" w:hAnsi="Garamond" w:cs="Garamond"/>
          <w:sz w:val="26"/>
          <w:szCs w:val="26"/>
          <w:lang w:val="es-AR"/>
        </w:rPr>
        <w:t xml:space="preserve">2022, </w:t>
      </w:r>
      <w:r w:rsidRPr="00920EE5">
        <w:rPr>
          <w:rFonts w:ascii="Garamond" w:eastAsia="Garamond" w:hAnsi="Garamond" w:cs="Garamond"/>
          <w:sz w:val="26"/>
          <w:szCs w:val="26"/>
          <w:lang w:val="es-AR"/>
        </w:rPr>
        <w:t xml:space="preserve">16). </w:t>
      </w:r>
    </w:p>
    <w:p w14:paraId="21522E23" w14:textId="77777777"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Si </w:t>
      </w: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afirma (con Nancy) que “Una voz siempre suena en otra voz”, los poemas se enhebran en esta escritura anfibia, en parataxis y en polifonía; por momentos, la superposición, la resonancia, se repone gráficamente (espacialmente) en la página, pero es en la grafía (un sisma), en el trazo </w:t>
      </w:r>
      <w:r w:rsidRPr="00920EE5">
        <w:rPr>
          <w:rFonts w:ascii="Garamond" w:eastAsia="Garamond" w:hAnsi="Garamond" w:cs="Garamond"/>
          <w:sz w:val="26"/>
          <w:szCs w:val="26"/>
          <w:lang w:val="es-AR"/>
        </w:rPr>
        <w:lastRenderedPageBreak/>
        <w:t xml:space="preserve">de la escritura, que se </w:t>
      </w:r>
      <w:r w:rsidRPr="00920EE5">
        <w:rPr>
          <w:rFonts w:ascii="Garamond" w:eastAsia="Garamond" w:hAnsi="Garamond" w:cs="Garamond"/>
          <w:i/>
          <w:sz w:val="26"/>
          <w:szCs w:val="26"/>
          <w:lang w:val="es-AR"/>
        </w:rPr>
        <w:t>encaracola</w:t>
      </w:r>
      <w:r w:rsidRPr="00920EE5">
        <w:rPr>
          <w:rFonts w:ascii="Garamond" w:eastAsia="Garamond" w:hAnsi="Garamond" w:cs="Garamond"/>
          <w:sz w:val="26"/>
          <w:szCs w:val="26"/>
          <w:lang w:val="es-AR"/>
        </w:rPr>
        <w:t xml:space="preserve"> con los poemas y con ellos deriva. Si se trata de juegos de lenguaje, los desvaríos, los desvíos y los caminos sin salida, que se recorren de atrás para adelante, son parte de la insistencia adánica, del decir de la poesía, puesta en acto en la prosa teórica. </w:t>
      </w:r>
    </w:p>
    <w:p w14:paraId="68C0A86A" w14:textId="77777777"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El capítulo “Materia de la voz” compone una fuga babélica del habla, a partir de un pequeño relato de Chesterton, un temprano texto de Agamben (“</w:t>
      </w:r>
      <w:proofErr w:type="spellStart"/>
      <w:r w:rsidRPr="00920EE5">
        <w:rPr>
          <w:rFonts w:ascii="Garamond" w:eastAsia="Garamond" w:hAnsi="Garamond" w:cs="Garamond"/>
          <w:sz w:val="26"/>
          <w:szCs w:val="26"/>
          <w:lang w:val="es-AR"/>
        </w:rPr>
        <w:t>Il</w:t>
      </w:r>
      <w:proofErr w:type="spellEnd"/>
      <w:r w:rsidRPr="00920EE5">
        <w:rPr>
          <w:rFonts w:ascii="Garamond" w:eastAsia="Garamond" w:hAnsi="Garamond" w:cs="Garamond"/>
          <w:sz w:val="26"/>
          <w:szCs w:val="26"/>
          <w:lang w:val="es-AR"/>
        </w:rPr>
        <w:t xml:space="preserve"> pozo di </w:t>
      </w:r>
      <w:proofErr w:type="spellStart"/>
      <w:r w:rsidRPr="00920EE5">
        <w:rPr>
          <w:rFonts w:ascii="Garamond" w:eastAsia="Garamond" w:hAnsi="Garamond" w:cs="Garamond"/>
          <w:sz w:val="26"/>
          <w:szCs w:val="26"/>
          <w:lang w:val="es-AR"/>
        </w:rPr>
        <w:t>Babele</w:t>
      </w:r>
      <w:proofErr w:type="spellEnd"/>
      <w:r w:rsidRPr="00920EE5">
        <w:rPr>
          <w:rFonts w:ascii="Garamond" w:eastAsia="Garamond" w:hAnsi="Garamond" w:cs="Garamond"/>
          <w:sz w:val="26"/>
          <w:szCs w:val="26"/>
          <w:lang w:val="es-AR"/>
        </w:rPr>
        <w:t>, de 1966), de una anotación del diario de Kafka, de las investigaciones de Heller-</w:t>
      </w:r>
      <w:proofErr w:type="spellStart"/>
      <w:r w:rsidRPr="00920EE5">
        <w:rPr>
          <w:rFonts w:ascii="Garamond" w:eastAsia="Garamond" w:hAnsi="Garamond" w:cs="Garamond"/>
          <w:sz w:val="26"/>
          <w:szCs w:val="26"/>
          <w:lang w:val="es-AR"/>
        </w:rPr>
        <w:t>Roazen</w:t>
      </w:r>
      <w:proofErr w:type="spellEnd"/>
      <w:r w:rsidRPr="00920EE5">
        <w:rPr>
          <w:rFonts w:ascii="Garamond" w:eastAsia="Garamond" w:hAnsi="Garamond" w:cs="Garamond"/>
          <w:sz w:val="26"/>
          <w:szCs w:val="26"/>
          <w:lang w:val="es-AR"/>
        </w:rPr>
        <w:t xml:space="preserve">, en la que </w:t>
      </w: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persigue la huella del olvido en las lenguas aprendidas, luego de la caída de la torre bíblica para postular una clave afásica, “</w:t>
      </w:r>
      <w:proofErr w:type="spellStart"/>
      <w:r w:rsidRPr="00920EE5">
        <w:rPr>
          <w:rFonts w:ascii="Garamond" w:eastAsia="Garamond" w:hAnsi="Garamond" w:cs="Garamond"/>
          <w:sz w:val="26"/>
          <w:szCs w:val="26"/>
          <w:lang w:val="es-AR"/>
        </w:rPr>
        <w:t>post-babélica</w:t>
      </w:r>
      <w:proofErr w:type="spellEnd"/>
      <w:r w:rsidRPr="00920EE5">
        <w:rPr>
          <w:rFonts w:ascii="Garamond" w:eastAsia="Garamond" w:hAnsi="Garamond" w:cs="Garamond"/>
          <w:sz w:val="26"/>
          <w:szCs w:val="26"/>
          <w:lang w:val="es-AR"/>
        </w:rPr>
        <w:t xml:space="preserve">” (Derrida): la conciencia de aquel saber olvidado y recordado (la lengua del Edén, la torre de Babel y el pozo de Babel). En esta fuga, </w:t>
      </w:r>
      <w:proofErr w:type="spellStart"/>
      <w:r w:rsidRPr="00920EE5">
        <w:rPr>
          <w:rFonts w:ascii="Garamond" w:eastAsia="Garamond" w:hAnsi="Garamond" w:cs="Garamond"/>
          <w:sz w:val="26"/>
          <w:szCs w:val="26"/>
          <w:lang w:val="es-AR"/>
        </w:rPr>
        <w:t>Perednik</w:t>
      </w:r>
      <w:proofErr w:type="spellEnd"/>
      <w:r w:rsidRPr="00920EE5">
        <w:rPr>
          <w:rFonts w:ascii="Garamond" w:eastAsia="Garamond" w:hAnsi="Garamond" w:cs="Garamond"/>
          <w:sz w:val="26"/>
          <w:szCs w:val="26"/>
          <w:lang w:val="es-AR"/>
        </w:rPr>
        <w:t xml:space="preserve"> y Huidobro, </w:t>
      </w:r>
      <w:proofErr w:type="spellStart"/>
      <w:r w:rsidRPr="00920EE5">
        <w:rPr>
          <w:rFonts w:ascii="Garamond" w:eastAsia="Garamond" w:hAnsi="Garamond" w:cs="Garamond"/>
          <w:sz w:val="26"/>
          <w:szCs w:val="26"/>
          <w:lang w:val="es-AR"/>
        </w:rPr>
        <w:t>Ponge</w:t>
      </w:r>
      <w:proofErr w:type="spellEnd"/>
      <w:r w:rsidRPr="00920EE5">
        <w:rPr>
          <w:rFonts w:ascii="Garamond" w:eastAsia="Garamond" w:hAnsi="Garamond" w:cs="Garamond"/>
          <w:sz w:val="26"/>
          <w:szCs w:val="26"/>
          <w:lang w:val="es-AR"/>
        </w:rPr>
        <w:t xml:space="preserve"> y Baudelaire, hacen el contrapunto: cada línea de la prosa es una ficción polifónica que tiende al andamiaje vertical. </w:t>
      </w:r>
    </w:p>
    <w:p w14:paraId="4209D116" w14:textId="5111EF52" w:rsidR="00920EE5" w:rsidRPr="00920EE5" w:rsidRDefault="00920EE5" w:rsidP="007847CA">
      <w:pPr>
        <w:spacing w:after="60"/>
        <w:ind w:firstLine="567"/>
        <w:jc w:val="both"/>
        <w:rPr>
          <w:rFonts w:ascii="Garamond" w:eastAsia="Garamond" w:hAnsi="Garamond" w:cs="Garamond"/>
          <w:sz w:val="26"/>
          <w:szCs w:val="26"/>
          <w:lang w:val="es-AR"/>
        </w:rPr>
      </w:pPr>
      <w:proofErr w:type="spellStart"/>
      <w:r w:rsidRPr="00920EE5">
        <w:rPr>
          <w:rFonts w:ascii="Garamond" w:eastAsia="Garamond" w:hAnsi="Garamond" w:cs="Garamond"/>
          <w:sz w:val="26"/>
          <w:szCs w:val="26"/>
          <w:lang w:val="es-AR"/>
        </w:rPr>
        <w:t>Milone</w:t>
      </w:r>
      <w:proofErr w:type="spellEnd"/>
      <w:r w:rsidRPr="00920EE5">
        <w:rPr>
          <w:rFonts w:ascii="Garamond" w:eastAsia="Garamond" w:hAnsi="Garamond" w:cs="Garamond"/>
          <w:sz w:val="26"/>
          <w:szCs w:val="26"/>
          <w:lang w:val="es-AR"/>
        </w:rPr>
        <w:t xml:space="preserve"> interroga las zonas de contacto, los espacio</w:t>
      </w:r>
      <w:r w:rsidR="00FF5D1A">
        <w:rPr>
          <w:rFonts w:ascii="Garamond" w:eastAsia="Garamond" w:hAnsi="Garamond" w:cs="Garamond"/>
          <w:sz w:val="26"/>
          <w:szCs w:val="26"/>
          <w:lang w:val="es-AR"/>
        </w:rPr>
        <w:t>s</w:t>
      </w:r>
      <w:r w:rsidRPr="00920EE5">
        <w:rPr>
          <w:rFonts w:ascii="Garamond" w:eastAsia="Garamond" w:hAnsi="Garamond" w:cs="Garamond"/>
          <w:sz w:val="26"/>
          <w:szCs w:val="26"/>
          <w:lang w:val="es-AR"/>
        </w:rPr>
        <w:t xml:space="preserve"> liminares (los labios), los umbrales (las exclamaciones), las visiones fugaces (el paso de las ninfas). El libro todo está compuesto de espacios de reflexiones, especulaciones y resonancias. Sus partes se conectan entre sí, se </w:t>
      </w:r>
      <w:proofErr w:type="spellStart"/>
      <w:r w:rsidRPr="00920EE5">
        <w:rPr>
          <w:rFonts w:ascii="Garamond" w:eastAsia="Garamond" w:hAnsi="Garamond" w:cs="Garamond"/>
          <w:sz w:val="26"/>
          <w:szCs w:val="26"/>
          <w:lang w:val="es-AR"/>
        </w:rPr>
        <w:t>intersectan</w:t>
      </w:r>
      <w:proofErr w:type="spellEnd"/>
      <w:r w:rsidRPr="00920EE5">
        <w:rPr>
          <w:rFonts w:ascii="Garamond" w:eastAsia="Garamond" w:hAnsi="Garamond" w:cs="Garamond"/>
          <w:sz w:val="26"/>
          <w:szCs w:val="26"/>
          <w:lang w:val="es-AR"/>
        </w:rPr>
        <w:t xml:space="preserve"> y complementan, para devenir con el enigma propuesto por sí misma (por su voz, quiero decir): un umbral entre voz y letra, “la significación flotante de la lengua poética” (68) ofrendada a las ficciones más que a las determinaciones. No por un abandono de las determinaciones, sino por una renuncia por la línea de escritura: un olvido de azar provocado, o una extensión de aquel olvido babélico mencionado más arriba como potencia de una lengua arcaicamente nueva. </w:t>
      </w:r>
    </w:p>
    <w:p w14:paraId="0DA70606" w14:textId="0563B528" w:rsidR="00920EE5" w:rsidRPr="00920EE5" w:rsidRDefault="00920EE5" w:rsidP="007847CA">
      <w:pPr>
        <w:spacing w:after="60"/>
        <w:ind w:firstLine="567"/>
        <w:jc w:val="both"/>
        <w:rPr>
          <w:rFonts w:ascii="Garamond" w:eastAsia="Garamond" w:hAnsi="Garamond" w:cs="Garamond"/>
          <w:sz w:val="26"/>
          <w:szCs w:val="26"/>
          <w:lang w:val="es-AR"/>
        </w:rPr>
      </w:pPr>
      <w:r w:rsidRPr="00920EE5">
        <w:rPr>
          <w:rFonts w:ascii="Garamond" w:eastAsia="Garamond" w:hAnsi="Garamond" w:cs="Garamond"/>
          <w:sz w:val="26"/>
          <w:szCs w:val="26"/>
          <w:lang w:val="es-AR"/>
        </w:rPr>
        <w:t xml:space="preserve">La apuesta está en la escritura por el murmullo que atraviesa todas las líneas de la noche (como el pueblo de las ratas en la noche de </w:t>
      </w:r>
      <w:proofErr w:type="spellStart"/>
      <w:r w:rsidRPr="00920EE5">
        <w:rPr>
          <w:rFonts w:ascii="Garamond" w:eastAsia="Garamond" w:hAnsi="Garamond" w:cs="Garamond"/>
          <w:sz w:val="26"/>
          <w:szCs w:val="26"/>
          <w:lang w:val="es-AR"/>
        </w:rPr>
        <w:t>Zürau</w:t>
      </w:r>
      <w:proofErr w:type="spellEnd"/>
      <w:r w:rsidRPr="00920EE5">
        <w:rPr>
          <w:rFonts w:ascii="Garamond" w:eastAsia="Garamond" w:hAnsi="Garamond" w:cs="Garamond"/>
          <w:sz w:val="26"/>
          <w:szCs w:val="26"/>
          <w:lang w:val="es-AR"/>
        </w:rPr>
        <w:t xml:space="preserve"> para Kafka) para así abrirse, con la voz de la tierra y el Edén, a los restos </w:t>
      </w:r>
      <w:proofErr w:type="spellStart"/>
      <w:r w:rsidRPr="00920EE5">
        <w:rPr>
          <w:rFonts w:ascii="Garamond" w:eastAsia="Garamond" w:hAnsi="Garamond" w:cs="Garamond"/>
          <w:sz w:val="26"/>
          <w:szCs w:val="26"/>
          <w:lang w:val="es-AR"/>
        </w:rPr>
        <w:t>glosolálicos</w:t>
      </w:r>
      <w:proofErr w:type="spellEnd"/>
      <w:r w:rsidRPr="00920EE5">
        <w:rPr>
          <w:rFonts w:ascii="Garamond" w:eastAsia="Garamond" w:hAnsi="Garamond" w:cs="Garamond"/>
          <w:sz w:val="26"/>
          <w:szCs w:val="26"/>
          <w:lang w:val="es-AR"/>
        </w:rPr>
        <w:t>, a la poesía y al umbral de los labios: “en todas las direcciones donde la materia fónica vibre en pequeñas fábulas de bocas que atesoren la lengua entre lo sonoro de la voz y lo literal de la letra” (69)</w:t>
      </w:r>
      <w:r w:rsidR="001A3DEA">
        <w:rPr>
          <w:rFonts w:ascii="Garamond" w:eastAsia="Garamond" w:hAnsi="Garamond" w:cs="Garamond"/>
          <w:sz w:val="26"/>
          <w:szCs w:val="26"/>
          <w:lang w:val="es-AR"/>
        </w:rPr>
        <w:t>.</w:t>
      </w:r>
      <w:r w:rsidRPr="00920EE5">
        <w:rPr>
          <w:rFonts w:ascii="Garamond" w:eastAsia="Garamond" w:hAnsi="Garamond" w:cs="Garamond"/>
          <w:sz w:val="26"/>
          <w:szCs w:val="26"/>
          <w:lang w:val="es-AR"/>
        </w:rPr>
        <w:t xml:space="preserve"> Estas </w:t>
      </w:r>
      <w:r w:rsidRPr="00920EE5">
        <w:rPr>
          <w:rFonts w:ascii="Garamond" w:eastAsia="Garamond" w:hAnsi="Garamond" w:cs="Garamond"/>
          <w:i/>
          <w:sz w:val="26"/>
          <w:szCs w:val="26"/>
          <w:lang w:val="es-AR"/>
        </w:rPr>
        <w:t>ficciones</w:t>
      </w:r>
      <w:r w:rsidRPr="00920EE5">
        <w:rPr>
          <w:rFonts w:ascii="Garamond" w:eastAsia="Garamond" w:hAnsi="Garamond" w:cs="Garamond"/>
          <w:sz w:val="26"/>
          <w:szCs w:val="26"/>
          <w:lang w:val="es-AR"/>
        </w:rPr>
        <w:t xml:space="preserve"> proponen escuchar la voz que son voces y </w:t>
      </w:r>
      <w:proofErr w:type="spellStart"/>
      <w:r w:rsidRPr="00920EE5">
        <w:rPr>
          <w:rFonts w:ascii="Garamond" w:eastAsia="Garamond" w:hAnsi="Garamond" w:cs="Garamond"/>
          <w:sz w:val="26"/>
          <w:szCs w:val="26"/>
          <w:lang w:val="es-AR"/>
        </w:rPr>
        <w:t>ficcionalizar</w:t>
      </w:r>
      <w:proofErr w:type="spellEnd"/>
      <w:r w:rsidRPr="00920EE5">
        <w:rPr>
          <w:rFonts w:ascii="Garamond" w:eastAsia="Garamond" w:hAnsi="Garamond" w:cs="Garamond"/>
          <w:sz w:val="26"/>
          <w:szCs w:val="26"/>
          <w:lang w:val="es-AR"/>
        </w:rPr>
        <w:t xml:space="preserve"> en sí las huellas del cuerpo en la letra (que vibra en la mano): abrirse a la onda sonora con todas sus armonías y desconciertos (en resonancias de resonancias).  </w:t>
      </w:r>
    </w:p>
    <w:p w14:paraId="5B9EBD2A" w14:textId="19E8E881" w:rsidR="00920EE5" w:rsidRPr="00920EE5" w:rsidRDefault="00920EE5" w:rsidP="007847CA">
      <w:pPr>
        <w:spacing w:after="60"/>
        <w:ind w:firstLine="567"/>
        <w:jc w:val="both"/>
        <w:rPr>
          <w:rFonts w:ascii="Garamond" w:eastAsia="Garamond" w:hAnsi="Garamond" w:cs="Garamond"/>
          <w:sz w:val="26"/>
          <w:szCs w:val="26"/>
        </w:rPr>
      </w:pPr>
      <w:r w:rsidRPr="00920EE5">
        <w:rPr>
          <w:rFonts w:ascii="Garamond" w:eastAsia="Garamond" w:hAnsi="Garamond" w:cs="Garamond"/>
          <w:sz w:val="26"/>
          <w:szCs w:val="26"/>
        </w:rPr>
        <w:t xml:space="preserve">La escritura de </w:t>
      </w:r>
      <w:r w:rsidRPr="00920EE5">
        <w:rPr>
          <w:rFonts w:ascii="Garamond" w:eastAsia="Garamond" w:hAnsi="Garamond" w:cs="Garamond"/>
          <w:i/>
          <w:sz w:val="26"/>
          <w:szCs w:val="26"/>
        </w:rPr>
        <w:t>Ficciones fónicas</w:t>
      </w:r>
      <w:r w:rsidRPr="00920EE5">
        <w:rPr>
          <w:rFonts w:ascii="Garamond" w:eastAsia="Garamond" w:hAnsi="Garamond" w:cs="Garamond"/>
          <w:sz w:val="26"/>
          <w:szCs w:val="26"/>
        </w:rPr>
        <w:t xml:space="preserve"> persigue una forma que es su triunfo y su condición</w:t>
      </w:r>
      <w:r w:rsidR="001A3DEA">
        <w:rPr>
          <w:rFonts w:ascii="Garamond" w:eastAsia="Garamond" w:hAnsi="Garamond" w:cs="Garamond"/>
          <w:sz w:val="26"/>
          <w:szCs w:val="26"/>
        </w:rPr>
        <w:t>:</w:t>
      </w:r>
      <w:r w:rsidRPr="00920EE5">
        <w:rPr>
          <w:rFonts w:ascii="Garamond" w:eastAsia="Garamond" w:hAnsi="Garamond" w:cs="Garamond"/>
          <w:sz w:val="26"/>
          <w:szCs w:val="26"/>
          <w:vertAlign w:val="superscript"/>
        </w:rPr>
        <w:footnoteReference w:id="7"/>
      </w:r>
      <w:r w:rsidRPr="00920EE5">
        <w:rPr>
          <w:rFonts w:ascii="Garamond" w:eastAsia="Garamond" w:hAnsi="Garamond" w:cs="Garamond"/>
          <w:sz w:val="26"/>
          <w:szCs w:val="26"/>
        </w:rPr>
        <w:t xml:space="preserve"> la entrega a la deriva –aquello que la última parte presenta de manera ordenada, como método posible de composición de las series desplegadas en el texto–, a riesgo de perder una instancia de </w:t>
      </w:r>
      <w:r w:rsidRPr="00920EE5">
        <w:rPr>
          <w:rFonts w:ascii="Garamond" w:eastAsia="Garamond" w:hAnsi="Garamond" w:cs="Garamond"/>
          <w:i/>
          <w:sz w:val="26"/>
          <w:szCs w:val="26"/>
        </w:rPr>
        <w:t>vigilia</w:t>
      </w:r>
      <w:r w:rsidRPr="00920EE5">
        <w:rPr>
          <w:rFonts w:ascii="Garamond" w:eastAsia="Garamond" w:hAnsi="Garamond" w:cs="Garamond"/>
          <w:sz w:val="26"/>
          <w:szCs w:val="26"/>
        </w:rPr>
        <w:t xml:space="preserve"> crítica (que puede ser paranoia). Cada página propone un desborde que no quiere reducirse a </w:t>
      </w:r>
      <w:r w:rsidRPr="00920EE5">
        <w:rPr>
          <w:rFonts w:ascii="Garamond" w:eastAsia="Garamond" w:hAnsi="Garamond" w:cs="Garamond"/>
          <w:sz w:val="26"/>
          <w:szCs w:val="26"/>
        </w:rPr>
        <w:lastRenderedPageBreak/>
        <w:t xml:space="preserve">una captura esquemática, y en esa intensidad, a veces, se extravía (¿no alcanza su estilo?), y la ficción (el pueblo de los ratones de Kafka, por ejemplo) no termina de acontecer en la propuesta que la misma escritura quiere realizar. Pero aquella vigilia crítica nos condiciona, y tal vez sólo sea una severa vigilancia ante las sutilezas de la imaginación. </w:t>
      </w:r>
    </w:p>
    <w:p w14:paraId="73CBDBCE" w14:textId="4E9CD079" w:rsidR="00920EE5" w:rsidRPr="00920EE5" w:rsidRDefault="00920EE5" w:rsidP="007847CA">
      <w:pPr>
        <w:spacing w:after="60"/>
        <w:ind w:firstLine="567"/>
        <w:jc w:val="both"/>
        <w:rPr>
          <w:rFonts w:ascii="Garamond" w:eastAsia="Garamond" w:hAnsi="Garamond" w:cs="Garamond"/>
          <w:sz w:val="26"/>
          <w:szCs w:val="26"/>
        </w:rPr>
      </w:pPr>
      <w:r w:rsidRPr="00920EE5">
        <w:rPr>
          <w:rFonts w:ascii="Garamond" w:eastAsia="Garamond" w:hAnsi="Garamond" w:cs="Garamond"/>
          <w:sz w:val="26"/>
          <w:szCs w:val="26"/>
        </w:rPr>
        <w:t xml:space="preserve">Lo cierto es que ahora sabemos, como nos dicen (nos escriben, nos convocan) las páginas de </w:t>
      </w:r>
      <w:r w:rsidRPr="00920EE5">
        <w:rPr>
          <w:rFonts w:ascii="Garamond" w:eastAsia="Garamond" w:hAnsi="Garamond" w:cs="Garamond"/>
          <w:i/>
          <w:sz w:val="26"/>
          <w:szCs w:val="26"/>
        </w:rPr>
        <w:t>Ficciones</w:t>
      </w:r>
      <w:r w:rsidRPr="00920EE5">
        <w:rPr>
          <w:rFonts w:ascii="Garamond" w:eastAsia="Garamond" w:hAnsi="Garamond" w:cs="Garamond"/>
          <w:sz w:val="26"/>
          <w:szCs w:val="26"/>
        </w:rPr>
        <w:t xml:space="preserve">: las voces, aún sus maneras melismáticas o afásicas, son acontecimientos por-venir, y la escritura es una inminencia, “entre la fugacidad de la voz y la espesura de la letra” (124), y este libro las celebra. </w:t>
      </w:r>
    </w:p>
    <w:p w14:paraId="0DF06DE5" w14:textId="77777777" w:rsidR="003C5BDD" w:rsidRPr="003C5BDD" w:rsidRDefault="003C5BDD" w:rsidP="003C5BDD">
      <w:pPr>
        <w:spacing w:after="60"/>
        <w:jc w:val="both"/>
        <w:rPr>
          <w:rFonts w:ascii="Garamond" w:eastAsia="Garamond" w:hAnsi="Garamond" w:cs="Garamond"/>
          <w:sz w:val="26"/>
          <w:szCs w:val="26"/>
        </w:rPr>
      </w:pPr>
    </w:p>
    <w:p w14:paraId="5BB49161" w14:textId="7E32EC82" w:rsidR="003C5BDD" w:rsidRDefault="00716962" w:rsidP="003C5BDD">
      <w:pPr>
        <w:spacing w:after="60"/>
        <w:jc w:val="both"/>
        <w:rPr>
          <w:rFonts w:ascii="Garamond" w:eastAsia="Garamond" w:hAnsi="Garamond" w:cs="Garamond"/>
          <w:b/>
          <w:bCs/>
          <w:sz w:val="26"/>
          <w:szCs w:val="26"/>
        </w:rPr>
      </w:pPr>
      <w:r w:rsidRPr="00716962">
        <w:rPr>
          <w:rFonts w:ascii="Garamond" w:eastAsia="Garamond" w:hAnsi="Garamond" w:cs="Garamond"/>
          <w:b/>
          <w:bCs/>
          <w:sz w:val="26"/>
          <w:szCs w:val="26"/>
        </w:rPr>
        <w:t>Bibliografía</w:t>
      </w:r>
    </w:p>
    <w:p w14:paraId="57B39D0E" w14:textId="77777777" w:rsidR="0046238B" w:rsidRPr="0046238B" w:rsidRDefault="0046238B" w:rsidP="0046238B">
      <w:pPr>
        <w:ind w:left="720" w:hanging="720"/>
        <w:jc w:val="both"/>
        <w:rPr>
          <w:rFonts w:ascii="Garamond" w:hAnsi="Garamond"/>
        </w:rPr>
      </w:pPr>
      <w:r w:rsidRPr="0046238B">
        <w:rPr>
          <w:rFonts w:ascii="Garamond" w:hAnsi="Garamond"/>
          <w:smallCaps/>
        </w:rPr>
        <w:t xml:space="preserve">Barthes, Roland. </w:t>
      </w:r>
      <w:r w:rsidRPr="0046238B">
        <w:rPr>
          <w:rFonts w:ascii="Garamond" w:hAnsi="Garamond"/>
          <w:i/>
        </w:rPr>
        <w:t>Fragmentos de un discurso amoroso</w:t>
      </w:r>
      <w:r w:rsidRPr="0046238B">
        <w:rPr>
          <w:rFonts w:ascii="Garamond" w:hAnsi="Garamond"/>
        </w:rPr>
        <w:t xml:space="preserve">. Buenos Aires: Siglo XXI, 2002. (Trad. Eduardo Molina.) </w:t>
      </w:r>
    </w:p>
    <w:p w14:paraId="209CFACE" w14:textId="04E5256B" w:rsidR="0046238B" w:rsidRPr="0046238B" w:rsidRDefault="0046238B" w:rsidP="0046238B">
      <w:pPr>
        <w:ind w:left="720" w:hanging="720"/>
        <w:jc w:val="both"/>
        <w:rPr>
          <w:rFonts w:ascii="Garamond" w:hAnsi="Garamond"/>
        </w:rPr>
      </w:pPr>
      <w:r w:rsidRPr="0046238B">
        <w:rPr>
          <w:rFonts w:ascii="Garamond" w:hAnsi="Garamond"/>
          <w:smallCaps/>
        </w:rPr>
        <w:t>Cage, John</w:t>
      </w:r>
      <w:r w:rsidRPr="0046238B">
        <w:rPr>
          <w:rFonts w:ascii="Garamond" w:hAnsi="Garamond"/>
        </w:rPr>
        <w:t xml:space="preserve">. </w:t>
      </w:r>
      <w:r w:rsidRPr="0046238B">
        <w:rPr>
          <w:rFonts w:ascii="Garamond" w:hAnsi="Garamond"/>
          <w:i/>
        </w:rPr>
        <w:t>Conferencia sobre nada</w:t>
      </w:r>
      <w:r w:rsidRPr="0046238B">
        <w:rPr>
          <w:rFonts w:ascii="Garamond" w:hAnsi="Garamond"/>
        </w:rPr>
        <w:t xml:space="preserve">. </w:t>
      </w:r>
      <w:proofErr w:type="spellStart"/>
      <w:r w:rsidRPr="0046238B">
        <w:rPr>
          <w:rFonts w:ascii="Garamond" w:hAnsi="Garamond"/>
        </w:rPr>
        <w:t>Fogwill</w:t>
      </w:r>
      <w:proofErr w:type="spellEnd"/>
      <w:r w:rsidRPr="0046238B">
        <w:rPr>
          <w:rFonts w:ascii="Garamond" w:hAnsi="Garamond"/>
        </w:rPr>
        <w:t xml:space="preserve"> y Pablo </w:t>
      </w:r>
      <w:proofErr w:type="spellStart"/>
      <w:r w:rsidRPr="0046238B">
        <w:rPr>
          <w:rFonts w:ascii="Garamond" w:hAnsi="Garamond"/>
        </w:rPr>
        <w:t>Gianera</w:t>
      </w:r>
      <w:proofErr w:type="spellEnd"/>
      <w:r>
        <w:rPr>
          <w:rFonts w:ascii="Garamond" w:hAnsi="Garamond"/>
        </w:rPr>
        <w:t xml:space="preserve"> (</w:t>
      </w:r>
      <w:proofErr w:type="spellStart"/>
      <w:r>
        <w:rPr>
          <w:rFonts w:ascii="Garamond" w:hAnsi="Garamond"/>
        </w:rPr>
        <w:t>Trads</w:t>
      </w:r>
      <w:proofErr w:type="spellEnd"/>
      <w:r>
        <w:rPr>
          <w:rFonts w:ascii="Garamond" w:hAnsi="Garamond"/>
        </w:rPr>
        <w:t>.)</w:t>
      </w:r>
      <w:r w:rsidRPr="0046238B">
        <w:rPr>
          <w:rFonts w:ascii="Garamond" w:hAnsi="Garamond"/>
        </w:rPr>
        <w:t xml:space="preserve">. Buenos Aires: </w:t>
      </w:r>
      <w:proofErr w:type="spellStart"/>
      <w:r w:rsidRPr="0046238B">
        <w:rPr>
          <w:rFonts w:ascii="Garamond" w:hAnsi="Garamond"/>
        </w:rPr>
        <w:t>Interzona</w:t>
      </w:r>
      <w:proofErr w:type="spellEnd"/>
      <w:r w:rsidRPr="0046238B">
        <w:rPr>
          <w:rFonts w:ascii="Garamond" w:hAnsi="Garamond"/>
        </w:rPr>
        <w:t xml:space="preserve"> Editora, 2022. </w:t>
      </w:r>
    </w:p>
    <w:p w14:paraId="414E66B6" w14:textId="2BB4EF37" w:rsidR="0046238B" w:rsidRPr="0046238B" w:rsidRDefault="0046238B" w:rsidP="0046238B">
      <w:pPr>
        <w:ind w:left="720" w:hanging="720"/>
        <w:jc w:val="both"/>
        <w:rPr>
          <w:rFonts w:ascii="Garamond" w:hAnsi="Garamond"/>
        </w:rPr>
      </w:pPr>
      <w:proofErr w:type="spellStart"/>
      <w:r w:rsidRPr="0046238B">
        <w:rPr>
          <w:rFonts w:ascii="Garamond" w:hAnsi="Garamond"/>
          <w:smallCaps/>
        </w:rPr>
        <w:t>Calasso</w:t>
      </w:r>
      <w:proofErr w:type="spellEnd"/>
      <w:r w:rsidRPr="0046238B">
        <w:rPr>
          <w:rFonts w:ascii="Garamond" w:hAnsi="Garamond"/>
          <w:smallCaps/>
        </w:rPr>
        <w:t>, Roberto</w:t>
      </w:r>
      <w:r>
        <w:rPr>
          <w:rFonts w:ascii="Garamond" w:hAnsi="Garamond"/>
          <w:iCs/>
        </w:rPr>
        <w:t xml:space="preserve">. </w:t>
      </w:r>
      <w:proofErr w:type="gramStart"/>
      <w:r w:rsidRPr="0046238B">
        <w:rPr>
          <w:rFonts w:ascii="Garamond" w:hAnsi="Garamond"/>
          <w:i/>
        </w:rPr>
        <w:t>K.</w:t>
      </w:r>
      <w:r w:rsidRPr="0046238B">
        <w:rPr>
          <w:rFonts w:ascii="Garamond" w:hAnsi="Garamond"/>
        </w:rPr>
        <w:t>.</w:t>
      </w:r>
      <w:proofErr w:type="gramEnd"/>
      <w:r w:rsidRPr="0046238B">
        <w:rPr>
          <w:rFonts w:ascii="Garamond" w:hAnsi="Garamond"/>
        </w:rPr>
        <w:t xml:space="preserve"> Edgardo </w:t>
      </w:r>
      <w:proofErr w:type="spellStart"/>
      <w:r w:rsidRPr="0046238B">
        <w:rPr>
          <w:rFonts w:ascii="Garamond" w:hAnsi="Garamond"/>
        </w:rPr>
        <w:t>Dobry</w:t>
      </w:r>
      <w:proofErr w:type="spellEnd"/>
      <w:r w:rsidRPr="0046238B">
        <w:rPr>
          <w:rFonts w:ascii="Garamond" w:hAnsi="Garamond"/>
          <w:i/>
        </w:rPr>
        <w:t xml:space="preserve"> </w:t>
      </w:r>
      <w:r>
        <w:rPr>
          <w:rFonts w:ascii="Garamond" w:hAnsi="Garamond"/>
          <w:iCs/>
        </w:rPr>
        <w:t xml:space="preserve">(Trad.). </w:t>
      </w:r>
      <w:r w:rsidRPr="0046238B">
        <w:rPr>
          <w:rFonts w:ascii="Garamond" w:hAnsi="Garamond"/>
        </w:rPr>
        <w:t>Barcelona: Anagrama,</w:t>
      </w:r>
      <w:r>
        <w:rPr>
          <w:rFonts w:ascii="Garamond" w:hAnsi="Garamond"/>
        </w:rPr>
        <w:t xml:space="preserve"> </w:t>
      </w:r>
      <w:r w:rsidRPr="0046238B">
        <w:rPr>
          <w:rFonts w:ascii="Garamond" w:hAnsi="Garamond"/>
        </w:rPr>
        <w:t xml:space="preserve">2005. </w:t>
      </w:r>
    </w:p>
    <w:p w14:paraId="53DCC663" w14:textId="6649B2C0" w:rsidR="0046238B" w:rsidRPr="00096A34" w:rsidRDefault="0046238B" w:rsidP="00096A34">
      <w:pPr>
        <w:ind w:left="720" w:hanging="720"/>
        <w:jc w:val="both"/>
        <w:rPr>
          <w:rFonts w:ascii="Garamond" w:hAnsi="Garamond"/>
        </w:rPr>
      </w:pPr>
      <w:r w:rsidRPr="0046238B">
        <w:rPr>
          <w:rFonts w:ascii="Garamond" w:hAnsi="Garamond"/>
          <w:smallCaps/>
        </w:rPr>
        <w:t>Deleuze, G. y Guattari, F.</w:t>
      </w:r>
      <w:r w:rsidRPr="0046238B">
        <w:rPr>
          <w:rFonts w:ascii="Garamond" w:hAnsi="Garamond"/>
        </w:rPr>
        <w:t xml:space="preserve"> </w:t>
      </w:r>
      <w:r w:rsidRPr="0046238B">
        <w:rPr>
          <w:rFonts w:ascii="Garamond" w:hAnsi="Garamond"/>
          <w:i/>
        </w:rPr>
        <w:t>Mil Mesetas. Capitalismo y esquizofrenia</w:t>
      </w:r>
      <w:r w:rsidRPr="0046238B">
        <w:rPr>
          <w:rFonts w:ascii="Garamond" w:hAnsi="Garamond"/>
        </w:rPr>
        <w:t xml:space="preserve">. </w:t>
      </w:r>
      <w:r w:rsidR="00096A34" w:rsidRPr="0046238B">
        <w:rPr>
          <w:rFonts w:ascii="Garamond" w:hAnsi="Garamond"/>
        </w:rPr>
        <w:t xml:space="preserve">José Vázquez Pérez </w:t>
      </w:r>
      <w:r w:rsidR="00096A34">
        <w:rPr>
          <w:rFonts w:ascii="Garamond" w:hAnsi="Garamond"/>
        </w:rPr>
        <w:t>y</w:t>
      </w:r>
      <w:r w:rsidR="00096A34" w:rsidRPr="0046238B">
        <w:rPr>
          <w:rFonts w:ascii="Garamond" w:hAnsi="Garamond"/>
        </w:rPr>
        <w:t xml:space="preserve"> </w:t>
      </w:r>
      <w:proofErr w:type="spellStart"/>
      <w:r w:rsidR="00096A34" w:rsidRPr="0046238B">
        <w:rPr>
          <w:rFonts w:ascii="Garamond" w:hAnsi="Garamond"/>
        </w:rPr>
        <w:t>Umbelina</w:t>
      </w:r>
      <w:proofErr w:type="spellEnd"/>
      <w:r w:rsidR="00096A34" w:rsidRPr="0046238B">
        <w:rPr>
          <w:rFonts w:ascii="Garamond" w:hAnsi="Garamond"/>
        </w:rPr>
        <w:t xml:space="preserve"> </w:t>
      </w:r>
      <w:proofErr w:type="spellStart"/>
      <w:r w:rsidR="00096A34" w:rsidRPr="0046238B">
        <w:rPr>
          <w:rFonts w:ascii="Garamond" w:hAnsi="Garamond"/>
        </w:rPr>
        <w:t>Larraceleta</w:t>
      </w:r>
      <w:proofErr w:type="spellEnd"/>
      <w:r w:rsidR="00096A34">
        <w:rPr>
          <w:rFonts w:ascii="Garamond" w:hAnsi="Garamond"/>
        </w:rPr>
        <w:t xml:space="preserve"> (Trad.). </w:t>
      </w:r>
      <w:r w:rsidRPr="0046238B">
        <w:rPr>
          <w:rFonts w:ascii="Garamond" w:hAnsi="Garamond"/>
        </w:rPr>
        <w:t xml:space="preserve">Valencia: Pre-Textos, 2002. </w:t>
      </w:r>
    </w:p>
    <w:p w14:paraId="02A83ACE" w14:textId="77777777" w:rsidR="00716962" w:rsidRPr="00716962" w:rsidRDefault="00716962" w:rsidP="003C5BDD">
      <w:pPr>
        <w:spacing w:after="60"/>
        <w:jc w:val="both"/>
        <w:rPr>
          <w:rFonts w:ascii="Garamond" w:eastAsia="Garamond" w:hAnsi="Garamond" w:cs="Garamond"/>
          <w:sz w:val="26"/>
          <w:szCs w:val="26"/>
        </w:rPr>
      </w:pPr>
    </w:p>
    <w:p w14:paraId="393A1001" w14:textId="77777777" w:rsidR="003C5BDD" w:rsidRPr="003C5BDD" w:rsidRDefault="003C5BDD" w:rsidP="003C5BDD">
      <w:pPr>
        <w:spacing w:after="60"/>
        <w:jc w:val="both"/>
        <w:rPr>
          <w:rFonts w:ascii="Garamond" w:eastAsia="Garamond" w:hAnsi="Garamond" w:cs="Garamond"/>
          <w:sz w:val="26"/>
          <w:szCs w:val="26"/>
        </w:rPr>
      </w:pPr>
    </w:p>
    <w:p w14:paraId="0384C112" w14:textId="77777777" w:rsidR="003C5BDD" w:rsidRPr="003C5BDD" w:rsidRDefault="003C5BDD" w:rsidP="003C5BDD">
      <w:pPr>
        <w:spacing w:after="60"/>
        <w:jc w:val="both"/>
        <w:rPr>
          <w:rFonts w:ascii="Garamond" w:eastAsia="Garamond" w:hAnsi="Garamond" w:cs="Garamond"/>
          <w:sz w:val="26"/>
          <w:szCs w:val="26"/>
        </w:rPr>
      </w:pPr>
    </w:p>
    <w:p w14:paraId="16EF86B0" w14:textId="77777777" w:rsidR="003C5BDD" w:rsidRPr="003C5BDD" w:rsidRDefault="003C5BDD" w:rsidP="003C5BDD">
      <w:pPr>
        <w:spacing w:after="60"/>
        <w:jc w:val="both"/>
        <w:rPr>
          <w:rFonts w:ascii="Garamond" w:eastAsia="Garamond" w:hAnsi="Garamond" w:cs="Garamond"/>
          <w:sz w:val="26"/>
          <w:szCs w:val="26"/>
        </w:rPr>
      </w:pPr>
    </w:p>
    <w:p w14:paraId="7E0EDBC9" w14:textId="77777777" w:rsidR="003C5BDD" w:rsidRPr="003C5BDD" w:rsidRDefault="003C5BDD" w:rsidP="003C5BDD">
      <w:pPr>
        <w:spacing w:after="60"/>
        <w:jc w:val="both"/>
        <w:rPr>
          <w:rFonts w:ascii="Garamond" w:eastAsia="Garamond" w:hAnsi="Garamond" w:cs="Garamond"/>
          <w:sz w:val="26"/>
          <w:szCs w:val="26"/>
        </w:rPr>
      </w:pPr>
    </w:p>
    <w:p w14:paraId="1B12A3A9" w14:textId="77777777" w:rsidR="003C5BDD" w:rsidRPr="003C5BDD" w:rsidRDefault="003C5BDD" w:rsidP="003C5BDD">
      <w:pPr>
        <w:spacing w:after="60"/>
        <w:jc w:val="both"/>
        <w:rPr>
          <w:rFonts w:ascii="Garamond" w:eastAsia="Garamond" w:hAnsi="Garamond" w:cs="Garamond"/>
          <w:sz w:val="26"/>
          <w:szCs w:val="26"/>
        </w:rPr>
      </w:pPr>
    </w:p>
    <w:p w14:paraId="65191B58" w14:textId="77777777" w:rsidR="00ED2069" w:rsidRDefault="00ED2069">
      <w:pPr>
        <w:spacing w:after="60"/>
        <w:jc w:val="both"/>
        <w:rPr>
          <w:rFonts w:ascii="Garamond" w:eastAsia="Garamond" w:hAnsi="Garamond" w:cs="Garamond"/>
          <w:b/>
          <w:sz w:val="26"/>
          <w:szCs w:val="26"/>
        </w:rPr>
      </w:pPr>
    </w:p>
    <w:sectPr w:rsidR="00ED2069" w:rsidSect="00505A08">
      <w:headerReference w:type="even" r:id="rId9"/>
      <w:headerReference w:type="default" r:id="rId10"/>
      <w:footerReference w:type="even" r:id="rId11"/>
      <w:footerReference w:type="default" r:id="rId12"/>
      <w:headerReference w:type="first" r:id="rId13"/>
      <w:footerReference w:type="first" r:id="rId14"/>
      <w:pgSz w:w="12240" w:h="15840"/>
      <w:pgMar w:top="1418" w:right="2317" w:bottom="1701" w:left="2268" w:header="709" w:footer="454" w:gutter="0"/>
      <w:pgNumType w:start="29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F7678" w14:textId="77777777" w:rsidR="003246BB" w:rsidRDefault="003246BB">
      <w:r>
        <w:separator/>
      </w:r>
    </w:p>
  </w:endnote>
  <w:endnote w:type="continuationSeparator" w:id="0">
    <w:p w14:paraId="7F3CC379" w14:textId="77777777" w:rsidR="003246BB" w:rsidRDefault="00324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sig w:usb0="00000003" w:usb1="00000000" w:usb2="00000000" w:usb3="00000000" w:csb0="00000001" w:csb1="00000000"/>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5EBB9DE8"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9875DF">
      <w:rPr>
        <w:rFonts w:ascii="Garamond" w:eastAsia="Garamond" w:hAnsi="Garamond" w:cs="Garamond"/>
        <w:color w:val="000000"/>
        <w:sz w:val="20"/>
        <w:szCs w:val="20"/>
      </w:rPr>
      <w:t>5</w:t>
    </w:r>
    <w:r w:rsidR="001B63C3">
      <w:rPr>
        <w:rFonts w:ascii="Garamond" w:eastAsia="Garamond" w:hAnsi="Garamond" w:cs="Garamond"/>
        <w:color w:val="000000"/>
        <w:sz w:val="20"/>
        <w:szCs w:val="20"/>
      </w:rPr>
      <w:t xml:space="preserve"> /</w:t>
    </w:r>
    <w:r w:rsidR="00A87CAB">
      <w:rPr>
        <w:rFonts w:ascii="Garamond" w:eastAsia="Garamond" w:hAnsi="Garamond" w:cs="Garamond"/>
        <w:color w:val="000000"/>
        <w:sz w:val="20"/>
        <w:szCs w:val="20"/>
      </w:rPr>
      <w:t xml:space="preserve"> </w:t>
    </w:r>
    <w:proofErr w:type="gramStart"/>
    <w:r w:rsidR="009875DF">
      <w:rPr>
        <w:rFonts w:ascii="Garamond" w:eastAsia="Garamond" w:hAnsi="Garamond" w:cs="Garamond"/>
        <w:color w:val="000000"/>
        <w:sz w:val="20"/>
        <w:szCs w:val="20"/>
      </w:rPr>
      <w:t>Diciembre</w:t>
    </w:r>
    <w:proofErr w:type="gramEnd"/>
    <w:r w:rsidR="001B63C3">
      <w:rPr>
        <w:rFonts w:ascii="Garamond" w:eastAsia="Garamond" w:hAnsi="Garamond" w:cs="Garamond"/>
        <w:color w:val="000000"/>
        <w:sz w:val="20"/>
        <w:szCs w:val="20"/>
      </w:rPr>
      <w:t xml:space="preserve"> 202</w:t>
    </w:r>
    <w:r w:rsidR="00A87CAB">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4105EC">
      <w:rPr>
        <w:rFonts w:ascii="Garamond" w:eastAsia="Garamond" w:hAnsi="Garamond" w:cs="Garamond"/>
        <w:color w:val="000000"/>
        <w:sz w:val="20"/>
        <w:szCs w:val="20"/>
      </w:rPr>
      <w:t>2</w:t>
    </w:r>
    <w:r w:rsidR="00505A08">
      <w:rPr>
        <w:rFonts w:ascii="Garamond" w:eastAsia="Garamond" w:hAnsi="Garamond" w:cs="Garamond"/>
        <w:color w:val="000000"/>
        <w:sz w:val="20"/>
        <w:szCs w:val="20"/>
      </w:rPr>
      <w:t>93</w:t>
    </w:r>
    <w:r w:rsidR="00ED2069">
      <w:rPr>
        <w:rFonts w:ascii="Garamond" w:eastAsia="Garamond" w:hAnsi="Garamond" w:cs="Garamond"/>
        <w:color w:val="000000"/>
        <w:sz w:val="20"/>
        <w:szCs w:val="20"/>
      </w:rPr>
      <w:t>-</w:t>
    </w:r>
    <w:r w:rsidR="004105EC">
      <w:rPr>
        <w:rFonts w:ascii="Garamond" w:eastAsia="Garamond" w:hAnsi="Garamond" w:cs="Garamond"/>
        <w:color w:val="000000"/>
        <w:sz w:val="20"/>
        <w:szCs w:val="20"/>
      </w:rPr>
      <w:t>2</w:t>
    </w:r>
    <w:r w:rsidR="00505A08">
      <w:rPr>
        <w:rFonts w:ascii="Garamond" w:eastAsia="Garamond" w:hAnsi="Garamond" w:cs="Garamond"/>
        <w:color w:val="000000"/>
        <w:sz w:val="20"/>
        <w:szCs w:val="20"/>
      </w:rPr>
      <w:t>98</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3C4A31">
      <w:rPr>
        <w:rFonts w:ascii="Garamond" w:eastAsia="Garamond" w:hAnsi="Garamond" w:cs="Garamond"/>
        <w:noProof/>
        <w:color w:val="000000"/>
        <w:sz w:val="20"/>
        <w:szCs w:val="20"/>
      </w:rPr>
      <w:t>238</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61D69" w14:textId="77777777" w:rsidR="003246BB" w:rsidRDefault="003246BB">
      <w:r>
        <w:separator/>
      </w:r>
    </w:p>
  </w:footnote>
  <w:footnote w:type="continuationSeparator" w:id="0">
    <w:p w14:paraId="6DBF39DE" w14:textId="77777777" w:rsidR="003246BB" w:rsidRDefault="003246BB">
      <w:r>
        <w:continuationSeparator/>
      </w:r>
    </w:p>
  </w:footnote>
  <w:footnote w:id="1">
    <w:p w14:paraId="6EBC6F16" w14:textId="77777777"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Carta a Felix Weltsch (noviembre, 1917), citada en </w:t>
      </w:r>
      <w:r w:rsidRPr="00920EE5">
        <w:rPr>
          <w:rFonts w:ascii="Garamond" w:hAnsi="Garamond"/>
          <w:i/>
          <w:sz w:val="22"/>
          <w:szCs w:val="22"/>
        </w:rPr>
        <w:t>K.</w:t>
      </w:r>
      <w:r w:rsidRPr="00920EE5">
        <w:rPr>
          <w:rFonts w:ascii="Garamond" w:hAnsi="Garamond"/>
          <w:sz w:val="22"/>
          <w:szCs w:val="22"/>
        </w:rPr>
        <w:t xml:space="preserve"> p. 322. </w:t>
      </w:r>
    </w:p>
  </w:footnote>
  <w:footnote w:id="2">
    <w:p w14:paraId="4DFE8592" w14:textId="77777777"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También podemos leer una parábola (kafkiana, por supuesto) sobre la oralidad informada desde la escritura; una especulación sobre el habla de un pueblo desde los archivos textuales escritos que registran a hablantes de una oralidad primaria (“Quien no la oído no conoce la potencia de su canto”).  </w:t>
      </w:r>
    </w:p>
  </w:footnote>
  <w:footnote w:id="3">
    <w:p w14:paraId="3856FF24" w14:textId="7348D71F"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Jean-Pierre Brisset es uno de los nombres (del siglo XIX) que Milone trae para darle volumen a su escritura en sintonía con Deleuze y Guattari y</w:t>
      </w:r>
      <w:r w:rsidRPr="00920EE5">
        <w:rPr>
          <w:rFonts w:ascii="Garamond" w:hAnsi="Garamond"/>
          <w:i/>
          <w:sz w:val="22"/>
          <w:szCs w:val="22"/>
        </w:rPr>
        <w:t xml:space="preserve"> </w:t>
      </w:r>
      <w:r w:rsidRPr="00920EE5">
        <w:rPr>
          <w:rFonts w:ascii="Garamond" w:hAnsi="Garamond"/>
          <w:sz w:val="22"/>
          <w:szCs w:val="22"/>
        </w:rPr>
        <w:t>la idea de una “lingüística musical”: “Una vez más, se objetará que la música no es un lenguaje, las componentes del sonido no son rasgos pertinentes de la lengua, no hay correspondencia entre los dos. Pero nosotros no invocamos una correspondencia, nosotros no cesamos de pedir que se deje abierto lo que se discute, que se rechace cualquier supuesta distinción. En primer lugar, la distinción lengua-palabra se ha creado fundamentalmente para poner fuera del lenguaje todo tipo de variables que trabajan la expresión o la enunciación. Jean-Jacques Rousseau proponía, por el contrario, una relación Voz-Música, que habría podido arrastrar no sólo la fonética y la prosodia, sino toda la lingüística, en otra dirección” (</w:t>
      </w:r>
      <w:r w:rsidR="005D3881">
        <w:rPr>
          <w:rFonts w:ascii="Garamond" w:hAnsi="Garamond"/>
          <w:iCs/>
          <w:sz w:val="22"/>
          <w:szCs w:val="22"/>
        </w:rPr>
        <w:t>2002</w:t>
      </w:r>
      <w:r w:rsidRPr="00920EE5">
        <w:rPr>
          <w:rFonts w:ascii="Garamond" w:hAnsi="Garamond"/>
          <w:sz w:val="22"/>
          <w:szCs w:val="22"/>
        </w:rPr>
        <w:t xml:space="preserve">, 99).  De Brisset, Milone tradujo </w:t>
      </w:r>
      <w:r w:rsidRPr="00920EE5">
        <w:rPr>
          <w:rFonts w:ascii="Garamond" w:hAnsi="Garamond"/>
          <w:i/>
          <w:sz w:val="22"/>
          <w:szCs w:val="22"/>
        </w:rPr>
        <w:t>El grito de las ranas (textos elegidos por Gilles Rosière</w:t>
      </w:r>
      <w:r w:rsidRPr="00920EE5">
        <w:rPr>
          <w:rFonts w:ascii="Garamond" w:hAnsi="Garamond"/>
          <w:sz w:val="22"/>
          <w:szCs w:val="22"/>
        </w:rPr>
        <w:t xml:space="preserve"> (2017). </w:t>
      </w:r>
    </w:p>
  </w:footnote>
  <w:footnote w:id="4">
    <w:p w14:paraId="7C86DE64" w14:textId="77777777"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Comenzamos mencionando a Barthes porque está siempre presente en el libro. Es Barthes quien proponía una </w:t>
      </w:r>
      <w:r w:rsidRPr="00920EE5">
        <w:rPr>
          <w:rFonts w:ascii="Garamond" w:hAnsi="Garamond"/>
          <w:i/>
          <w:sz w:val="22"/>
          <w:szCs w:val="22"/>
        </w:rPr>
        <w:t>estereofonía</w:t>
      </w:r>
      <w:r w:rsidRPr="00920EE5">
        <w:rPr>
          <w:rFonts w:ascii="Garamond" w:hAnsi="Garamond"/>
          <w:sz w:val="22"/>
          <w:szCs w:val="22"/>
        </w:rPr>
        <w:t xml:space="preserve"> del texto: un juego de espacialidades, volúmenes y distancias significantes entre pensamientos y sentimientos. </w:t>
      </w:r>
    </w:p>
  </w:footnote>
  <w:footnote w:id="5">
    <w:p w14:paraId="5D0EAC1F" w14:textId="1DFAF692"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Y un movimiento más que vendría a ser una poética ordenada, la escritura del método en los arabescos de la escritura del libro: Ficciones bibliográficas. Aquí se nos ocurren dos modos posibles de ese ordenamiento: el paranoico-crítico de Dalí, que quiere conjurar las apariciones “inesperadas del paisaje” (127) o las series de la música contemporánea que, pensadas cronológicamente antes del comienzo de la composición son, sin embargo, condicionadas por la música en potencia, archivada en potencia (la </w:t>
      </w:r>
      <w:r w:rsidRPr="00920EE5">
        <w:rPr>
          <w:rFonts w:ascii="Garamond" w:hAnsi="Garamond"/>
          <w:i/>
          <w:sz w:val="22"/>
          <w:szCs w:val="22"/>
        </w:rPr>
        <w:t>arquía</w:t>
      </w:r>
      <w:r w:rsidRPr="00920EE5">
        <w:rPr>
          <w:rFonts w:ascii="Garamond" w:hAnsi="Garamond"/>
          <w:sz w:val="22"/>
          <w:szCs w:val="22"/>
        </w:rPr>
        <w:t xml:space="preserve"> que hay en ella). </w:t>
      </w:r>
    </w:p>
  </w:footnote>
  <w:footnote w:id="6">
    <w:p w14:paraId="16EDFC9A" w14:textId="2C0485FD" w:rsidR="00920EE5" w:rsidRPr="00920EE5" w:rsidRDefault="00920EE5" w:rsidP="00920EE5">
      <w:pPr>
        <w:pStyle w:val="FootnoteText"/>
        <w:ind w:left="-567" w:right="-567"/>
        <w:jc w:val="both"/>
        <w:rPr>
          <w:rFonts w:ascii="Garamond" w:hAnsi="Garamond"/>
          <w:sz w:val="22"/>
          <w:szCs w:val="22"/>
        </w:rPr>
      </w:pPr>
      <w:r w:rsidRPr="00920EE5">
        <w:rPr>
          <w:rStyle w:val="FootnoteReference"/>
          <w:rFonts w:ascii="Garamond" w:hAnsi="Garamond"/>
          <w:sz w:val="22"/>
          <w:szCs w:val="22"/>
        </w:rPr>
        <w:footnoteRef/>
      </w:r>
      <w:r w:rsidRPr="00920EE5">
        <w:rPr>
          <w:rFonts w:ascii="Garamond" w:hAnsi="Garamond"/>
          <w:sz w:val="22"/>
          <w:szCs w:val="22"/>
        </w:rPr>
        <w:t xml:space="preserve"> Un poema (y un libro) de Milone dice: “escribir no importa”, verso al que Oscar del Barco completa con un comentario: “pero estoy escribiendo”. </w:t>
      </w:r>
      <w:r w:rsidRPr="00920EE5">
        <w:rPr>
          <w:rFonts w:ascii="Garamond" w:hAnsi="Garamond"/>
          <w:sz w:val="22"/>
          <w:szCs w:val="22"/>
          <w:lang w:val="en-US"/>
        </w:rPr>
        <w:t>Como Cage (</w:t>
      </w:r>
      <w:r w:rsidRPr="00920EE5">
        <w:rPr>
          <w:rFonts w:ascii="Garamond" w:hAnsi="Garamond"/>
          <w:i/>
          <w:sz w:val="22"/>
          <w:szCs w:val="22"/>
          <w:lang w:val="en-US"/>
        </w:rPr>
        <w:t>Conferencia sobre nada</w:t>
      </w:r>
      <w:r w:rsidRPr="00920EE5">
        <w:rPr>
          <w:rFonts w:ascii="Garamond" w:hAnsi="Garamond"/>
          <w:sz w:val="22"/>
          <w:szCs w:val="22"/>
          <w:lang w:val="en-US"/>
        </w:rPr>
        <w:t>): “No tengo nada que decir, y lo estoy diciendo” [</w:t>
      </w:r>
      <w:r w:rsidR="00FF5D1A">
        <w:rPr>
          <w:rFonts w:ascii="Garamond" w:hAnsi="Garamond"/>
          <w:sz w:val="22"/>
          <w:szCs w:val="22"/>
          <w:lang w:val="en-US"/>
        </w:rPr>
        <w:t>“</w:t>
      </w:r>
      <w:r w:rsidRPr="00920EE5">
        <w:rPr>
          <w:rFonts w:ascii="Garamond" w:hAnsi="Garamond"/>
          <w:sz w:val="22"/>
          <w:szCs w:val="22"/>
          <w:lang w:val="en-US"/>
        </w:rPr>
        <w:t>I have nothing to say and I am saying it and that is poetry as I need it</w:t>
      </w:r>
      <w:r w:rsidR="00FF5D1A">
        <w:rPr>
          <w:rFonts w:ascii="Garamond" w:hAnsi="Garamond"/>
          <w:sz w:val="22"/>
          <w:szCs w:val="22"/>
          <w:lang w:val="en-US"/>
        </w:rPr>
        <w:t>”</w:t>
      </w:r>
      <w:r w:rsidRPr="00920EE5">
        <w:rPr>
          <w:rFonts w:ascii="Garamond" w:hAnsi="Garamond"/>
          <w:sz w:val="22"/>
          <w:szCs w:val="22"/>
          <w:lang w:val="en-US"/>
        </w:rPr>
        <w:t xml:space="preserve">]. </w:t>
      </w:r>
      <w:r w:rsidRPr="00920EE5">
        <w:rPr>
          <w:rFonts w:ascii="Garamond" w:hAnsi="Garamond"/>
          <w:sz w:val="22"/>
          <w:szCs w:val="22"/>
        </w:rPr>
        <w:t xml:space="preserve">Y esto es poesía. Por otra parte, cabe señalar aquí que Cage también buscó descomponer la escisión música/sonido.  </w:t>
      </w:r>
    </w:p>
  </w:footnote>
  <w:footnote w:id="7">
    <w:p w14:paraId="43006388" w14:textId="77777777" w:rsidR="00920EE5" w:rsidRPr="00B20E6C" w:rsidRDefault="00920EE5" w:rsidP="00920EE5">
      <w:pPr>
        <w:pStyle w:val="FootnoteText"/>
        <w:ind w:left="-567" w:right="-567"/>
        <w:jc w:val="both"/>
      </w:pPr>
      <w:r w:rsidRPr="00920EE5">
        <w:rPr>
          <w:rStyle w:val="FootnoteReference"/>
          <w:rFonts w:ascii="Garamond" w:hAnsi="Garamond"/>
          <w:sz w:val="22"/>
          <w:szCs w:val="22"/>
        </w:rPr>
        <w:footnoteRef/>
      </w:r>
      <w:r w:rsidRPr="00920EE5">
        <w:rPr>
          <w:rFonts w:ascii="Garamond" w:hAnsi="Garamond"/>
          <w:sz w:val="22"/>
          <w:szCs w:val="22"/>
        </w:rPr>
        <w:t xml:space="preserve"> Esta reseña ha intentado seguir, por supuesto, el drama de la lengua que el libro despliega.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53B58A6C" w:rsidR="001E4283" w:rsidRDefault="009875DF" w:rsidP="00677181">
    <w:pPr>
      <w:pBdr>
        <w:top w:val="nil"/>
        <w:left w:val="nil"/>
        <w:bottom w:val="nil"/>
        <w:right w:val="nil"/>
        <w:between w:val="nil"/>
      </w:pBdr>
      <w:tabs>
        <w:tab w:val="center" w:pos="4419"/>
        <w:tab w:val="right" w:pos="8838"/>
        <w:tab w:val="left" w:pos="4536"/>
        <w:tab w:val="right" w:pos="8833"/>
      </w:tabs>
      <w:spacing w:before="240"/>
      <w:ind w:left="-567" w:right="-850" w:hanging="284"/>
      <w:rPr>
        <w:rFonts w:ascii="Garamond" w:eastAsia="Garamond" w:hAnsi="Garamond" w:cs="Garamond"/>
        <w:b/>
        <w:color w:val="000000"/>
        <w:sz w:val="20"/>
        <w:szCs w:val="20"/>
      </w:rPr>
    </w:pPr>
    <w:proofErr w:type="spellStart"/>
    <w:r>
      <w:rPr>
        <w:rFonts w:ascii="Garamond" w:eastAsia="Garamond" w:hAnsi="Garamond" w:cs="Garamond"/>
        <w:b/>
        <w:color w:val="000000"/>
        <w:sz w:val="20"/>
        <w:szCs w:val="20"/>
      </w:rPr>
      <w:t>Carballar</w:t>
    </w:r>
    <w:proofErr w:type="spellEnd"/>
    <w:r w:rsidR="004F3FE9">
      <w:rPr>
        <w:rFonts w:ascii="Garamond" w:eastAsia="Garamond" w:hAnsi="Garamond" w:cs="Garamond"/>
        <w:color w:val="000000"/>
        <w:sz w:val="20"/>
        <w:szCs w:val="20"/>
      </w:rPr>
      <w:t>, “</w:t>
    </w:r>
    <w:r>
      <w:rPr>
        <w:rFonts w:ascii="Garamond" w:eastAsia="Garamond" w:hAnsi="Garamond" w:cs="Garamond"/>
        <w:color w:val="000000"/>
        <w:sz w:val="20"/>
        <w:szCs w:val="20"/>
      </w:rPr>
      <w:t>Ficciones fónicas</w:t>
    </w:r>
    <w:r w:rsidR="00A87CAB">
      <w:rPr>
        <w:rFonts w:ascii="Garamond" w:eastAsia="Garamond" w:hAnsi="Garamond" w:cs="Garamond"/>
        <w:color w:val="000000"/>
        <w:sz w:val="20"/>
        <w:szCs w:val="20"/>
      </w:rPr>
      <w:t>…</w:t>
    </w:r>
    <w:r w:rsidR="004F3FE9">
      <w:rPr>
        <w:rFonts w:ascii="Garamond" w:eastAsia="Garamond" w:hAnsi="Garamond" w:cs="Garamond"/>
        <w:color w:val="000000"/>
        <w:sz w:val="20"/>
        <w:szCs w:val="20"/>
      </w:rPr>
      <w:t>”</w:t>
    </w:r>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s-AR" w:vendorID="64" w:dllVersion="4096" w:nlCheck="1" w:checkStyle="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63CF5"/>
    <w:rsid w:val="00080C97"/>
    <w:rsid w:val="00093A12"/>
    <w:rsid w:val="000955BE"/>
    <w:rsid w:val="00096A34"/>
    <w:rsid w:val="000B1ED9"/>
    <w:rsid w:val="000C5443"/>
    <w:rsid w:val="000F18DF"/>
    <w:rsid w:val="001378EA"/>
    <w:rsid w:val="0016247C"/>
    <w:rsid w:val="001A3DEA"/>
    <w:rsid w:val="001B4512"/>
    <w:rsid w:val="001B63C3"/>
    <w:rsid w:val="001C6649"/>
    <w:rsid w:val="001E4283"/>
    <w:rsid w:val="001E50A5"/>
    <w:rsid w:val="001E6F61"/>
    <w:rsid w:val="00205FBF"/>
    <w:rsid w:val="002234DD"/>
    <w:rsid w:val="00236103"/>
    <w:rsid w:val="002948BE"/>
    <w:rsid w:val="002E4229"/>
    <w:rsid w:val="00312C78"/>
    <w:rsid w:val="003246BB"/>
    <w:rsid w:val="003419B3"/>
    <w:rsid w:val="0035078D"/>
    <w:rsid w:val="00373B2C"/>
    <w:rsid w:val="00391202"/>
    <w:rsid w:val="003C4A31"/>
    <w:rsid w:val="003C4EDA"/>
    <w:rsid w:val="003C5BDD"/>
    <w:rsid w:val="003E55A5"/>
    <w:rsid w:val="003F3488"/>
    <w:rsid w:val="004105EC"/>
    <w:rsid w:val="00446DD8"/>
    <w:rsid w:val="0046238B"/>
    <w:rsid w:val="004C71EE"/>
    <w:rsid w:val="004F3FE9"/>
    <w:rsid w:val="0050284C"/>
    <w:rsid w:val="00505A08"/>
    <w:rsid w:val="00532653"/>
    <w:rsid w:val="00552CAA"/>
    <w:rsid w:val="0056725D"/>
    <w:rsid w:val="0057411B"/>
    <w:rsid w:val="005C1EB4"/>
    <w:rsid w:val="005D0F35"/>
    <w:rsid w:val="005D3881"/>
    <w:rsid w:val="00650193"/>
    <w:rsid w:val="00665B53"/>
    <w:rsid w:val="00677181"/>
    <w:rsid w:val="0069013E"/>
    <w:rsid w:val="006A70E0"/>
    <w:rsid w:val="00716962"/>
    <w:rsid w:val="00722FDB"/>
    <w:rsid w:val="00760665"/>
    <w:rsid w:val="007847CA"/>
    <w:rsid w:val="007908CB"/>
    <w:rsid w:val="007C7790"/>
    <w:rsid w:val="008011E6"/>
    <w:rsid w:val="00805C32"/>
    <w:rsid w:val="00851F17"/>
    <w:rsid w:val="00873034"/>
    <w:rsid w:val="00891DAA"/>
    <w:rsid w:val="008D02B4"/>
    <w:rsid w:val="00920EE5"/>
    <w:rsid w:val="009225AF"/>
    <w:rsid w:val="009875DF"/>
    <w:rsid w:val="009914AF"/>
    <w:rsid w:val="009D424B"/>
    <w:rsid w:val="009D7499"/>
    <w:rsid w:val="00A87CAB"/>
    <w:rsid w:val="00A96FEA"/>
    <w:rsid w:val="00AA13F3"/>
    <w:rsid w:val="00B328FD"/>
    <w:rsid w:val="00B7532B"/>
    <w:rsid w:val="00BC5A6F"/>
    <w:rsid w:val="00CA64F4"/>
    <w:rsid w:val="00D02529"/>
    <w:rsid w:val="00D06334"/>
    <w:rsid w:val="00D4667B"/>
    <w:rsid w:val="00D518BE"/>
    <w:rsid w:val="00D8038A"/>
    <w:rsid w:val="00DB69E6"/>
    <w:rsid w:val="00E02DDE"/>
    <w:rsid w:val="00E42544"/>
    <w:rsid w:val="00E71F2E"/>
    <w:rsid w:val="00E82CEC"/>
    <w:rsid w:val="00EB2B58"/>
    <w:rsid w:val="00ED2069"/>
    <w:rsid w:val="00EE01AA"/>
    <w:rsid w:val="00EE0234"/>
    <w:rsid w:val="00EE2645"/>
    <w:rsid w:val="00EF7926"/>
    <w:rsid w:val="00F57CC8"/>
    <w:rsid w:val="00F736AD"/>
    <w:rsid w:val="00F85015"/>
    <w:rsid w:val="00FA2526"/>
    <w:rsid w:val="00FC404E"/>
    <w:rsid w:val="00FF5D1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063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406-649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iegocarballar@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1734</Words>
  <Characters>9541</Characters>
  <Application>Microsoft Office Word</Application>
  <DocSecurity>0</DocSecurity>
  <Lines>79</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contreras</dc:creator>
  <cp:lastModifiedBy>Usuario</cp:lastModifiedBy>
  <cp:revision>12</cp:revision>
  <cp:lastPrinted>2022-12-23T00:57:00Z</cp:lastPrinted>
  <dcterms:created xsi:type="dcterms:W3CDTF">2023-12-23T22:44:00Z</dcterms:created>
  <dcterms:modified xsi:type="dcterms:W3CDTF">2023-12-26T20:45:00Z</dcterms:modified>
</cp:coreProperties>
</file>