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863AD" w14:textId="78BF0F4F" w:rsidR="00A52AAA" w:rsidRDefault="004E6712" w:rsidP="002C391C">
      <w:pPr>
        <w:pStyle w:val="Heading1"/>
        <w:spacing w:line="480" w:lineRule="auto"/>
      </w:pPr>
      <w:r w:rsidRPr="005C7FF0">
        <w:t>SUPPLEMENTARY MATERIAL</w:t>
      </w:r>
    </w:p>
    <w:p w14:paraId="7699C986" w14:textId="77777777" w:rsidR="00E01387" w:rsidRPr="006D0205" w:rsidRDefault="00E01387" w:rsidP="002C391C">
      <w:pPr>
        <w:pStyle w:val="Heading1"/>
        <w:spacing w:line="480" w:lineRule="auto"/>
      </w:pPr>
      <w:r>
        <w:t>Dating</w:t>
      </w:r>
      <w:r w:rsidRPr="006D0205">
        <w:t xml:space="preserve"> in the </w:t>
      </w:r>
      <w:r>
        <w:t>D</w:t>
      </w:r>
      <w:r w:rsidRPr="006D0205">
        <w:t xml:space="preserve">ark: </w:t>
      </w:r>
      <w:r>
        <w:t>Elevated Substitution Rates in Cave Cockroaches (</w:t>
      </w:r>
      <w:proofErr w:type="spellStart"/>
      <w:r>
        <w:t>Blattodea</w:t>
      </w:r>
      <w:proofErr w:type="spellEnd"/>
      <w:r>
        <w:t>: Nocticolidae) Have Negative Impacts on Molecular Date Estimates</w:t>
      </w:r>
    </w:p>
    <w:p w14:paraId="38478EEC" w14:textId="77777777" w:rsidR="00FC7F63" w:rsidRDefault="00FC7F63" w:rsidP="002C391C">
      <w:pPr>
        <w:spacing w:line="480" w:lineRule="auto"/>
        <w:rPr>
          <w:smallCaps/>
          <w:vertAlign w:val="superscript"/>
        </w:rPr>
      </w:pPr>
      <w:r w:rsidRPr="009F67F4">
        <w:rPr>
          <w:smallCaps/>
        </w:rPr>
        <w:t>Toby G. L. Kovacs</w:t>
      </w:r>
      <w:r w:rsidRPr="009F67F4">
        <w:rPr>
          <w:smallCaps/>
          <w:vertAlign w:val="superscript"/>
        </w:rPr>
        <w:t>1</w:t>
      </w:r>
      <w:r w:rsidRPr="009F67F4">
        <w:rPr>
          <w:smallCaps/>
        </w:rPr>
        <w:t>, James Walker</w:t>
      </w:r>
      <w:r w:rsidRPr="009F67F4">
        <w:rPr>
          <w:smallCaps/>
          <w:vertAlign w:val="superscript"/>
        </w:rPr>
        <w:t>2</w:t>
      </w:r>
      <w:r w:rsidRPr="009F67F4">
        <w:rPr>
          <w:smallCaps/>
        </w:rPr>
        <w:t xml:space="preserve">, </w:t>
      </w:r>
      <w:r w:rsidRPr="004871AA">
        <w:rPr>
          <w:smallCaps/>
        </w:rPr>
        <w:t>Simon Hellemans</w:t>
      </w:r>
      <w:r w:rsidRPr="004871AA">
        <w:rPr>
          <w:smallCaps/>
          <w:vertAlign w:val="superscript"/>
        </w:rPr>
        <w:t>3</w:t>
      </w:r>
      <w:r w:rsidRPr="009F67F4">
        <w:rPr>
          <w:smallCaps/>
        </w:rPr>
        <w:t xml:space="preserve">, </w:t>
      </w:r>
      <w:r w:rsidRPr="004871AA">
        <w:rPr>
          <w:smallCaps/>
        </w:rPr>
        <w:t>Thomas Bourguignon</w:t>
      </w:r>
      <w:r w:rsidRPr="004871AA">
        <w:rPr>
          <w:smallCaps/>
          <w:vertAlign w:val="superscript"/>
        </w:rPr>
        <w:t>3</w:t>
      </w:r>
      <w:r>
        <w:rPr>
          <w:smallCaps/>
          <w:vertAlign w:val="superscript"/>
        </w:rPr>
        <w:t>,4</w:t>
      </w:r>
      <w:r w:rsidRPr="009F67F4">
        <w:rPr>
          <w:smallCaps/>
        </w:rPr>
        <w:t>, Nikolai J. Tatarnic</w:t>
      </w:r>
      <w:r>
        <w:rPr>
          <w:smallCaps/>
          <w:vertAlign w:val="superscript"/>
        </w:rPr>
        <w:t>5,6</w:t>
      </w:r>
      <w:r w:rsidRPr="009F67F4">
        <w:rPr>
          <w:smallCaps/>
        </w:rPr>
        <w:t>, Jane M. McRae</w:t>
      </w:r>
      <w:r>
        <w:rPr>
          <w:smallCaps/>
          <w:vertAlign w:val="superscript"/>
        </w:rPr>
        <w:t>7</w:t>
      </w:r>
      <w:r w:rsidRPr="009F67F4">
        <w:rPr>
          <w:smallCaps/>
        </w:rPr>
        <w:t xml:space="preserve">, Simon Y. </w:t>
      </w:r>
      <w:r>
        <w:rPr>
          <w:smallCaps/>
        </w:rPr>
        <w:t>W</w:t>
      </w:r>
      <w:r w:rsidRPr="009F67F4">
        <w:rPr>
          <w:smallCaps/>
        </w:rPr>
        <w:t>. Ho</w:t>
      </w:r>
      <w:r w:rsidRPr="00206CC0">
        <w:rPr>
          <w:smallCaps/>
          <w:vertAlign w:val="superscript"/>
        </w:rPr>
        <w:t>1</w:t>
      </w:r>
      <w:r w:rsidRPr="009F67F4">
        <w:rPr>
          <w:smallCaps/>
        </w:rPr>
        <w:t>,</w:t>
      </w:r>
      <w:r>
        <w:rPr>
          <w:smallCaps/>
        </w:rPr>
        <w:t xml:space="preserve"> and</w:t>
      </w:r>
      <w:r w:rsidRPr="009F67F4">
        <w:rPr>
          <w:smallCaps/>
        </w:rPr>
        <w:t xml:space="preserve"> Nathan Lo</w:t>
      </w:r>
      <w:r w:rsidRPr="00206CC0">
        <w:rPr>
          <w:smallCaps/>
          <w:vertAlign w:val="superscript"/>
        </w:rPr>
        <w:t>1</w:t>
      </w:r>
    </w:p>
    <w:p w14:paraId="7DB94B92" w14:textId="77777777" w:rsidR="00E01387" w:rsidRPr="009F67F4" w:rsidRDefault="00E01387" w:rsidP="002C391C">
      <w:pPr>
        <w:spacing w:line="480" w:lineRule="auto"/>
      </w:pPr>
    </w:p>
    <w:p w14:paraId="489516E0" w14:textId="77777777" w:rsidR="00E01387" w:rsidRPr="002A6E5E" w:rsidRDefault="00E01387" w:rsidP="002C391C">
      <w:pPr>
        <w:spacing w:line="480" w:lineRule="auto"/>
      </w:pPr>
      <w:r w:rsidRPr="002A6E5E">
        <w:rPr>
          <w:vertAlign w:val="superscript"/>
        </w:rPr>
        <w:t>1</w:t>
      </w:r>
      <w:r w:rsidRPr="002A6E5E">
        <w:t>School of Life and Environmental Sciences, University of Sydney, Sydney</w:t>
      </w:r>
      <w:r>
        <w:t xml:space="preserve"> NSW 2006</w:t>
      </w:r>
      <w:r w:rsidRPr="002A6E5E">
        <w:t>, Australia</w:t>
      </w:r>
    </w:p>
    <w:p w14:paraId="1A9B6C83" w14:textId="77777777" w:rsidR="00E01387" w:rsidRPr="002A6E5E" w:rsidRDefault="00E01387" w:rsidP="002C391C">
      <w:pPr>
        <w:spacing w:line="480" w:lineRule="auto"/>
      </w:pPr>
      <w:r w:rsidRPr="002A6E5E">
        <w:rPr>
          <w:vertAlign w:val="superscript"/>
        </w:rPr>
        <w:t>2</w:t>
      </w:r>
      <w:r w:rsidRPr="002A6E5E">
        <w:t>Department of Agriculture, Fisheries and Forestry, Canberra ACT 2601, Australia</w:t>
      </w:r>
    </w:p>
    <w:p w14:paraId="579EAEF6" w14:textId="77777777" w:rsidR="00E01387" w:rsidRDefault="00E01387" w:rsidP="002C391C">
      <w:pPr>
        <w:spacing w:line="480" w:lineRule="auto"/>
      </w:pPr>
      <w:r w:rsidRPr="004871AA">
        <w:rPr>
          <w:vertAlign w:val="superscript"/>
        </w:rPr>
        <w:t>3</w:t>
      </w:r>
      <w:r w:rsidRPr="0095322C">
        <w:t xml:space="preserve">Okinawa Institute of Science &amp; Technology Graduate University, 1919-1 </w:t>
      </w:r>
      <w:proofErr w:type="spellStart"/>
      <w:r w:rsidRPr="0095322C">
        <w:t>Tancha</w:t>
      </w:r>
      <w:proofErr w:type="spellEnd"/>
      <w:r w:rsidRPr="0095322C">
        <w:t xml:space="preserve">, </w:t>
      </w:r>
      <w:proofErr w:type="spellStart"/>
      <w:r w:rsidRPr="0095322C">
        <w:t>Onna</w:t>
      </w:r>
      <w:proofErr w:type="spellEnd"/>
      <w:r w:rsidRPr="0095322C">
        <w:t>-son, Okinawa 904-0495, Japan</w:t>
      </w:r>
    </w:p>
    <w:p w14:paraId="7DAAF73E" w14:textId="2DF683B0" w:rsidR="00E01387" w:rsidRPr="002A6E5E" w:rsidRDefault="00E01387" w:rsidP="002C391C">
      <w:pPr>
        <w:spacing w:line="480" w:lineRule="auto"/>
      </w:pPr>
      <w:r w:rsidRPr="002A6E5E">
        <w:rPr>
          <w:vertAlign w:val="superscript"/>
        </w:rPr>
        <w:t>4</w:t>
      </w:r>
      <w:r w:rsidRPr="004871AA">
        <w:t xml:space="preserve">Faculty of Tropical </w:t>
      </w:r>
      <w:proofErr w:type="spellStart"/>
      <w:r w:rsidRPr="004871AA">
        <w:t>AgriScience</w:t>
      </w:r>
      <w:proofErr w:type="spellEnd"/>
      <w:r w:rsidRPr="004871AA">
        <w:t xml:space="preserve">, Czech University of Life Sciences, </w:t>
      </w:r>
      <w:proofErr w:type="spellStart"/>
      <w:r w:rsidRPr="004871AA">
        <w:t>Kamýcka</w:t>
      </w:r>
      <w:proofErr w:type="spellEnd"/>
      <w:r w:rsidRPr="004871AA">
        <w:t xml:space="preserve"> 129, 16521 Prague, Czech Republic</w:t>
      </w:r>
    </w:p>
    <w:p w14:paraId="22DC0A99" w14:textId="77777777" w:rsidR="00E01387" w:rsidRPr="002A6E5E" w:rsidRDefault="00E01387" w:rsidP="002C391C">
      <w:pPr>
        <w:spacing w:line="480" w:lineRule="auto"/>
      </w:pPr>
      <w:r w:rsidRPr="002A6E5E">
        <w:rPr>
          <w:vertAlign w:val="superscript"/>
        </w:rPr>
        <w:t>5</w:t>
      </w:r>
      <w:r w:rsidRPr="002A6E5E">
        <w:t>Collections &amp; Research, Western Australian Museum, 49 Kew Street, Welshpool WA</w:t>
      </w:r>
      <w:r>
        <w:t xml:space="preserve"> 6106</w:t>
      </w:r>
      <w:r w:rsidRPr="002A6E5E">
        <w:t>, Australia</w:t>
      </w:r>
    </w:p>
    <w:p w14:paraId="6E8F59D5" w14:textId="77777777" w:rsidR="00E01387" w:rsidRPr="002A6E5E" w:rsidRDefault="00E01387" w:rsidP="002C391C">
      <w:pPr>
        <w:spacing w:line="480" w:lineRule="auto"/>
      </w:pPr>
      <w:r w:rsidRPr="002A6E5E">
        <w:rPr>
          <w:vertAlign w:val="superscript"/>
        </w:rPr>
        <w:t>6</w:t>
      </w:r>
      <w:r w:rsidRPr="002A6E5E">
        <w:t>Centre for Evolutionary Biology, The University of Western Australia, Perth WA 6009, Australia</w:t>
      </w:r>
    </w:p>
    <w:p w14:paraId="0C7640CF" w14:textId="77777777" w:rsidR="00E01387" w:rsidRPr="002A6E5E" w:rsidRDefault="00E01387" w:rsidP="002C391C">
      <w:pPr>
        <w:spacing w:line="480" w:lineRule="auto"/>
      </w:pPr>
      <w:r>
        <w:rPr>
          <w:vertAlign w:val="superscript"/>
        </w:rPr>
        <w:t>7</w:t>
      </w:r>
      <w:r w:rsidRPr="002A6E5E">
        <w:t>Bennelongia Environmental Consultants, 5 Bishop Street, Jolimont WA 6014, Australia</w:t>
      </w:r>
    </w:p>
    <w:p w14:paraId="10FF8BAC" w14:textId="7A7EDCC0" w:rsidR="005F7594" w:rsidRPr="005C7FF0" w:rsidRDefault="005F7594" w:rsidP="002C391C">
      <w:pPr>
        <w:pStyle w:val="Heading1"/>
        <w:spacing w:line="480" w:lineRule="auto"/>
      </w:pPr>
    </w:p>
    <w:p w14:paraId="39E38AED" w14:textId="77777777" w:rsidR="008C68D3" w:rsidRDefault="008C68D3" w:rsidP="002C391C">
      <w:pPr>
        <w:spacing w:line="480" w:lineRule="auto"/>
      </w:pPr>
      <w:r>
        <w:br w:type="page"/>
      </w:r>
    </w:p>
    <w:p w14:paraId="748CEF9C" w14:textId="01E23DBD" w:rsidR="00C74D89" w:rsidRPr="008C68D3" w:rsidRDefault="004307D3" w:rsidP="002C391C">
      <w:pPr>
        <w:pStyle w:val="Heading2"/>
        <w:spacing w:line="480" w:lineRule="auto"/>
      </w:pPr>
      <w:r w:rsidRPr="008C68D3">
        <w:lastRenderedPageBreak/>
        <w:t>Extended</w:t>
      </w:r>
      <w:r w:rsidR="00C74D89" w:rsidRPr="008C68D3">
        <w:t xml:space="preserve"> </w:t>
      </w:r>
      <w:r w:rsidR="00B41C2E" w:rsidRPr="008C68D3">
        <w:t>M</w:t>
      </w:r>
      <w:r w:rsidR="00C74D89" w:rsidRPr="008C68D3">
        <w:t>ethods</w:t>
      </w:r>
    </w:p>
    <w:p w14:paraId="4B73375D" w14:textId="627B65CB" w:rsidR="005F7594" w:rsidRPr="008C68D3" w:rsidRDefault="005F7594" w:rsidP="002C391C">
      <w:pPr>
        <w:pStyle w:val="Heading3"/>
        <w:spacing w:line="480" w:lineRule="auto"/>
      </w:pPr>
      <w:r w:rsidRPr="008C68D3">
        <w:t xml:space="preserve">Taxon </w:t>
      </w:r>
      <w:r w:rsidR="008C68D3" w:rsidRPr="008C68D3">
        <w:t>S</w:t>
      </w:r>
      <w:r w:rsidRPr="008C68D3">
        <w:t>ampling</w:t>
      </w:r>
    </w:p>
    <w:p w14:paraId="2160F118" w14:textId="0F9E1EAF" w:rsidR="007B30C4" w:rsidRDefault="005F7594" w:rsidP="002C391C">
      <w:pPr>
        <w:spacing w:line="480" w:lineRule="auto"/>
        <w:ind w:firstLine="720"/>
      </w:pPr>
      <w:r w:rsidRPr="00E01387">
        <w:t>Samples of nocticolids were sought from a wide variety of locations across the known range of the family. Museum samples examined in this study were obtained from across northern Australia, Christmas Island, Singapore, and New Guinea (</w:t>
      </w:r>
      <w:r w:rsidR="00A52FD4" w:rsidRPr="00E01387">
        <w:t>S</w:t>
      </w:r>
      <w:r w:rsidR="00D8310C">
        <w:t>upplementary Table S</w:t>
      </w:r>
      <w:r w:rsidR="00330817">
        <w:t>2</w:t>
      </w:r>
      <w:r w:rsidRPr="00E01387">
        <w:t xml:space="preserve">). Sample age and condition varied, with the oldest sample collected in 1991. </w:t>
      </w:r>
      <w:r w:rsidR="002E3DFA">
        <w:t>T</w:t>
      </w:r>
      <w:r w:rsidR="006E6233">
        <w:t>o</w:t>
      </w:r>
      <w:r w:rsidRPr="00E01387">
        <w:t xml:space="preserve"> capture </w:t>
      </w:r>
      <w:r w:rsidR="001A7020" w:rsidRPr="00E01387">
        <w:t xml:space="preserve">the </w:t>
      </w:r>
      <w:r w:rsidRPr="00E01387">
        <w:t>available genetic diversity</w:t>
      </w:r>
      <w:r w:rsidR="001A7020" w:rsidRPr="00E01387">
        <w:t xml:space="preserve"> in our samples</w:t>
      </w:r>
      <w:r w:rsidRPr="00E01387">
        <w:t xml:space="preserve">, which has been found to be locally restricted </w:t>
      </w:r>
      <w:r w:rsidR="00C219AF" w:rsidRPr="00E01387">
        <w:t xml:space="preserve">in some Nocticolidae species </w:t>
      </w:r>
      <w:r w:rsidRPr="00E01387">
        <w:t xml:space="preserve">(Trotter et al. 2017), we selected samples for DNA analysis that represented available locations. </w:t>
      </w:r>
    </w:p>
    <w:p w14:paraId="1E1FC141" w14:textId="0F6C35F2" w:rsidR="005F7594" w:rsidRPr="00E01387" w:rsidRDefault="005F7594" w:rsidP="002C391C">
      <w:pPr>
        <w:spacing w:line="480" w:lineRule="auto"/>
        <w:ind w:firstLine="720"/>
      </w:pPr>
      <w:r w:rsidRPr="00E01387">
        <w:t xml:space="preserve">In addition to the museum samples, we collected live individuals from field sites. During a visit to the </w:t>
      </w:r>
      <w:proofErr w:type="spellStart"/>
      <w:r w:rsidRPr="00E01387">
        <w:t>Mungara</w:t>
      </w:r>
      <w:proofErr w:type="spellEnd"/>
      <w:r w:rsidRPr="00E01387">
        <w:t xml:space="preserve">-Chillagoe Caves National Park (MCCNP), 215 km west of Cairns, from 22 to 25 January 2020, we collected samples from Donna Cave, Royal Arch Cave, and Carpentaria Cave (just outside MCCNP). Within these caves, nocticolids were collected from under damp rocks using a small pooter. In the “Ballroom Fig” section of Royal Arch Cave, nocticolids were also collected from damp leaf litter (a small opening at the roof of this cavern appeared to act as a source of organic material). Because sample numbers were particularly small in Carpentaria Cave, slices of sweet potato were left overnight to attract additional nocticolids, which were collected the next day. </w:t>
      </w:r>
    </w:p>
    <w:p w14:paraId="4345A59E" w14:textId="12C255FA" w:rsidR="005F7594" w:rsidRPr="005C7FF0" w:rsidRDefault="005F7594" w:rsidP="002C391C">
      <w:pPr>
        <w:spacing w:line="480" w:lineRule="auto"/>
        <w:ind w:firstLine="720"/>
      </w:pPr>
      <w:r w:rsidRPr="005C7FF0">
        <w:t xml:space="preserve">Previously, samples collected from </w:t>
      </w:r>
      <w:proofErr w:type="spellStart"/>
      <w:r w:rsidRPr="005C7FF0">
        <w:t>Cutta</w:t>
      </w:r>
      <w:proofErr w:type="spellEnd"/>
      <w:r w:rsidRPr="005C7FF0">
        <w:t xml:space="preserve"> </w:t>
      </w:r>
      <w:proofErr w:type="spellStart"/>
      <w:r w:rsidRPr="005C7FF0">
        <w:t>Cutta</w:t>
      </w:r>
      <w:proofErr w:type="spellEnd"/>
      <w:r w:rsidRPr="005C7FF0">
        <w:t xml:space="preserve"> Caves, NT, have been referred to as </w:t>
      </w:r>
      <w:r w:rsidRPr="005C7FF0">
        <w:rPr>
          <w:i/>
          <w:iCs/>
        </w:rPr>
        <w:t xml:space="preserve">N. </w:t>
      </w:r>
      <w:proofErr w:type="spellStart"/>
      <w:r w:rsidRPr="005C7FF0">
        <w:rPr>
          <w:i/>
          <w:iCs/>
        </w:rPr>
        <w:t>brooksi</w:t>
      </w:r>
      <w:proofErr w:type="spellEnd"/>
      <w:r w:rsidRPr="005C7FF0">
        <w:rPr>
          <w:i/>
          <w:iCs/>
        </w:rPr>
        <w:t xml:space="preserve"> </w:t>
      </w:r>
      <w:r w:rsidRPr="005C7FF0">
        <w:t>(</w:t>
      </w:r>
      <w:proofErr w:type="spellStart"/>
      <w:r w:rsidRPr="005C7FF0">
        <w:t>eg.</w:t>
      </w:r>
      <w:proofErr w:type="spellEnd"/>
      <w:r w:rsidRPr="005C7FF0">
        <w:t xml:space="preserve"> </w:t>
      </w:r>
      <w:proofErr w:type="spellStart"/>
      <w:r w:rsidRPr="005C7FF0">
        <w:t>Djern</w:t>
      </w:r>
      <w:r w:rsidR="0041152B" w:rsidRPr="005C7FF0">
        <w:t>æ</w:t>
      </w:r>
      <w:r w:rsidRPr="005C7FF0">
        <w:t>s</w:t>
      </w:r>
      <w:proofErr w:type="spellEnd"/>
      <w:r w:rsidRPr="005C7FF0">
        <w:t xml:space="preserve"> et al. 2020). The description of </w:t>
      </w:r>
      <w:r w:rsidRPr="005C7FF0">
        <w:rPr>
          <w:i/>
          <w:iCs/>
        </w:rPr>
        <w:t xml:space="preserve">N. </w:t>
      </w:r>
      <w:proofErr w:type="spellStart"/>
      <w:r w:rsidRPr="005C7FF0">
        <w:rPr>
          <w:i/>
          <w:iCs/>
        </w:rPr>
        <w:t>brooksi</w:t>
      </w:r>
      <w:proofErr w:type="spellEnd"/>
      <w:r w:rsidRPr="005C7FF0">
        <w:rPr>
          <w:i/>
          <w:iCs/>
        </w:rPr>
        <w:t xml:space="preserve"> </w:t>
      </w:r>
      <w:r w:rsidRPr="005C7FF0">
        <w:t xml:space="preserve">included males, females, and nymphs collected from caves in the Kimberley, </w:t>
      </w:r>
      <w:r w:rsidR="00692E83">
        <w:t>Western Australia</w:t>
      </w:r>
      <w:r w:rsidRPr="005C7FF0">
        <w:t xml:space="preserve">, as well as females and nymphs collected &gt;300 km away, from </w:t>
      </w:r>
      <w:proofErr w:type="spellStart"/>
      <w:r w:rsidRPr="005C7FF0">
        <w:t>Cutta</w:t>
      </w:r>
      <w:proofErr w:type="spellEnd"/>
      <w:r w:rsidRPr="005C7FF0">
        <w:t xml:space="preserve"> </w:t>
      </w:r>
      <w:proofErr w:type="spellStart"/>
      <w:r w:rsidRPr="005C7FF0">
        <w:t>Cutta</w:t>
      </w:r>
      <w:proofErr w:type="spellEnd"/>
      <w:r w:rsidRPr="005C7FF0">
        <w:t xml:space="preserve"> Caves, </w:t>
      </w:r>
      <w:r w:rsidR="00692E83">
        <w:t>Northern Territory</w:t>
      </w:r>
      <w:r w:rsidRPr="005C7FF0">
        <w:t xml:space="preserve"> (Roth 1995). Females in Nocticolidae typically have relatively unspeciali</w:t>
      </w:r>
      <w:r w:rsidR="00624230">
        <w:t>z</w:t>
      </w:r>
      <w:r w:rsidRPr="005C7FF0">
        <w:t xml:space="preserve">ed morphology, and many species lack characters that enable them to be differentiated from females of other nocticolids (Trotter et al. 2017). Despite this, Roth (1995) classified specimens from these </w:t>
      </w:r>
      <w:r w:rsidRPr="005C7FF0">
        <w:lastRenderedPageBreak/>
        <w:t xml:space="preserve">two locations as the same species despite noting that the females and nymphs from </w:t>
      </w:r>
      <w:proofErr w:type="spellStart"/>
      <w:r w:rsidRPr="005C7FF0">
        <w:t>Cutta</w:t>
      </w:r>
      <w:proofErr w:type="spellEnd"/>
      <w:r w:rsidRPr="005C7FF0">
        <w:t xml:space="preserve"> </w:t>
      </w:r>
      <w:proofErr w:type="spellStart"/>
      <w:r w:rsidRPr="005C7FF0">
        <w:t>Cutta</w:t>
      </w:r>
      <w:proofErr w:type="spellEnd"/>
      <w:r w:rsidRPr="005C7FF0">
        <w:t xml:space="preserve"> Caves were distinctly different (they lacked ommatidia, which were present in all samples</w:t>
      </w:r>
      <w:r w:rsidR="006579E2">
        <w:t xml:space="preserve">, </w:t>
      </w:r>
      <w:r w:rsidRPr="005C7FF0">
        <w:t>including nymphs</w:t>
      </w:r>
      <w:r w:rsidR="006579E2">
        <w:t>,</w:t>
      </w:r>
      <w:r w:rsidRPr="005C7FF0">
        <w:t xml:space="preserve"> collected from the Kimberley). Thus, it is likely that the samples collected from </w:t>
      </w:r>
      <w:proofErr w:type="spellStart"/>
      <w:r w:rsidRPr="005C7FF0">
        <w:t>Cutta</w:t>
      </w:r>
      <w:proofErr w:type="spellEnd"/>
      <w:r w:rsidRPr="005C7FF0">
        <w:t xml:space="preserve"> </w:t>
      </w:r>
      <w:proofErr w:type="spellStart"/>
      <w:r w:rsidRPr="005C7FF0">
        <w:t>Cutta</w:t>
      </w:r>
      <w:proofErr w:type="spellEnd"/>
      <w:r w:rsidRPr="005C7FF0">
        <w:t xml:space="preserve"> Caves are a different species </w:t>
      </w:r>
      <w:r w:rsidR="004C1930">
        <w:t>from</w:t>
      </w:r>
      <w:r w:rsidR="004C1930" w:rsidRPr="005C7FF0">
        <w:t xml:space="preserve"> </w:t>
      </w:r>
      <w:r w:rsidRPr="005C7FF0">
        <w:rPr>
          <w:i/>
          <w:iCs/>
        </w:rPr>
        <w:t xml:space="preserve">N. </w:t>
      </w:r>
      <w:proofErr w:type="spellStart"/>
      <w:r w:rsidRPr="005C7FF0">
        <w:rPr>
          <w:i/>
          <w:iCs/>
        </w:rPr>
        <w:t>brooksi</w:t>
      </w:r>
      <w:proofErr w:type="spellEnd"/>
      <w:r w:rsidRPr="005C7FF0">
        <w:t xml:space="preserve">. Hence, we refer to genomic samples from this location as </w:t>
      </w:r>
      <w:r w:rsidR="009713E5" w:rsidRPr="005C7FF0">
        <w:t>Nocticolidae</w:t>
      </w:r>
      <w:r w:rsidRPr="005C7FF0">
        <w:rPr>
          <w:i/>
          <w:iCs/>
        </w:rPr>
        <w:t xml:space="preserve"> </w:t>
      </w:r>
      <w:r w:rsidRPr="005C7FF0">
        <w:t>sp. (</w:t>
      </w:r>
      <w:proofErr w:type="spellStart"/>
      <w:r w:rsidRPr="005C7FF0">
        <w:t>Cutta</w:t>
      </w:r>
      <w:proofErr w:type="spellEnd"/>
      <w:r w:rsidRPr="005C7FF0">
        <w:t xml:space="preserve"> </w:t>
      </w:r>
      <w:proofErr w:type="spellStart"/>
      <w:r w:rsidRPr="005C7FF0">
        <w:t>Cutta</w:t>
      </w:r>
      <w:proofErr w:type="spellEnd"/>
      <w:r w:rsidRPr="005C7FF0">
        <w:t xml:space="preserve"> Cave).</w:t>
      </w:r>
    </w:p>
    <w:p w14:paraId="61EF716B" w14:textId="77777777" w:rsidR="005F7594" w:rsidRPr="005C7FF0" w:rsidRDefault="005F7594" w:rsidP="002C391C">
      <w:pPr>
        <w:spacing w:line="480" w:lineRule="auto"/>
      </w:pPr>
    </w:p>
    <w:p w14:paraId="39DEF99A" w14:textId="68B2DAC1" w:rsidR="005F7594" w:rsidRPr="005C7FF0" w:rsidRDefault="005F7594" w:rsidP="002C391C">
      <w:pPr>
        <w:pStyle w:val="Heading3"/>
        <w:spacing w:line="480" w:lineRule="auto"/>
      </w:pPr>
      <w:r w:rsidRPr="005C7FF0">
        <w:t xml:space="preserve">DNA </w:t>
      </w:r>
      <w:r w:rsidR="0054210E">
        <w:t>E</w:t>
      </w:r>
      <w:r w:rsidRPr="005C7FF0">
        <w:t xml:space="preserve">xtraction, </w:t>
      </w:r>
      <w:r w:rsidR="0054210E">
        <w:t>A</w:t>
      </w:r>
      <w:r w:rsidRPr="005C7FF0">
        <w:t xml:space="preserve">mplification, and </w:t>
      </w:r>
      <w:r w:rsidR="0054210E">
        <w:t>S</w:t>
      </w:r>
      <w:r w:rsidRPr="005C7FF0">
        <w:t>equencing</w:t>
      </w:r>
    </w:p>
    <w:p w14:paraId="3A1A59B8" w14:textId="7E101D44" w:rsidR="005F7594" w:rsidRPr="005C7FF0" w:rsidRDefault="005F7594" w:rsidP="002C391C">
      <w:pPr>
        <w:spacing w:line="480" w:lineRule="auto"/>
        <w:ind w:firstLine="720"/>
      </w:pPr>
      <w:r w:rsidRPr="005C7FF0">
        <w:t>DNA was extracted from a total of 1</w:t>
      </w:r>
      <w:r w:rsidR="00560227" w:rsidRPr="005C7FF0">
        <w:t>13</w:t>
      </w:r>
      <w:r w:rsidRPr="005C7FF0">
        <w:t xml:space="preserve"> specimens</w:t>
      </w:r>
      <w:r w:rsidR="0099433E">
        <w:t xml:space="preserve"> </w:t>
      </w:r>
      <w:r w:rsidR="0099433E" w:rsidRPr="00E01387">
        <w:t>(S</w:t>
      </w:r>
      <w:r w:rsidR="0099433E">
        <w:t>upplementary Table S2</w:t>
      </w:r>
      <w:r w:rsidR="0099433E" w:rsidRPr="00E01387">
        <w:t>)</w:t>
      </w:r>
      <w:r w:rsidRPr="005C7FF0">
        <w:t xml:space="preserve"> using the </w:t>
      </w:r>
      <w:proofErr w:type="spellStart"/>
      <w:r w:rsidRPr="005C7FF0">
        <w:t>DNeasy</w:t>
      </w:r>
      <w:proofErr w:type="spellEnd"/>
      <w:r w:rsidRPr="005C7FF0">
        <w:t xml:space="preserve"> Blood and Tissue kit (Qiagen; Hilden, Germany), following the manufacturer’s protocol with the modifications outlined below. Due to the small size of specimens (adults ~5 mm long), whole individuals were destructively sampled for most samples, to maximi</w:t>
      </w:r>
      <w:r w:rsidR="001D6A91">
        <w:t>z</w:t>
      </w:r>
      <w:r w:rsidRPr="005C7FF0">
        <w:t>e DNA yield during extractions. For unique specimens with no available paratypes, one hind leg was dissected and used for DNA extraction, such that the body could be retained for morphological analysis. Tissue was crushed using a sterile microtubule pestle and incubated with Proteinase K for 60 min at 56</w:t>
      </w:r>
      <w:r w:rsidRPr="005C7FF0">
        <w:rPr>
          <w:rFonts w:eastAsia="Symbol"/>
        </w:rPr>
        <w:t>°</w:t>
      </w:r>
      <w:r w:rsidRPr="005C7FF0">
        <w:t xml:space="preserve">C or until the tissue had completely lysed (some samples were left overnight). During the extraction process, extracts were eluted for 10 min in 100–200 µL of AE buffer. Smaller volumes of buffer were used for samples extracted from small amounts of tissue </w:t>
      </w:r>
      <w:proofErr w:type="gramStart"/>
      <w:r w:rsidRPr="005C7FF0">
        <w:t>in order to</w:t>
      </w:r>
      <w:proofErr w:type="gramEnd"/>
      <w:r w:rsidRPr="005C7FF0">
        <w:t xml:space="preserve"> maximi</w:t>
      </w:r>
      <w:r w:rsidR="00F95148">
        <w:t>z</w:t>
      </w:r>
      <w:r w:rsidRPr="005C7FF0">
        <w:t>e DNA concentration. DNA concentrations were measured using a Qubit fluorometer and a Qubit dsDNA HS Assay Kit for increased sensitivity. Samples with concentrations &lt;0.5 ng/µL were discarded.</w:t>
      </w:r>
    </w:p>
    <w:p w14:paraId="1FF0BA58" w14:textId="3F2E98E1" w:rsidR="005F7594" w:rsidRPr="005C7FF0" w:rsidRDefault="005F7594" w:rsidP="002C391C">
      <w:pPr>
        <w:spacing w:line="480" w:lineRule="auto"/>
        <w:ind w:firstLine="720"/>
      </w:pPr>
      <w:r w:rsidRPr="005C7FF0">
        <w:t>Polymerase chain reaction (PCR) amplification of a 440 bp fragment of the gene encoding mitochondrial 16S rRNA (</w:t>
      </w:r>
      <w:r w:rsidRPr="005C7FF0">
        <w:rPr>
          <w:i/>
          <w:iCs/>
        </w:rPr>
        <w:t>16S</w:t>
      </w:r>
      <w:r w:rsidRPr="005C7FF0">
        <w:t>) was attempted on all DNA samples using the primers LR-N-13398 (5’-CGCCTGTTTAACAAAAACAT-3'; forward) and LR-J-12961 (5’-TTTAATCCAACATCGAGG-3'; reverse) (Simon et al</w:t>
      </w:r>
      <w:r w:rsidRPr="005C7FF0">
        <w:rPr>
          <w:i/>
          <w:iCs/>
        </w:rPr>
        <w:t>.</w:t>
      </w:r>
      <w:r w:rsidRPr="005C7FF0">
        <w:t xml:space="preserve"> 1994</w:t>
      </w:r>
      <w:r w:rsidR="0041152B" w:rsidRPr="005C7FF0">
        <w:t>;</w:t>
      </w:r>
      <w:r w:rsidRPr="005C7FF0">
        <w:t xml:space="preserve"> </w:t>
      </w:r>
      <w:proofErr w:type="spellStart"/>
      <w:r w:rsidRPr="005C7FF0">
        <w:t>Cognato</w:t>
      </w:r>
      <w:proofErr w:type="spellEnd"/>
      <w:r w:rsidRPr="005C7FF0">
        <w:t xml:space="preserve"> </w:t>
      </w:r>
      <w:r w:rsidR="0041152B" w:rsidRPr="005C7FF0">
        <w:t>and</w:t>
      </w:r>
      <w:r w:rsidRPr="005C7FF0">
        <w:t xml:space="preserve"> Vogler 2001). This marker was chosen because it has been used successfully in previous studies of </w:t>
      </w:r>
      <w:r w:rsidRPr="005C7FF0">
        <w:lastRenderedPageBreak/>
        <w:t>cockroaches from a range of different families (</w:t>
      </w:r>
      <w:proofErr w:type="spellStart"/>
      <w:r w:rsidRPr="005C7FF0">
        <w:t>Djernaes</w:t>
      </w:r>
      <w:proofErr w:type="spellEnd"/>
      <w:r w:rsidRPr="005C7FF0">
        <w:t xml:space="preserve"> et al</w:t>
      </w:r>
      <w:r w:rsidRPr="005C7FF0">
        <w:rPr>
          <w:i/>
          <w:iCs/>
        </w:rPr>
        <w:t xml:space="preserve">. </w:t>
      </w:r>
      <w:r w:rsidRPr="005C7FF0">
        <w:t xml:space="preserve">2012). PCR was performed in 200 µL microtubes in a solution of 25 µL containing 2 µL of DNA extract, 1 µL of each of the forward and reverse primers (10 µM), 8.5 µL of molecular grade water (G-Biosciences, Missouri, USA), and 12.5 µL of </w:t>
      </w:r>
      <w:proofErr w:type="spellStart"/>
      <w:r w:rsidRPr="005C7FF0">
        <w:t>EconoTaq</w:t>
      </w:r>
      <w:proofErr w:type="spellEnd"/>
      <w:r w:rsidRPr="005C7FF0">
        <w:t xml:space="preserve"> Plus 2x Master Mix (</w:t>
      </w:r>
      <w:proofErr w:type="spellStart"/>
      <w:r w:rsidRPr="005C7FF0">
        <w:t>Lucigen</w:t>
      </w:r>
      <w:proofErr w:type="spellEnd"/>
      <w:r w:rsidRPr="005C7FF0">
        <w:t xml:space="preserve">, Wisconsin, USA). PCR involved an initial denaturation step (94°C for 2 min), followed by 44 cycles of denaturation (94°C for 30 s), annealing (45°C for 40 s), and extension (72°C for 1 min) (after 5 cycles, annealing temperature was increased to 48°C to limit off-target amplification for the remaining 39 cycles). The run was completed with a final extension step (72°C for 5 min). Following PCR, excess primers and nucleotides were removed using </w:t>
      </w:r>
      <w:proofErr w:type="spellStart"/>
      <w:r w:rsidRPr="005C7FF0">
        <w:t>Exosap</w:t>
      </w:r>
      <w:proofErr w:type="spellEnd"/>
      <w:r w:rsidRPr="005C7FF0">
        <w:t>-IT (</w:t>
      </w:r>
      <w:proofErr w:type="spellStart"/>
      <w:r w:rsidRPr="005C7FF0">
        <w:t>Thermo</w:t>
      </w:r>
      <w:proofErr w:type="spellEnd"/>
      <w:r w:rsidRPr="005C7FF0">
        <w:t xml:space="preserve"> Fisher Scientific, Massachusetts, USA) following the manufacturer’s instructions and visuali</w:t>
      </w:r>
      <w:r w:rsidR="00B6592F">
        <w:t>z</w:t>
      </w:r>
      <w:r w:rsidRPr="005C7FF0">
        <w:t xml:space="preserve">ed on a 1% agarose gel to check product size and quality. Sanger sequencing of PCR products was performed by </w:t>
      </w:r>
      <w:proofErr w:type="spellStart"/>
      <w:r w:rsidRPr="005C7FF0">
        <w:t>Macrogen</w:t>
      </w:r>
      <w:proofErr w:type="spellEnd"/>
      <w:r w:rsidRPr="005C7FF0">
        <w:t xml:space="preserve"> (Seoul, South Korea) using primers used for amplification. Forward and reverse chromatograms were aligned, visually inspected, and manually trimmed in </w:t>
      </w:r>
      <w:proofErr w:type="spellStart"/>
      <w:r w:rsidRPr="005C7FF0">
        <w:t>Geneious</w:t>
      </w:r>
      <w:proofErr w:type="spellEnd"/>
      <w:r w:rsidRPr="005C7FF0">
        <w:t xml:space="preserve"> Prime 2020.0.5 (</w:t>
      </w:r>
      <w:hyperlink r:id="rId8">
        <w:r w:rsidRPr="005C7FF0">
          <w:rPr>
            <w:rStyle w:val="Hyperlink"/>
          </w:rPr>
          <w:t>www.geneious.com</w:t>
        </w:r>
      </w:hyperlink>
      <w:r w:rsidRPr="005C7FF0">
        <w:t xml:space="preserve">). </w:t>
      </w:r>
    </w:p>
    <w:p w14:paraId="712974EB" w14:textId="77777777" w:rsidR="005F7594" w:rsidRPr="005C7FF0" w:rsidRDefault="005F7594" w:rsidP="002C391C">
      <w:pPr>
        <w:spacing w:line="480" w:lineRule="auto"/>
      </w:pPr>
    </w:p>
    <w:p w14:paraId="5E7748FD" w14:textId="48D1F1FB" w:rsidR="005F7594" w:rsidRPr="005C7FF0" w:rsidRDefault="005F7594" w:rsidP="002C391C">
      <w:pPr>
        <w:pStyle w:val="Heading3"/>
        <w:spacing w:line="480" w:lineRule="auto"/>
      </w:pPr>
      <w:r w:rsidRPr="005C7FF0">
        <w:t xml:space="preserve">Mitochondrial 16S rRNA </w:t>
      </w:r>
      <w:r w:rsidR="003B11E2">
        <w:t>Sequence A</w:t>
      </w:r>
      <w:r w:rsidRPr="005C7FF0">
        <w:t>lignment</w:t>
      </w:r>
    </w:p>
    <w:p w14:paraId="21380839" w14:textId="1549DDA9" w:rsidR="005F7594" w:rsidRPr="005C7FF0" w:rsidRDefault="005F7594" w:rsidP="002C391C">
      <w:pPr>
        <w:spacing w:line="480" w:lineRule="auto"/>
        <w:ind w:firstLine="720"/>
      </w:pPr>
      <w:r w:rsidRPr="005C7FF0">
        <w:t xml:space="preserve">In total, 113 nocticolid </w:t>
      </w:r>
      <w:r w:rsidRPr="005C7FF0">
        <w:rPr>
          <w:i/>
          <w:iCs/>
        </w:rPr>
        <w:t>16S</w:t>
      </w:r>
      <w:r w:rsidRPr="005C7FF0">
        <w:t xml:space="preserve"> sequences were generated in this study (</w:t>
      </w:r>
      <w:r w:rsidR="00276F4F">
        <w:t>Supplementary Table S</w:t>
      </w:r>
      <w:r w:rsidR="0099433E">
        <w:t>2</w:t>
      </w:r>
      <w:r w:rsidRPr="005C7FF0">
        <w:t>). These were combined with six nocticolid sequences available on GenBank (</w:t>
      </w:r>
      <w:r w:rsidR="00276F4F">
        <w:t>Supplementary Table S</w:t>
      </w:r>
      <w:r w:rsidR="0099433E">
        <w:t>3</w:t>
      </w:r>
      <w:r w:rsidRPr="005C7FF0">
        <w:t>), as well as outgroup sequence data from 3</w:t>
      </w:r>
      <w:r w:rsidR="00951491" w:rsidRPr="005C7FF0">
        <w:t>6</w:t>
      </w:r>
      <w:r w:rsidRPr="005C7FF0">
        <w:t xml:space="preserve"> non-nocticolid cockroaches and termites and 5 other insects (</w:t>
      </w:r>
      <w:r w:rsidR="00773E33">
        <w:t>Supplementary Table S</w:t>
      </w:r>
      <w:r w:rsidR="0099433E">
        <w:t>4</w:t>
      </w:r>
      <w:r w:rsidRPr="005C7FF0">
        <w:t xml:space="preserve">). We also assembled one </w:t>
      </w:r>
      <w:r w:rsidRPr="005C7FF0">
        <w:rPr>
          <w:i/>
          <w:iCs/>
        </w:rPr>
        <w:t>16S</w:t>
      </w:r>
      <w:r w:rsidRPr="005C7FF0">
        <w:t xml:space="preserve"> sequence of </w:t>
      </w:r>
      <w:proofErr w:type="spellStart"/>
      <w:r w:rsidRPr="005C7FF0">
        <w:rPr>
          <w:i/>
          <w:iCs/>
        </w:rPr>
        <w:t>Nocticola</w:t>
      </w:r>
      <w:proofErr w:type="spellEnd"/>
      <w:r w:rsidRPr="005C7FF0">
        <w:rPr>
          <w:i/>
          <w:iCs/>
        </w:rPr>
        <w:t xml:space="preserve"> </w:t>
      </w:r>
      <w:r w:rsidRPr="005C7FF0">
        <w:t xml:space="preserve">sp. (Malaysia) through mapping of transcriptome sequence data (Evangelista et al. 2019) against a nocticolid mitochondrial genome sequence (see below). All </w:t>
      </w:r>
      <w:r w:rsidRPr="005C7FF0">
        <w:rPr>
          <w:i/>
          <w:iCs/>
        </w:rPr>
        <w:t>16S</w:t>
      </w:r>
      <w:r w:rsidRPr="005C7FF0">
        <w:t xml:space="preserve"> sequences were aligned in MAFFT v7.475 using the Q-INS-I McCaskill algorithm, which maximi</w:t>
      </w:r>
      <w:r w:rsidR="00C0485D">
        <w:t>z</w:t>
      </w:r>
      <w:r w:rsidRPr="005C7FF0">
        <w:t xml:space="preserve">es homology between sites by </w:t>
      </w:r>
      <w:proofErr w:type="gramStart"/>
      <w:r w:rsidRPr="005C7FF0">
        <w:t>taking into account</w:t>
      </w:r>
      <w:proofErr w:type="gramEnd"/>
      <w:r w:rsidRPr="005C7FF0">
        <w:t xml:space="preserve"> RNA secondary </w:t>
      </w:r>
      <w:r w:rsidRPr="005C7FF0">
        <w:lastRenderedPageBreak/>
        <w:t>structures (</w:t>
      </w:r>
      <w:proofErr w:type="spellStart"/>
      <w:r w:rsidRPr="005C7FF0">
        <w:t>Katoh</w:t>
      </w:r>
      <w:proofErr w:type="spellEnd"/>
      <w:r w:rsidRPr="005C7FF0">
        <w:t xml:space="preserve"> et al., 2005</w:t>
      </w:r>
      <w:r w:rsidR="0041152B" w:rsidRPr="005C7FF0">
        <w:t>;</w:t>
      </w:r>
      <w:r w:rsidRPr="005C7FF0">
        <w:t xml:space="preserve"> </w:t>
      </w:r>
      <w:proofErr w:type="spellStart"/>
      <w:r w:rsidRPr="005C7FF0">
        <w:t>Katoh</w:t>
      </w:r>
      <w:proofErr w:type="spellEnd"/>
      <w:r w:rsidRPr="005C7FF0">
        <w:t xml:space="preserve"> and </w:t>
      </w:r>
      <w:proofErr w:type="spellStart"/>
      <w:r w:rsidRPr="005C7FF0">
        <w:t>Toh</w:t>
      </w:r>
      <w:proofErr w:type="spellEnd"/>
      <w:r w:rsidRPr="005C7FF0">
        <w:t>, 2008). This alignment was checked manually, and regions with poor sequence coverage or ambiguously aligned sites were removed.</w:t>
      </w:r>
    </w:p>
    <w:p w14:paraId="7DA04546" w14:textId="77777777" w:rsidR="005F7594" w:rsidRPr="005C7FF0" w:rsidRDefault="005F7594" w:rsidP="002C391C">
      <w:pPr>
        <w:spacing w:line="480" w:lineRule="auto"/>
      </w:pPr>
    </w:p>
    <w:p w14:paraId="088E9514" w14:textId="64850B08" w:rsidR="005F7594" w:rsidRPr="005C7FF0" w:rsidRDefault="005F7594" w:rsidP="002C391C">
      <w:pPr>
        <w:pStyle w:val="Heading3"/>
        <w:spacing w:line="480" w:lineRule="auto"/>
      </w:pPr>
      <w:r w:rsidRPr="005C7FF0">
        <w:t xml:space="preserve">Mitochondrial </w:t>
      </w:r>
      <w:r w:rsidR="00FD3D9D">
        <w:t>G</w:t>
      </w:r>
      <w:r w:rsidRPr="005C7FF0">
        <w:t xml:space="preserve">enome and </w:t>
      </w:r>
      <w:r w:rsidR="00FD3D9D">
        <w:t>N</w:t>
      </w:r>
      <w:r w:rsidRPr="005C7FF0">
        <w:t xml:space="preserve">uclear </w:t>
      </w:r>
      <w:r w:rsidR="00FD3D9D">
        <w:t>G</w:t>
      </w:r>
      <w:r w:rsidRPr="005C7FF0">
        <w:t xml:space="preserve">ene </w:t>
      </w:r>
      <w:r w:rsidR="00FD3D9D">
        <w:t>S</w:t>
      </w:r>
      <w:r w:rsidRPr="005C7FF0">
        <w:t xml:space="preserve">equence </w:t>
      </w:r>
      <w:r w:rsidR="00FD3D9D">
        <w:t>D</w:t>
      </w:r>
      <w:r w:rsidRPr="005C7FF0">
        <w:t>ata</w:t>
      </w:r>
    </w:p>
    <w:p w14:paraId="60F9E37A" w14:textId="7A3AE198" w:rsidR="005F7594" w:rsidRPr="005C7FF0" w:rsidRDefault="005F7594" w:rsidP="002C391C">
      <w:pPr>
        <w:spacing w:line="480" w:lineRule="auto"/>
      </w:pPr>
      <w:r w:rsidRPr="005C7FF0">
        <w:t xml:space="preserve">We performed low-coverage </w:t>
      </w:r>
      <w:r w:rsidR="00051002">
        <w:t>high-throughput</w:t>
      </w:r>
      <w:r w:rsidRPr="005C7FF0">
        <w:t xml:space="preserve"> sequencing of 23 DNA samples (~5 Gb per sample; </w:t>
      </w:r>
      <w:r w:rsidR="00E877EE">
        <w:t>Supplementary Table S</w:t>
      </w:r>
      <w:r w:rsidR="00FA7855">
        <w:t>5</w:t>
      </w:r>
      <w:r w:rsidRPr="005C7FF0">
        <w:t xml:space="preserve">). This approach has previously been used in studies of other cockroaches to </w:t>
      </w:r>
      <w:r w:rsidR="00342228">
        <w:t>sequence</w:t>
      </w:r>
      <w:r w:rsidR="00342228" w:rsidRPr="005C7FF0">
        <w:t xml:space="preserve"> </w:t>
      </w:r>
      <w:r w:rsidRPr="005C7FF0">
        <w:t>whole mitochondrial genomes and nuclear ribosomal RNA genes (Bourguignon et al. 2018</w:t>
      </w:r>
      <w:r w:rsidR="0041152B" w:rsidRPr="005C7FF0">
        <w:t>;</w:t>
      </w:r>
      <w:r w:rsidRPr="005C7FF0">
        <w:t xml:space="preserve"> Beasley-Hall et al. 2021). A diverse range of nocticolid samples were selected for sequencing based on the phylogeny inferred from the </w:t>
      </w:r>
      <w:r w:rsidRPr="005C7FF0">
        <w:rPr>
          <w:i/>
          <w:iCs/>
        </w:rPr>
        <w:t xml:space="preserve">16S </w:t>
      </w:r>
      <w:r w:rsidRPr="005C7FF0">
        <w:t>data</w:t>
      </w:r>
      <w:r w:rsidR="006B14DA">
        <w:t xml:space="preserve"> </w:t>
      </w:r>
      <w:r w:rsidRPr="005C7FF0">
        <w:t>set</w:t>
      </w:r>
      <w:r w:rsidRPr="005C7FF0">
        <w:rPr>
          <w:i/>
          <w:iCs/>
        </w:rPr>
        <w:t xml:space="preserve"> </w:t>
      </w:r>
      <w:r w:rsidRPr="005C7FF0">
        <w:t xml:space="preserve">and </w:t>
      </w:r>
      <w:r w:rsidR="00951491" w:rsidRPr="005C7FF0">
        <w:t xml:space="preserve">the </w:t>
      </w:r>
      <w:r w:rsidRPr="005C7FF0">
        <w:t>availability of adequate DNA. Two samples from Christmas Island were included due to their low DNA concentration and the importance of sampling taxa from outside of the Australian mainland. Library construction and DNA sequencing was performed by BGI (Shenzhen, China). Specialised ‘low input’ libraries were constructed for some samples for which DNA extraction had produced a small yield</w:t>
      </w:r>
      <w:r w:rsidR="00FA7855">
        <w:t>.</w:t>
      </w:r>
    </w:p>
    <w:p w14:paraId="6D989689" w14:textId="42D4FA53" w:rsidR="005F7594" w:rsidRPr="005C7FF0" w:rsidRDefault="005F7594" w:rsidP="002C391C">
      <w:pPr>
        <w:spacing w:line="480" w:lineRule="auto"/>
        <w:ind w:firstLine="720"/>
      </w:pPr>
      <w:r w:rsidRPr="005C7FF0">
        <w:t xml:space="preserve">Mitogenome assemblies were performed on all samples using the ‘map to reference’ function in </w:t>
      </w:r>
      <w:proofErr w:type="spellStart"/>
      <w:r w:rsidRPr="005C7FF0">
        <w:t>Geneious</w:t>
      </w:r>
      <w:proofErr w:type="spellEnd"/>
      <w:r w:rsidRPr="005C7FF0">
        <w:t xml:space="preserve"> Prime with the ‘Medium-Low Sensitivity/Fast’ setting. For each sample, all raw reads were mapped to the only available nocticolid mitogenome on GenBank (accession no. MG882221, Bourguignon et al. 2018). Next, for samples with high coverage (&gt;10</w:t>
      </w:r>
      <w:r w:rsidR="00F14B4A">
        <w:rPr>
          <w:rFonts w:eastAsia="Symbol"/>
        </w:rPr>
        <w:sym w:font="Symbol" w:char="F0B4"/>
      </w:r>
      <w:r w:rsidRPr="005C7FF0">
        <w:t xml:space="preserve"> coverage across &gt;80% of the reference genome), these mapped reads were </w:t>
      </w:r>
      <w:r w:rsidRPr="005C7FF0">
        <w:rPr>
          <w:i/>
          <w:iCs/>
        </w:rPr>
        <w:t>de novo</w:t>
      </w:r>
      <w:r w:rsidRPr="005C7FF0">
        <w:t xml:space="preserve"> assembled into contigs in </w:t>
      </w:r>
      <w:proofErr w:type="spellStart"/>
      <w:r w:rsidRPr="005C7FF0">
        <w:t>Geneious</w:t>
      </w:r>
      <w:proofErr w:type="spellEnd"/>
      <w:r w:rsidRPr="005C7FF0">
        <w:t xml:space="preserve"> Prime with the ‘Medium-Low Sensitivity/Fast’ setting. A contig of the appropriate size (~15 kb) was selected and IUPAC degenerate nucleotide codes were incorporated at positions where a single base was not present across &gt;70% of assembled reads. </w:t>
      </w:r>
    </w:p>
    <w:p w14:paraId="11D3F019" w14:textId="1DDF40B8" w:rsidR="005F7594" w:rsidRPr="005C7FF0" w:rsidRDefault="005F7594" w:rsidP="002C391C">
      <w:pPr>
        <w:spacing w:line="480" w:lineRule="auto"/>
        <w:ind w:firstLine="720"/>
      </w:pPr>
      <w:r w:rsidRPr="005C7FF0">
        <w:t xml:space="preserve">For some libraries (representing members of Nocticolidae B), the initial mapping step resulted in inadequate coverage and poor assemblies, most likely due to high divergence </w:t>
      </w:r>
      <w:r w:rsidRPr="005C7FF0">
        <w:lastRenderedPageBreak/>
        <w:t xml:space="preserve">between the samples and the reference sequence. In these cases, we used </w:t>
      </w:r>
      <w:proofErr w:type="spellStart"/>
      <w:r w:rsidRPr="005C7FF0">
        <w:t>NOVOplasty</w:t>
      </w:r>
      <w:proofErr w:type="spellEnd"/>
      <w:r w:rsidRPr="005C7FF0">
        <w:t xml:space="preserve"> (</w:t>
      </w:r>
      <w:proofErr w:type="spellStart"/>
      <w:r w:rsidRPr="005C7FF0">
        <w:t>Dierckxsens</w:t>
      </w:r>
      <w:proofErr w:type="spellEnd"/>
      <w:r w:rsidRPr="005C7FF0">
        <w:t xml:space="preserve"> et al</w:t>
      </w:r>
      <w:r w:rsidRPr="005C7FF0">
        <w:rPr>
          <w:i/>
          <w:iCs/>
        </w:rPr>
        <w:t xml:space="preserve">. </w:t>
      </w:r>
      <w:r w:rsidRPr="005C7FF0">
        <w:t xml:space="preserve">2017) to </w:t>
      </w:r>
      <w:r w:rsidRPr="005C7FF0">
        <w:rPr>
          <w:i/>
          <w:iCs/>
        </w:rPr>
        <w:t>de novo</w:t>
      </w:r>
      <w:r w:rsidRPr="005C7FF0">
        <w:t xml:space="preserve"> assemble contigs from the entire raw read library, using the </w:t>
      </w:r>
      <w:r w:rsidRPr="005C7FF0">
        <w:rPr>
          <w:i/>
          <w:iCs/>
        </w:rPr>
        <w:t>16S</w:t>
      </w:r>
      <w:r w:rsidRPr="005C7FF0">
        <w:t xml:space="preserve"> sequence produced by PCR for </w:t>
      </w:r>
      <w:r w:rsidR="00951491" w:rsidRPr="005C7FF0">
        <w:t>each</w:t>
      </w:r>
      <w:r w:rsidRPr="005C7FF0">
        <w:t xml:space="preserve"> sample as the starting ‘seed’. The output assembly from </w:t>
      </w:r>
      <w:proofErr w:type="spellStart"/>
      <w:r w:rsidRPr="005C7FF0">
        <w:t>NOVOplasty</w:t>
      </w:r>
      <w:proofErr w:type="spellEnd"/>
      <w:r w:rsidRPr="005C7FF0">
        <w:t xml:space="preserve"> was then used as the reference sequence for each sample, </w:t>
      </w:r>
      <w:r w:rsidR="00EF0559">
        <w:t xml:space="preserve">to </w:t>
      </w:r>
      <w:r w:rsidRPr="005C7FF0">
        <w:t xml:space="preserve">which the raw reads were mapped following the method described above. Finally, the short-read archive for a previously generated transcriptome data set for </w:t>
      </w:r>
      <w:proofErr w:type="spellStart"/>
      <w:r w:rsidRPr="005C7FF0">
        <w:rPr>
          <w:i/>
          <w:iCs/>
        </w:rPr>
        <w:t>Nocticola</w:t>
      </w:r>
      <w:proofErr w:type="spellEnd"/>
      <w:r w:rsidRPr="005C7FF0">
        <w:rPr>
          <w:i/>
          <w:iCs/>
        </w:rPr>
        <w:t xml:space="preserve"> </w:t>
      </w:r>
      <w:r w:rsidRPr="005C7FF0">
        <w:t>sp. (Malaysia) (Evangelista et al</w:t>
      </w:r>
      <w:r w:rsidRPr="005C7FF0">
        <w:rPr>
          <w:i/>
          <w:iCs/>
        </w:rPr>
        <w:t xml:space="preserve">. </w:t>
      </w:r>
      <w:r w:rsidRPr="005C7FF0">
        <w:t xml:space="preserve">2019) was used as the starting library for the </w:t>
      </w:r>
      <w:proofErr w:type="spellStart"/>
      <w:r w:rsidRPr="005C7FF0">
        <w:t>Geneious</w:t>
      </w:r>
      <w:proofErr w:type="spellEnd"/>
      <w:r w:rsidRPr="005C7FF0">
        <w:t xml:space="preserve"> Prime ‘map to reference’ and </w:t>
      </w:r>
      <w:r w:rsidRPr="005C7FF0">
        <w:rPr>
          <w:i/>
          <w:iCs/>
        </w:rPr>
        <w:t xml:space="preserve">de novo </w:t>
      </w:r>
      <w:r w:rsidRPr="005C7FF0">
        <w:t xml:space="preserve">assembly method described above. Assembled genomes were ~15 kb and </w:t>
      </w:r>
      <w:r w:rsidR="00951491" w:rsidRPr="005C7FF0">
        <w:t xml:space="preserve">often </w:t>
      </w:r>
      <w:r w:rsidRPr="005C7FF0">
        <w:t>lacked the AT-rich control region due to difficulties in assembly. All mitogenomes were annotated using both the MITOS and MITOS-2 web server (</w:t>
      </w:r>
      <w:proofErr w:type="spellStart"/>
      <w:r w:rsidRPr="005C7FF0">
        <w:t>Bernt</w:t>
      </w:r>
      <w:proofErr w:type="spellEnd"/>
      <w:r w:rsidRPr="005C7FF0">
        <w:t xml:space="preserve"> et al</w:t>
      </w:r>
      <w:r w:rsidRPr="005C7FF0">
        <w:rPr>
          <w:i/>
          <w:iCs/>
        </w:rPr>
        <w:t xml:space="preserve">. </w:t>
      </w:r>
      <w:r w:rsidRPr="005C7FF0">
        <w:t>2013</w:t>
      </w:r>
      <w:r w:rsidR="0041152B" w:rsidRPr="005C7FF0">
        <w:t>;</w:t>
      </w:r>
      <w:r w:rsidRPr="005C7FF0">
        <w:t xml:space="preserve"> Donath et al</w:t>
      </w:r>
      <w:r w:rsidRPr="005C7FF0">
        <w:rPr>
          <w:i/>
          <w:iCs/>
        </w:rPr>
        <w:t xml:space="preserve">. </w:t>
      </w:r>
      <w:r w:rsidRPr="005C7FF0">
        <w:t xml:space="preserve">2019) and reading frames were checked and adjusted </w:t>
      </w:r>
      <w:r w:rsidR="00951491" w:rsidRPr="005C7FF0">
        <w:t>manually</w:t>
      </w:r>
      <w:r w:rsidRPr="005C7FF0">
        <w:t>. In total, we assembled 2</w:t>
      </w:r>
      <w:r w:rsidR="00C314A1">
        <w:t>3</w:t>
      </w:r>
      <w:r w:rsidRPr="005C7FF0">
        <w:t xml:space="preserve"> nocticolid mitogenomes. The mitogenome assembled from transcriptome data was incomplete, containing 11 of the 13 genes. </w:t>
      </w:r>
    </w:p>
    <w:p w14:paraId="0AAE98F8" w14:textId="6F0BD6FD" w:rsidR="005F7594" w:rsidRPr="005C7FF0" w:rsidRDefault="005F7594" w:rsidP="002C391C">
      <w:pPr>
        <w:spacing w:line="480" w:lineRule="auto"/>
        <w:ind w:firstLine="720"/>
      </w:pPr>
      <w:r w:rsidRPr="005C7FF0">
        <w:t>Eighty-seven outgroup taxa for phylogenetic analysis were selected from Bourguignon et al</w:t>
      </w:r>
      <w:r w:rsidRPr="005C7FF0">
        <w:rPr>
          <w:i/>
          <w:iCs/>
        </w:rPr>
        <w:t>.</w:t>
      </w:r>
      <w:r w:rsidRPr="005C7FF0">
        <w:t xml:space="preserve"> (2018) to represent the genetic diversity across </w:t>
      </w:r>
      <w:proofErr w:type="spellStart"/>
      <w:r w:rsidRPr="005C7FF0">
        <w:t>Blattodea</w:t>
      </w:r>
      <w:proofErr w:type="spellEnd"/>
      <w:r w:rsidRPr="005C7FF0">
        <w:t xml:space="preserve"> (</w:t>
      </w:r>
      <w:r w:rsidR="005E7448" w:rsidRPr="005C7FF0">
        <w:t xml:space="preserve">including representatives from each of the </w:t>
      </w:r>
      <w:r w:rsidR="00693194">
        <w:t>eight</w:t>
      </w:r>
      <w:r w:rsidRPr="005C7FF0">
        <w:t xml:space="preserve"> other families) and related insect lineages (</w:t>
      </w:r>
      <w:r w:rsidR="00693194">
        <w:t>Supplementary Table S</w:t>
      </w:r>
      <w:r w:rsidR="00562C3D">
        <w:t>6</w:t>
      </w:r>
      <w:r w:rsidRPr="005C7FF0">
        <w:t>). We also selected taxa to maximi</w:t>
      </w:r>
      <w:r w:rsidR="00CD67DC">
        <w:t>z</w:t>
      </w:r>
      <w:r w:rsidRPr="005C7FF0">
        <w:t xml:space="preserve">e the specificity of the placement of relevant fossil calibrations for molecular dating. Nucleotide sequences for each of the 13 mitochondrial protein-coding genes were aligned at the amino acid level using MUSCLE through the </w:t>
      </w:r>
      <w:proofErr w:type="spellStart"/>
      <w:r w:rsidRPr="005C7FF0">
        <w:t>TranslatorX</w:t>
      </w:r>
      <w:proofErr w:type="spellEnd"/>
      <w:r w:rsidRPr="005C7FF0">
        <w:t xml:space="preserve"> web server (</w:t>
      </w:r>
      <w:proofErr w:type="spellStart"/>
      <w:r w:rsidRPr="005C7FF0">
        <w:t>Abascal</w:t>
      </w:r>
      <w:proofErr w:type="spellEnd"/>
      <w:r w:rsidRPr="005C7FF0">
        <w:t xml:space="preserve"> et al.</w:t>
      </w:r>
      <w:r w:rsidRPr="005C7FF0">
        <w:rPr>
          <w:i/>
          <w:iCs/>
        </w:rPr>
        <w:t xml:space="preserve"> </w:t>
      </w:r>
      <w:r w:rsidRPr="005C7FF0">
        <w:t xml:space="preserve">2010). Our final alignment of </w:t>
      </w:r>
      <w:r w:rsidR="00502B1D">
        <w:t>concatenated mitochondrial</w:t>
      </w:r>
      <w:r w:rsidRPr="005C7FF0">
        <w:t xml:space="preserve"> protein-coding gene</w:t>
      </w:r>
      <w:r w:rsidR="00502B1D">
        <w:t>s</w:t>
      </w:r>
      <w:r w:rsidRPr="005C7FF0">
        <w:t xml:space="preserve"> (</w:t>
      </w:r>
      <w:proofErr w:type="spellStart"/>
      <w:r w:rsidRPr="005C7FF0">
        <w:t>mtPCG</w:t>
      </w:r>
      <w:proofErr w:type="spellEnd"/>
      <w:r w:rsidRPr="005C7FF0">
        <w:t xml:space="preserve">) had a length of 10,590 bp, from 23 nocticolid taxa (one Christmas Island sample was dropped) and 87 outgroup taxa. </w:t>
      </w:r>
    </w:p>
    <w:p w14:paraId="672F2A2C" w14:textId="77777777" w:rsidR="005F7594" w:rsidRPr="005C7FF0" w:rsidRDefault="005F7594" w:rsidP="002C391C">
      <w:pPr>
        <w:spacing w:line="480" w:lineRule="auto"/>
      </w:pPr>
    </w:p>
    <w:p w14:paraId="1771D026" w14:textId="15E61896" w:rsidR="005F7594" w:rsidRPr="005C7FF0" w:rsidRDefault="005F7594" w:rsidP="002C391C">
      <w:pPr>
        <w:pStyle w:val="Heading3"/>
        <w:spacing w:line="480" w:lineRule="auto"/>
      </w:pPr>
      <w:r w:rsidRPr="005C7FF0">
        <w:t xml:space="preserve">Tests of </w:t>
      </w:r>
      <w:r w:rsidR="00F87926">
        <w:t>S</w:t>
      </w:r>
      <w:r w:rsidRPr="005C7FF0">
        <w:t xml:space="preserve">equence </w:t>
      </w:r>
      <w:r w:rsidR="00F87926">
        <w:t>S</w:t>
      </w:r>
      <w:r w:rsidRPr="005C7FF0">
        <w:t>aturation</w:t>
      </w:r>
    </w:p>
    <w:p w14:paraId="044B0671" w14:textId="2D364FD9" w:rsidR="005F7594" w:rsidRPr="005C7FF0" w:rsidRDefault="005F7594" w:rsidP="002C391C">
      <w:pPr>
        <w:spacing w:line="480" w:lineRule="auto"/>
        <w:ind w:firstLine="720"/>
      </w:pPr>
      <w:r w:rsidRPr="005C7FF0">
        <w:lastRenderedPageBreak/>
        <w:t xml:space="preserve">To assess sequence saturation in our </w:t>
      </w:r>
      <w:proofErr w:type="spellStart"/>
      <w:r w:rsidRPr="005C7FF0">
        <w:t>mtPCG</w:t>
      </w:r>
      <w:proofErr w:type="spellEnd"/>
      <w:r w:rsidRPr="005C7FF0">
        <w:t xml:space="preserve"> data</w:t>
      </w:r>
      <w:r w:rsidR="00EB67A8">
        <w:t xml:space="preserve"> </w:t>
      </w:r>
      <w:r w:rsidRPr="005C7FF0">
        <w:t>set</w:t>
      </w:r>
      <w:r w:rsidR="00657FAA">
        <w:t>,</w:t>
      </w:r>
      <w:r w:rsidRPr="005C7FF0">
        <w:t xml:space="preserve"> we </w:t>
      </w:r>
      <w:r w:rsidR="00657FAA">
        <w:t xml:space="preserve">analysed </w:t>
      </w:r>
      <w:r w:rsidR="00657FAA" w:rsidRPr="005C7FF0">
        <w:t xml:space="preserve">each of the 13 mitochondrial genes and the combined alignment </w:t>
      </w:r>
      <w:r w:rsidR="00657FAA">
        <w:t>using</w:t>
      </w:r>
      <w:r w:rsidRPr="005C7FF0">
        <w:t xml:space="preserve"> </w:t>
      </w:r>
      <w:proofErr w:type="spellStart"/>
      <w:r w:rsidRPr="005C7FF0">
        <w:t>PhyloMAd</w:t>
      </w:r>
      <w:proofErr w:type="spellEnd"/>
      <w:r w:rsidRPr="005C7FF0">
        <w:t xml:space="preserve"> (</w:t>
      </w:r>
      <w:proofErr w:type="spellStart"/>
      <w:r w:rsidRPr="005C7FF0">
        <w:t>Duchêne</w:t>
      </w:r>
      <w:proofErr w:type="spellEnd"/>
      <w:r w:rsidRPr="005C7FF0">
        <w:t xml:space="preserve"> et al. 20</w:t>
      </w:r>
      <w:r w:rsidR="007B1EC9" w:rsidRPr="005C7FF0">
        <w:t>22</w:t>
      </w:r>
      <w:r w:rsidRPr="005C7FF0">
        <w:t xml:space="preserve">). Based on entropy t-statistics, </w:t>
      </w:r>
      <w:proofErr w:type="spellStart"/>
      <w:r w:rsidRPr="005C7FF0">
        <w:t>PhyloMAd</w:t>
      </w:r>
      <w:proofErr w:type="spellEnd"/>
      <w:r w:rsidRPr="005C7FF0">
        <w:t xml:space="preserve"> detected a low risk of saturation effecting phylogenetic inference. However, the power of </w:t>
      </w:r>
      <w:proofErr w:type="spellStart"/>
      <w:r w:rsidRPr="005C7FF0">
        <w:t>PhyloMAd</w:t>
      </w:r>
      <w:proofErr w:type="spellEnd"/>
      <w:r w:rsidRPr="005C7FF0">
        <w:t xml:space="preserve"> to assess the effects of saturation using short sequence alignments like those produced for mitochondrial genomes is unknown. To investigate saturation </w:t>
      </w:r>
      <w:r w:rsidR="0081753E">
        <w:t xml:space="preserve">further </w:t>
      </w:r>
      <w:r w:rsidRPr="005C7FF0">
        <w:t xml:space="preserve">in our </w:t>
      </w:r>
      <w:proofErr w:type="spellStart"/>
      <w:r w:rsidRPr="005C7FF0">
        <w:t>mtPCG</w:t>
      </w:r>
      <w:proofErr w:type="spellEnd"/>
      <w:r w:rsidRPr="005C7FF0">
        <w:t xml:space="preserve"> data</w:t>
      </w:r>
      <w:r w:rsidR="00EB67A8">
        <w:t xml:space="preserve"> </w:t>
      </w:r>
      <w:r w:rsidRPr="005C7FF0">
        <w:t xml:space="preserve">set, we compared uncorrected genetic distances with those corrected using the Tamura and </w:t>
      </w:r>
      <w:proofErr w:type="spellStart"/>
      <w:r w:rsidRPr="005C7FF0">
        <w:t>Nei</w:t>
      </w:r>
      <w:proofErr w:type="spellEnd"/>
      <w:r w:rsidRPr="005C7FF0">
        <w:t xml:space="preserve"> (1993) substitution model </w:t>
      </w:r>
      <w:r w:rsidR="004E391C" w:rsidRPr="005C7FF0">
        <w:t>(</w:t>
      </w:r>
      <w:r w:rsidR="00562C3D">
        <w:t xml:space="preserve">Supplementary </w:t>
      </w:r>
      <w:r w:rsidR="00E703A9">
        <w:t xml:space="preserve">Fig. </w:t>
      </w:r>
      <w:r w:rsidR="004E391C" w:rsidRPr="005C7FF0">
        <w:t>S12</w:t>
      </w:r>
      <w:r w:rsidR="00103901" w:rsidRPr="005C7FF0">
        <w:t xml:space="preserve">) </w:t>
      </w:r>
      <w:r w:rsidRPr="005C7FF0">
        <w:t xml:space="preserve">implemented in the R package ape (Paradis and </w:t>
      </w:r>
      <w:proofErr w:type="spellStart"/>
      <w:r w:rsidRPr="005C7FF0">
        <w:t>Schliep</w:t>
      </w:r>
      <w:proofErr w:type="spellEnd"/>
      <w:r w:rsidRPr="005C7FF0">
        <w:t xml:space="preserve"> 2019). For 3</w:t>
      </w:r>
      <w:r w:rsidRPr="00320502">
        <w:t>rd</w:t>
      </w:r>
      <w:r w:rsidRPr="005C7FF0">
        <w:t xml:space="preserve"> codon positions, saturation was so high that a large proportion (35%) of corrected genetic distances between taxa were undefined, including almost all distances between two nocticolid taxa (92%) and </w:t>
      </w:r>
      <w:proofErr w:type="gramStart"/>
      <w:r w:rsidR="005A7088" w:rsidRPr="005C7FF0">
        <w:t>the majority of</w:t>
      </w:r>
      <w:proofErr w:type="gramEnd"/>
      <w:r w:rsidR="005A7088" w:rsidRPr="005C7FF0">
        <w:t xml:space="preserve"> distances </w:t>
      </w:r>
      <w:r w:rsidRPr="005C7FF0">
        <w:t>between nocticolid taxa and non-nocticolid taxa (57%). Saturation was much less severe at 1</w:t>
      </w:r>
      <w:r w:rsidRPr="00320502">
        <w:t>st</w:t>
      </w:r>
      <w:r w:rsidRPr="005C7FF0">
        <w:t xml:space="preserve"> codon positions, although still present in pairwise distances including Nocticolidae (indicated by highly differing corrected and uncorrected distances), and negligible at 2</w:t>
      </w:r>
      <w:r w:rsidRPr="00320502">
        <w:t>nd</w:t>
      </w:r>
      <w:r w:rsidRPr="005C7FF0">
        <w:t xml:space="preserve"> codon positions. Hence, we removed 1</w:t>
      </w:r>
      <w:r w:rsidRPr="00320502">
        <w:t>st</w:t>
      </w:r>
      <w:r w:rsidRPr="005C7FF0">
        <w:t xml:space="preserve"> and 3</w:t>
      </w:r>
      <w:r w:rsidRPr="00320502">
        <w:t>rd</w:t>
      </w:r>
      <w:r w:rsidRPr="005C7FF0">
        <w:t xml:space="preserve"> codon positions </w:t>
      </w:r>
      <w:r w:rsidR="00AD4B48">
        <w:t>in</w:t>
      </w:r>
      <w:r w:rsidRPr="005C7FF0">
        <w:t xml:space="preserve"> all analyses of </w:t>
      </w:r>
      <w:proofErr w:type="spellStart"/>
      <w:r w:rsidRPr="005C7FF0">
        <w:t>mtPCG</w:t>
      </w:r>
      <w:proofErr w:type="spellEnd"/>
      <w:r w:rsidRPr="005C7FF0">
        <w:t>.</w:t>
      </w:r>
    </w:p>
    <w:p w14:paraId="4D42DF36" w14:textId="77777777" w:rsidR="005F7594" w:rsidRPr="005C7FF0" w:rsidRDefault="005F7594" w:rsidP="002C391C">
      <w:pPr>
        <w:spacing w:line="480" w:lineRule="auto"/>
      </w:pPr>
    </w:p>
    <w:p w14:paraId="197A035F" w14:textId="77777777" w:rsidR="005F7594" w:rsidRPr="005C7FF0" w:rsidRDefault="005F7594" w:rsidP="002C391C">
      <w:pPr>
        <w:pStyle w:val="Heading3"/>
        <w:spacing w:line="480" w:lineRule="auto"/>
      </w:pPr>
      <w:r w:rsidRPr="005C7FF0">
        <w:t>Generation of UCEs in silico</w:t>
      </w:r>
    </w:p>
    <w:p w14:paraId="735C8DE2" w14:textId="5868F7F0" w:rsidR="006058AE" w:rsidRDefault="005F7594" w:rsidP="002C391C">
      <w:pPr>
        <w:spacing w:line="480" w:lineRule="auto"/>
        <w:ind w:firstLine="720"/>
      </w:pPr>
      <w:r w:rsidRPr="005C7FF0">
        <w:t xml:space="preserve">UCEs were identified using PHYLUCE v1.6.6 </w:t>
      </w:r>
      <w:r w:rsidRPr="005C7FF0">
        <w:fldChar w:fldCharType="begin" w:fldLock="1"/>
      </w:r>
      <w:r w:rsidRPr="005C7FF0">
        <w:instrText>ADDIN CSL_CITATION {"citationItems":[{"id":"ITEM-1","itemData":{"DOI":"10.1093/bioinformatics/btv646","ISSN":"14602059","PMID":"26530724","abstract":"Targeted enrichment of conserved and ultraconserved genomic elements allows universal collection of phylogenomic data from hundreds of species at multiple time scales (&lt;5 Ma to &gt; 300 Ma). Prior to downstream inference, data from these types of targeted enrichment studies must undergo preprocessing to assemble contigs from sequence data; identify targeted, enriched loci from the off-target background data; align enriched contigs representing conserved loci to one another; and prepare and manipulate these alignments for subsequent phylogenomic inference. PHYLUCE is an efficient and easy-to-install software package that accomplishes these tasks across hundreds of taxa and thousands of enriched loci.","author":[{"dropping-particle":"","family":"Faircloth","given":"Brant C.","non-dropping-particle":"","parse-names":false,"suffix":""}],"container-title":"Bioinformatics","id":"ITEM-1","issue":"5","issued":{"date-parts":[["2016"]]},"page":"786-788","title":"PHYLUCE is a software package for the analysis of conserved genomic loci","type":"article-journal","volume":"32"},"uris":["http://www.mendeley.com/documents/?uuid=af87fb56-f238-481b-88ee-0eba62cba77b","http://www.mendeley.com/documents/?uuid=1fec3b72-47c3-4bdd-9bdd-32f6a893edc8"]},{"id":"ITEM-2","itemData":{"DOI":"10.1111/2041-210X.12754","ISSN":"2041210X","abstract":"Targeted enrichment of conserved genomic regions is a popular method for collecting large amounts of sequence data from non-model taxa for phylogenetic, phylogeographic and population genetic studies. For example, two available bait sets each allow enrichment of thousands of orthologous loci from &gt;20 000 species (Faircloth et al. Systematic Biology, 61, 717–726, 2012; Molecular Ecology Resources, 15, 489–501, 2015). Unfortunately, few open-source workflows are available to identify conserved genomic elements shared among divergent taxa and to design enrichment baits targeting these regions. Those that do exist require extensive bioinformatics expertise and significant amounts of time to use. These shortcomings limit the application of targeted enrichment methods to additional organismal groups. Here, I describe a universal workflow for identifying conserved genomic regions in available genomic data and for designing targeted enrichment baits to collect data from these conserved regions. These methods require less expertise, less time and better use commonly available information to identify conserved loci and design baits to capture them. I apply this computational approach to the understudied arthropod groups Arachnida, Coleoptera, Diptera, Hemiptera or Lepidoptera to identify thousands of conserved loci in each group and design target enrichment baits to capture these loci. I then use in silico analyses to demonstrate that targeted enrichment of the conserved loci can be used to reconstruct the accepted relationships among genome sequences from the focal arthropod orders. The software workflow I created allowed me to identify thousands of conserved loci in five diverse arthropod groups and design sequence capture baits to target them. This suite of capture bait designs should enable collection of phylogenomic data from &gt;900 000 arthropod species. Although the examples in this manuscript focus on understudied arthropod groups, the approach I describe is applicable to all organismal groups having some form of pre-existing genomic information (e.g. other invertebrates, plants, fungi and microbes). Finally, the documentation, design steps, software code and bait sets developed here are available under an open-source license for restriction-free testing, use, and additional modification by any research group.","author":[{"dropping-particle":"","family":"Faircloth","given":"Brant C.","non-dropping-particle":"","parse-names":false,"suffix":""}],"container-title":"Methods in Ecology and Evolution","id":"ITEM-2","issue":"9","issued":{"date-parts":[["2017"]]},"page":"1103-1112","title":"Identifying conserved genomic elements and designing universal bait sets to enrich them","type":"article-journal","volume":"8"},"uris":["http://www.mendeley.com/documents/?uuid=97c009b8-5adc-45e5-a5cb-72238cbc541d","http://www.mendeley.com/documents/?uuid=4d534041-f148-44ce-9cd7-fce9dc020694"]}],"mendeley":{"formattedCitation":"(Faircloth, 2016, 2017)","plainTextFormattedCitation":"(Faircloth, 2016, 2017)","previouslyFormattedCitation":"(Faircloth, 2016, 2017)"},"properties":{"noteIndex":0},"schema":"https://github.com/citation-style-language/schema/raw/master/csl-citation.json"}</w:instrText>
      </w:r>
      <w:r w:rsidRPr="005C7FF0">
        <w:fldChar w:fldCharType="separate"/>
      </w:r>
      <w:r w:rsidRPr="005C7FF0">
        <w:rPr>
          <w:noProof/>
        </w:rPr>
        <w:t>(Faircloth, 2016, 2017)</w:t>
      </w:r>
      <w:r w:rsidRPr="005C7FF0">
        <w:fldChar w:fldCharType="end"/>
      </w:r>
      <w:r w:rsidRPr="005C7FF0">
        <w:t>. A total of six genomes were used to design a cockroach UCE bait set</w:t>
      </w:r>
      <w:r w:rsidR="00FD41FB">
        <w:t>. These included</w:t>
      </w:r>
      <w:r w:rsidRPr="005C7FF0">
        <w:t xml:space="preserve"> three publicly</w:t>
      </w:r>
      <w:r w:rsidR="00943228">
        <w:t xml:space="preserve"> </w:t>
      </w:r>
      <w:r w:rsidRPr="005C7FF0">
        <w:t>available genomes</w:t>
      </w:r>
      <w:r w:rsidR="00FD41FB">
        <w:t xml:space="preserve">, </w:t>
      </w:r>
      <w:proofErr w:type="spellStart"/>
      <w:r w:rsidRPr="005C7FF0">
        <w:rPr>
          <w:i/>
          <w:iCs/>
        </w:rPr>
        <w:t>Blatella</w:t>
      </w:r>
      <w:proofErr w:type="spellEnd"/>
      <w:r w:rsidRPr="005C7FF0">
        <w:rPr>
          <w:i/>
          <w:iCs/>
        </w:rPr>
        <w:t xml:space="preserve"> germanica</w:t>
      </w:r>
      <w:r w:rsidRPr="005C7FF0">
        <w:t xml:space="preserve"> (GenBank accession no. </w:t>
      </w:r>
      <w:r w:rsidRPr="005C7FF0">
        <w:rPr>
          <w:shd w:val="clear" w:color="auto" w:fill="FFFFFF"/>
        </w:rPr>
        <w:t>GCA_003018175.1</w:t>
      </w:r>
      <w:r w:rsidRPr="005C7FF0">
        <w:t xml:space="preserve">) </w:t>
      </w:r>
      <w:r w:rsidRPr="005C7FF0">
        <w:fldChar w:fldCharType="begin" w:fldLock="1"/>
      </w:r>
      <w:r w:rsidRPr="005C7FF0">
        <w:instrText>ADDIN CSL_CITATION {"citationItems":[{"id":"ITEM-1","itemData":{"DOI":"10.1038/s41559-017-0459-1","ISSN":"2397334X","abstract":"Around 150 million years ago, eusocial termites evolved from within the cockroaches, 50 million years before eusocial Hymenoptera, such as bees and ants, appeared. Here, we report the 2-Gb genome of the German cockroach, Blattella germanica, and the 1.3-Gb genome of the drywood termite Cryptotermes secundus. We show evolutionary signatures of termite eusociality by comparing the genomes and transcriptomes of three termites and the cockroach against the background of 16 other eusocial and non-eusocial insects. Dramatic adaptive changes in genes underlying the production and perception of pheromones confirm the importance of chemical communication in the termites. These are accompanied by major changes in gene regulation and the molecular evolution of caste determination. Many of these results parallel molecular mechanisms of eusocial evolution in Hymenoptera. However, the specific solutions are remarkably different, thus revealing a striking case of convergence in one of the major evolutionary transitions in biological complexity.","author":[{"dropping-particle":"","family":"Harrison","given":"Mark C.","non-dropping-particle":"","parse-names":false,"suffix":""},{"dropping-particle":"","family":"Jongepier","given":"Evelien","non-dropping-particle":"","parse-names":false,"suffix":""},{"dropping-particle":"","family":"Robertson","given":"Hugh M.","non-dropping-particle":"","parse-names":false,"suffix":""},{"dropping-particle":"","family":"Arning","given":"Nicolas","non-dropping-particle":"","parse-names":false,"suffix":""},{"dropping-particle":"","family":"Bitard-Feildel","given":"Tristan","non-dropping-particle":"","parse-names":false,"suffix":""},{"dropping-particle":"","family":"Chao","given":"Hsu","non-dropping-particle":"","parse-names":false,"suffix":""},{"dropping-particle":"","family":"Childers","given":"Christopher P.","non-dropping-particle":"","parse-names":false,"suffix":""},{"dropping-particle":"","family":"Dinh","given":"Huyen","non-dropping-particle":"","parse-names":false,"suffix":""},{"dropping-particle":"","family":"Doddapaneni","given":"Harshavardhan","non-dropping-particle":"","parse-names":false,"suffix":""},{"dropping-particle":"","family":"Dugan","given":"Shannon","non-dropping-particle":"","parse-names":false,"suffix":""},{"dropping-particle":"","family":"Gowin","given":"Johannes","non-dropping-particle":"","parse-names":false,"suffix":""},{"dropping-particle":"","family":"Greiner","given":"Carolin","non-dropping-particle":"","parse-names":false,"suffix":""},{"dropping-particle":"","family":"Han","given":"Yi","non-dropping-particle":"","parse-names":false,"suffix":""},{"dropping-particle":"","family":"Hu","given":"Haofu","non-dropping-particle":"","parse-names":false,"suffix":""},{"dropping-particle":"","family":"Hughes","given":"Daniel S.T.","non-dropping-particle":"","parse-names":false,"suffix":""},{"dropping-particle":"","family":"Huylmans","given":"Ann Kathrin","non-dropping-particle":"","parse-names":false,"suffix":""},{"dropping-particle":"","family":"Kemena","given":"Carsten","non-dropping-particle":"","parse-names":false,"suffix":""},{"dropping-particle":"","family":"Kremer","given":"Lukas P.M.","non-dropping-particle":"","parse-names":false,"suffix":""},{"dropping-particle":"","family":"Lee","given":"Sandra L.","non-dropping-particle":"","parse-names":false,"suffix":""},{"dropping-particle":"","family":"Lopez-Ezquerra","given":"Alberto","non-dropping-particle":"","parse-names":false,"suffix":""},{"dropping-particle":"","family":"Mallet","given":"Ludovic","non-dropping-particle":"","parse-names":false,"suffix":""},{"dropping-particle":"","family":"Monroy-Kuhn","given":"Jose M.","non-dropping-particle":"","parse-names":false,"suffix":""},{"dropping-particle":"","family":"Moser","given":"Annabell","non-dropping-particle":"","parse-names":false,"suffix":""},{"dropping-particle":"","family":"Murali","given":"Shwetha C.","non-dropping-particle":"","parse-names":false,"suffix":""},{"dropping-particle":"","family":"Muzny","given":"Donna M.","non-dropping-particle":"","parse-names":false,"suffix":""},{"dropping-particle":"","family":"Otani","given":"Saria","non-dropping-particle":"","parse-names":false,"suffix":""},{"dropping-particle":"","family":"Piulachs","given":"Maria Dolors","non-dropping-particle":"","parse-names":false,"suffix":""},{"dropping-particle":"","family":"Poelchau","given":"Monica","non-dropping-particle":"","parse-names":false,"suffix":""},{"dropping-particle":"","family":"Qu","given":"Jiaxin","non-dropping-particle":"","parse-names":false,"suffix":""},{"dropping-particle":"","family":"Schaub","given":"Florentine","non-dropping-particle":"","parse-names":false,"suffix":""},{"dropping-particle":"","family":"Wada-Katsumata","given":"Ayako","non-dropping-particle":"","parse-names":false,"suffix":""},{"dropping-particle":"","family":"Worley","given":"Kim C.","non-dropping-particle":"","parse-names":false,"suffix":""},{"dropping-particle":"","family":"Xie","given":"Qiaolin","non-dropping-particle":"","parse-names":false,"suffix":""},{"dropping-particle":"","family":"Ylla","given":"Guillem","non-dropping-particle":"","parse-names":false,"suffix":""},{"dropping-particle":"","family":"Poulsen","given":"Michael","non-dropping-particle":"","parse-names":false,"suffix":""},{"dropping-particle":"","family":"Gibbs","given":"Richard A.","non-dropping-particle":"","parse-names":false,"suffix":""},{"dropping-particle":"","family":"Schal","given":"Coby","non-dropping-particle":"","parse-names":false,"suffix":""},{"dropping-particle":"","family":"Richards","given":"Stephen","non-dropping-particle":"","parse-names":false,"suffix":""},{"dropping-particle":"","family":"Belles","given":"Xavier","non-dropping-particle":"","parse-names":false,"suffix":""},{"dropping-particle":"","family":"Korb","given":"Judith","non-dropping-particle":"","parse-names":false,"suffix":""},{"dropping-particle":"","family":"Bornberg-Bauer","given":"Erich","non-dropping-particle":"","parse-names":false,"suffix":""}],"container-title":"Nature Ecology and Evolution","id":"ITEM-1","issue":"3","issued":{"date-parts":[["2018"]]},"page":"557-566","title":"Hemimetabolous genomes reveal molecular basis of termite eusociality","type":"article-journal","volume":"2"},"uris":["http://www.mendeley.com/documents/?uuid=7f247de7-2a47-44f7-b388-93e494371f6d","http://www.mendeley.com/documents/?uuid=65492deb-b73f-4e32-8a45-8f6f8e24b1ce"]}],"mendeley":{"formattedCitation":"(Harrison et al., 2018)","plainTextFormattedCitation":"(Harrison et al., 2018)","previouslyFormattedCitation":"(Harrison et al., 2018)"},"properties":{"noteIndex":0},"schema":"https://github.com/citation-style-language/schema/raw/master/csl-citation.json"}</w:instrText>
      </w:r>
      <w:r w:rsidRPr="005C7FF0">
        <w:fldChar w:fldCharType="separate"/>
      </w:r>
      <w:r w:rsidRPr="005C7FF0">
        <w:rPr>
          <w:noProof/>
        </w:rPr>
        <w:t>(Harrison et al., 2018)</w:t>
      </w:r>
      <w:r w:rsidRPr="005C7FF0">
        <w:fldChar w:fldCharType="end"/>
      </w:r>
      <w:r w:rsidRPr="005C7FF0">
        <w:t xml:space="preserve">, </w:t>
      </w:r>
      <w:proofErr w:type="spellStart"/>
      <w:r w:rsidRPr="005C7FF0">
        <w:rPr>
          <w:i/>
          <w:iCs/>
        </w:rPr>
        <w:t>Periplaneta</w:t>
      </w:r>
      <w:proofErr w:type="spellEnd"/>
      <w:r w:rsidRPr="005C7FF0">
        <w:rPr>
          <w:i/>
          <w:iCs/>
        </w:rPr>
        <w:t xml:space="preserve"> americana</w:t>
      </w:r>
      <w:r w:rsidRPr="005C7FF0">
        <w:t xml:space="preserve"> (</w:t>
      </w:r>
      <w:r w:rsidRPr="005C7FF0">
        <w:rPr>
          <w:shd w:val="clear" w:color="auto" w:fill="FFFFFF"/>
        </w:rPr>
        <w:t>GCA_002939525.1</w:t>
      </w:r>
      <w:r w:rsidRPr="005C7FF0">
        <w:t xml:space="preserve">) </w:t>
      </w:r>
      <w:r w:rsidRPr="005C7FF0">
        <w:fldChar w:fldCharType="begin" w:fldLock="1"/>
      </w:r>
      <w:r w:rsidRPr="005C7FF0">
        <w:instrText>ADDIN CSL_CITATION {"citationItems":[{"id":"ITEM-1","itemData":{"DOI":"10.1038/s41467-018-03281-1","ISSN":"20411723","PMID":"29559629","abstract":"Many cockroach species have adapted to urban environments, and some have been serious pests of public health in the tropics and subtropics. Here, we present the 3.38-Gb genome and a consensus gene set of the American cockroach, Periplaneta americana. We report insights from both genomic and functional investigations into the underlying basis of its adaptation to urban environments and developmental plasticity. In comparison with other insects, expansions of gene families in P. americana exist for most core gene families likely associated with environmental adaptation, such as chemoreception and detoxification. Multiple pathways regulating metamorphic development are well conserved, and RNAi experiments inform on key roles of 20-hydroxyecdysone, juvenile hormone, insulin, and decapentaplegic signals in regulating plasticity. Our analyses reveal a high level of sequence identity in genes between the American cockroach and two termite species, advancing it as a valuable model to study the evolutionary relationships between cockroaches and termites.","author":[{"dropping-particle":"","family":"Li","given":"Sheng","non-dropping-particle":"","parse-names":false,"suffix":""},{"dropping-particle":"","family":"Zhu","given":"Shiming","non-dropping-particle":"","parse-names":false,"suffix":""},{"dropping-particle":"","family":"Jia","given":"Qiangqiang","non-dropping-particle":"","parse-names":false,"suffix":""},{"dropping-particle":"","family":"Yuan","given":"Dongwei","non-dropping-particle":"","parse-names":false,"suffix":""},{"dropping-particle":"","family":"Ren","given":"Chonghua","non-dropping-particle":"","parse-names":false,"suffix":""},{"dropping-particle":"","family":"Li","given":"Kang","non-dropping-particle":"","parse-names":false,"suffix":""},{"dropping-particle":"","family":"Liu","given":"Suning","non-dropping-particle":"","parse-names":false,"suffix":""},{"dropping-particle":"","family":"Cui","given":"Yingying","non-dropping-particle":"","parse-names":false,"suffix":""},{"dropping-particle":"","family":"Zhao","given":"Haigang","non-dropping-particle":"","parse-names":false,"suffix":""},{"dropping-particle":"","family":"Cao","given":"Yanghui","non-dropping-particle":"","parse-names":false,"suffix":""},{"dropping-particle":"","family":"Fang","given":"Gangqi","non-dropping-particle":"","parse-names":false,"suffix":""},{"dropping-particle":"","family":"Li","given":"Daqi","non-dropping-particle":"","parse-names":false,"suffix":""},{"dropping-particle":"","family":"Zhao","given":"Xiaoming","non-dropping-particle":"","parse-names":false,"suffix":""},{"dropping-particle":"","family":"Zhang","given":"Jianzhen","non-dropping-particle":"","parse-names":false,"suffix":""},{"dropping-particle":"","family":"Yue","given":"Qiaoyun","non-dropping-particle":"","parse-names":false,"suffix":""},{"dropping-particle":"","family":"Fan","given":"Yongliang","non-dropping-particle":"","parse-names":false,"suffix":""},{"dropping-particle":"","family":"Yu","given":"Xiaoqiang","non-dropping-particle":"","parse-names":false,"suffix":""},{"dropping-particle":"","family":"Feng","given":"Qili","non-dropping-particle":"","parse-names":false,"suffix":""},{"dropping-particle":"","family":"Zhan","given":"Shuai","non-dropping-particle":"","parse-names":false,"suffix":""}],"container-title":"Nature Communications","id":"ITEM-1","issue":"1","issued":{"date-parts":[["2018"]]},"page":"1008","publisher":"Springer US","title":"The genomic and functional landscapes of developmental plasticity in the American cockroach","type":"article-journal","volume":"9"},"uris":["http://www.mendeley.com/documents/?uuid=9ad2fbe4-acb9-4780-af66-a7ae0ecfbb59","http://www.mendeley.com/documents/?uuid=f6d4b924-2935-4c9b-8cc5-d07c2f1d6ec2"]}],"mendeley":{"formattedCitation":"(Li et al., 2018)","plainTextFormattedCitation":"(Li et al., 2018)","previouslyFormattedCitation":"(Li et al., 2018)"},"properties":{"noteIndex":0},"schema":"https://github.com/citation-style-language/schema/raw/master/csl-citation.json"}</w:instrText>
      </w:r>
      <w:r w:rsidRPr="005C7FF0">
        <w:fldChar w:fldCharType="separate"/>
      </w:r>
      <w:r w:rsidRPr="005C7FF0">
        <w:rPr>
          <w:noProof/>
        </w:rPr>
        <w:t>(Li et al., 2018)</w:t>
      </w:r>
      <w:r w:rsidRPr="005C7FF0">
        <w:fldChar w:fldCharType="end"/>
      </w:r>
      <w:r w:rsidRPr="005C7FF0">
        <w:t xml:space="preserve"> and the termite </w:t>
      </w:r>
      <w:proofErr w:type="spellStart"/>
      <w:r w:rsidRPr="005C7FF0">
        <w:rPr>
          <w:i/>
          <w:iCs/>
        </w:rPr>
        <w:t>Zootermopsis</w:t>
      </w:r>
      <w:proofErr w:type="spellEnd"/>
      <w:r w:rsidRPr="005C7FF0">
        <w:rPr>
          <w:i/>
          <w:iCs/>
        </w:rPr>
        <w:t xml:space="preserve"> </w:t>
      </w:r>
      <w:proofErr w:type="spellStart"/>
      <w:r w:rsidRPr="005C7FF0">
        <w:rPr>
          <w:i/>
          <w:iCs/>
        </w:rPr>
        <w:t>nevadensis</w:t>
      </w:r>
      <w:proofErr w:type="spellEnd"/>
      <w:r w:rsidRPr="005C7FF0">
        <w:t xml:space="preserve"> (</w:t>
      </w:r>
      <w:r w:rsidRPr="005C7FF0">
        <w:rPr>
          <w:shd w:val="clear" w:color="auto" w:fill="FFFFFF"/>
        </w:rPr>
        <w:t>GCF_000696155.1</w:t>
      </w:r>
      <w:r w:rsidRPr="005C7FF0">
        <w:t xml:space="preserve">) </w:t>
      </w:r>
      <w:r w:rsidRPr="005C7FF0">
        <w:fldChar w:fldCharType="begin" w:fldLock="1"/>
      </w:r>
      <w:r w:rsidRPr="005C7FF0">
        <w:instrText>ADDIN CSL_CITATION {"citationItems":[{"id":"ITEM-1","itemData":{"DOI":"10.1038/ncomms4636","ISBN":"9781137332875","ISSN":"2041-1723","PMID":"24845553","abstract":"Although eusociality evolved independently within several orders of insects, research into the molecular underpinnings of the transition towards social complexity has been confined primarily to Hymenoptera (for example, ants and bees). Here we sequence the genome and stage-specific transcriptomes of the dampwood termite Zootermopsis nevadensis (Blattodea) and compare them with similar data for eusocial Hymenoptera, to better identify commonalities and differences in achieving this significant transition. We show an expansion of genes related to male fertility, with upregulated gene expression in male reproductive individuals reflecting the profound differences in mating biology relative to the Hymenoptera. For several chemoreceptor families, we show divergent numbers of genes, which may correspond to the more claustral lifestyle of these termites. We also show similarities in the number and expression of genes related to caste determination mechanisms. Finally, patterns of DNA methylation and alternative splicing support a hypothesized epigenetic regulation of caste differentiation.","author":[{"dropping-particle":"","family":"Terrapon","given":"Nicolas","non-dropping-particle":"","parse-names":false,"suffix":""},{"dropping-particle":"","family":"Li","given":"Cai","non-dropping-particle":"","parse-names":false,"suffix":""},{"dropping-particle":"","family":"Robertson","given":"Hugh M","non-dropping-particle":"","parse-names":false,"suffix":""},{"dropping-particle":"","family":"Ji","given":"Lu","non-dropping-particle":"","parse-names":false,"suffix":""},{"dropping-particle":"","family":"Meng","given":"Xuehong","non-dropping-particle":"","parse-names":false,"suffix":""},{"dropping-particle":"","family":"Booth","given":"Warren","non-dropping-particle":"","parse-names":false,"suffix":""},{"dropping-particle":"","family":"Chen","given":"Zhensheng","non-dropping-particle":"","parse-names":false,"suffix":""},{"dropping-particle":"","family":"Childers","given":"Christopher P","non-dropping-particle":"","parse-names":false,"suffix":""},{"dropping-particle":"","family":"Glastad","given":"Karl M","non-dropping-particle":"","parse-names":false,"suffix":""},{"dropping-particle":"","family":"Gokhale","given":"Kaustubh","non-dropping-particle":"","parse-names":false,"suffix":""},{"dropping-particle":"","family":"Gowin","given":"Johannes","non-dropping-particle":"","parse-names":false,"suffix":""},{"dropping-particle":"","family":"Gronenberg","given":"Wulfila","non-dropping-particle":"","parse-names":false,"suffix":""},{"dropping-particle":"","family":"Hermansen","given":"Russell A.","non-dropping-particle":"","parse-names":false,"suffix":""},{"dropping-particle":"","family":"Hu","given":"Haofu","non-dropping-particle":"","parse-names":false,"suffix":""},{"dropping-particle":"","family":"Hunt","given":"Brendan G","non-dropping-particle":"","parse-names":false,"suffix":""},{"dropping-particle":"","family":"Huylmans","given":"Ann Kathrin","non-dropping-particle":"","parse-names":false,"suffix":""},{"dropping-particle":"","family":"Khalil","given":"Sayed M S","non-dropping-particle":"","parse-names":false,"suffix":""},{"dropping-particle":"","family":"Mitchell","given":"Robert D","non-dropping-particle":"","parse-names":false,"suffix":""},{"dropping-particle":"","family":"Munoz-Torres","given":"Monica C","non-dropping-particle":"","parse-names":false,"suffix":""},{"dropping-particle":"","family":"Mustard","given":"Julie A.","non-dropping-particle":"","parse-names":false,"suffix":""},{"dropping-particle":"","family":"Pan","given":"Hailin","non-dropping-particle":"","parse-names":false,"suffix":""},{"dropping-particle":"","family":"Reese","given":"Justin T","non-dropping-particle":"","parse-names":false,"suffix":""},{"dropping-particle":"","family":"Scharf","given":"Michael E","non-dropping-particle":"","parse-names":false,"suffix":""},{"dropping-particle":"","family":"Sun","given":"Fengming","non-dropping-particle":"","parse-names":false,"suffix":""},{"dropping-particle":"","family":"Vogel","given":"Heiko","non-dropping-particle":"","parse-names":false,"suffix":""},{"dropping-particle":"","family":"Xiao","given":"Jin","non-dropping-particle":"","parse-names":false,"suffix":""},{"dropping-particle":"","family":"Yang","given":"Wei","non-dropping-particle":"","parse-names":false,"suffix":""},{"dropping-particle":"","family":"Yang","given":"Zhikai","non-dropping-particle":"","parse-names":false,"suffix":""},{"dropping-particle":"","family":"Yang","given":"Zuoquan","non-dropping-particle":"","parse-names":false,"suffix":""},{"dropping-particle":"","family":"Zhou","given":"Jiajian","non-dropping-particle":"","parse-names":false,"suffix":""},{"dropping-particle":"","family":"Zhu","given":"Jiwei","non-dropping-particle":"","parse-names":false,"suffix":""},{"dropping-particle":"","family":"Brent","given":"Colin S","non-dropping-particle":"","parse-names":false,"suffix":""},{"dropping-particle":"","family":"Elsik","given":"Christine G","non-dropping-particle":"","parse-names":false,"suffix":""},{"dropping-particle":"","family":"Goodisman","given":"Michael A. D.","non-dropping-particle":"","parse-names":false,"suffix":""},{"dropping-particle":"","family":"Liberles","given":"David A.","non-dropping-particle":"","parse-names":false,"suffix":""},{"dropping-particle":"","family":"Roe","given":"R Michael","non-dropping-particle":"","parse-names":false,"suffix":""},{"dropping-particle":"","family":"Vargo","given":"Edward L.","non-dropping-particle":"","parse-names":false,"suffix":""},{"dropping-particle":"","family":"Vilcinskas","given":"Andreas","non-dropping-particle":"","parse-names":false,"suffix":""},{"dropping-particle":"","family":"Wang","given":"Jun","non-dropping-particle":"","parse-names":false,"suffix":""},{"dropping-particle":"","family":"Bornberg-Bauer","given":"Erich","non-dropping-particle":"","parse-names":false,"suffix":""},{"dropping-particle":"","family":"Korb","given":"Judith","non-dropping-particle":"","parse-names":false,"suffix":""},{"dropping-particle":"","family":"Zhang","given":"Guojie","non-dropping-particle":"","parse-names":false,"suffix":""},{"dropping-particle":"","family":"Liebig","given":"Jürgen","non-dropping-particle":"","parse-names":false,"suffix":""}],"container-title":"Nature Communications","id":"ITEM-1","issue":"May","issued":{"date-parts":[["2014"]]},"page":"3636","title":"Molecular traces of alternative social organization in a termite genome","type":"article-journal","volume":"5"},"uris":["http://www.mendeley.com/documents/?uuid=b805800a-e809-44ff-86da-a93ff6ab2783","http://www.mendeley.com/documents/?uuid=016fb843-452a-4879-980a-a6fbb06b5d38"]}],"mendeley":{"formattedCitation":"(Terrapon et al., 2014)","plainTextFormattedCitation":"(Terrapon et al., 2014)","previouslyFormattedCitation":"(Terrapon et al., 2014)"},"properties":{"noteIndex":0},"schema":"https://github.com/citation-style-language/schema/raw/master/csl-citation.json"}</w:instrText>
      </w:r>
      <w:r w:rsidRPr="005C7FF0">
        <w:fldChar w:fldCharType="separate"/>
      </w:r>
      <w:r w:rsidRPr="005C7FF0">
        <w:rPr>
          <w:noProof/>
        </w:rPr>
        <w:t>(Terrapon et al., 2014)</w:t>
      </w:r>
      <w:r w:rsidRPr="005C7FF0">
        <w:fldChar w:fldCharType="end"/>
      </w:r>
      <w:r w:rsidR="00FD41FB">
        <w:t>,</w:t>
      </w:r>
      <w:r w:rsidRPr="005C7FF0">
        <w:t xml:space="preserve"> as well as three in-house genomes</w:t>
      </w:r>
      <w:r w:rsidR="00FD41FB">
        <w:t xml:space="preserve">, </w:t>
      </w:r>
      <w:proofErr w:type="spellStart"/>
      <w:r w:rsidRPr="005C7FF0">
        <w:rPr>
          <w:i/>
          <w:iCs/>
        </w:rPr>
        <w:t>Geoscapheus</w:t>
      </w:r>
      <w:proofErr w:type="spellEnd"/>
      <w:r w:rsidRPr="005C7FF0">
        <w:rPr>
          <w:i/>
          <w:iCs/>
        </w:rPr>
        <w:t xml:space="preserve"> </w:t>
      </w:r>
      <w:proofErr w:type="spellStart"/>
      <w:r w:rsidRPr="005C7FF0">
        <w:rPr>
          <w:i/>
          <w:iCs/>
        </w:rPr>
        <w:t>dilatatus</w:t>
      </w:r>
      <w:proofErr w:type="spellEnd"/>
      <w:r w:rsidRPr="005C7FF0">
        <w:t xml:space="preserve">, </w:t>
      </w:r>
      <w:proofErr w:type="spellStart"/>
      <w:r w:rsidRPr="005C7FF0">
        <w:rPr>
          <w:i/>
          <w:iCs/>
        </w:rPr>
        <w:t>Neogeoscapheus</w:t>
      </w:r>
      <w:proofErr w:type="spellEnd"/>
      <w:r w:rsidRPr="005C7FF0">
        <w:rPr>
          <w:i/>
          <w:iCs/>
        </w:rPr>
        <w:t xml:space="preserve"> </w:t>
      </w:r>
      <w:proofErr w:type="spellStart"/>
      <w:r w:rsidRPr="005C7FF0">
        <w:rPr>
          <w:i/>
          <w:iCs/>
        </w:rPr>
        <w:t>hanni</w:t>
      </w:r>
      <w:proofErr w:type="spellEnd"/>
      <w:r w:rsidR="00FD41FB">
        <w:t>,</w:t>
      </w:r>
      <w:r w:rsidRPr="005C7FF0">
        <w:t xml:space="preserve"> and </w:t>
      </w:r>
      <w:proofErr w:type="spellStart"/>
      <w:r w:rsidRPr="005C7FF0">
        <w:rPr>
          <w:i/>
          <w:iCs/>
        </w:rPr>
        <w:t>Panesthia</w:t>
      </w:r>
      <w:proofErr w:type="spellEnd"/>
      <w:r w:rsidRPr="005C7FF0">
        <w:rPr>
          <w:i/>
          <w:iCs/>
        </w:rPr>
        <w:t xml:space="preserve"> </w:t>
      </w:r>
      <w:proofErr w:type="spellStart"/>
      <w:r w:rsidRPr="005C7FF0">
        <w:rPr>
          <w:i/>
          <w:iCs/>
        </w:rPr>
        <w:t>cribra</w:t>
      </w:r>
      <w:r w:rsidR="00907D6F">
        <w:rPr>
          <w:i/>
          <w:iCs/>
        </w:rPr>
        <w:t>t</w:t>
      </w:r>
      <w:r w:rsidRPr="005C7FF0">
        <w:rPr>
          <w:i/>
          <w:iCs/>
        </w:rPr>
        <w:t>a</w:t>
      </w:r>
      <w:proofErr w:type="spellEnd"/>
      <w:r w:rsidRPr="005C7FF0">
        <w:t xml:space="preserve">. We used </w:t>
      </w:r>
      <w:r w:rsidRPr="005C7FF0">
        <w:rPr>
          <w:i/>
          <w:iCs/>
        </w:rPr>
        <w:t>B. germanica</w:t>
      </w:r>
      <w:r w:rsidRPr="005C7FF0">
        <w:t xml:space="preserve"> as the base genome for UCE identification, due to its higher BUSCO score. We used the same bioinformatic protocol and parameters </w:t>
      </w:r>
      <w:r w:rsidR="00887FF5">
        <w:t xml:space="preserve">as in a </w:t>
      </w:r>
      <w:r w:rsidR="00F846FD" w:rsidRPr="005C7FF0">
        <w:t>previous</w:t>
      </w:r>
      <w:r w:rsidR="00887FF5">
        <w:t xml:space="preserve"> </w:t>
      </w:r>
      <w:r w:rsidR="00887FF5">
        <w:lastRenderedPageBreak/>
        <w:t>study</w:t>
      </w:r>
      <w:r w:rsidR="00F846FD" w:rsidRPr="005C7FF0">
        <w:t xml:space="preserve"> to generate a </w:t>
      </w:r>
      <w:r w:rsidRPr="005C7FF0">
        <w:t xml:space="preserve">UCE data set </w:t>
      </w:r>
      <w:r w:rsidR="00F846FD" w:rsidRPr="005C7FF0">
        <w:t xml:space="preserve">for termites </w:t>
      </w:r>
      <w:r w:rsidRPr="005C7FF0">
        <w:fldChar w:fldCharType="begin" w:fldLock="1"/>
      </w:r>
      <w:r w:rsidRPr="005C7FF0">
        <w:instrText>ADDIN CSL_CITATION {"citationItems":[{"id":"ITEM-1","itemData":{"DOI":"10.1016/j.ympev.2022.107520","ISSN":"10557903","abstract":"The phylogenetic history of termites has been investigated using mitochondrial genomes and transcriptomes. However, both sets of markers have specific limitations. Mitochondrial genomes represent a single genetic marker likely to yield phylogenetic trees presenting incongruences with species trees, and transcriptomes can only be obtained from well-preserved samples. In contrast, ultraconserved elements (UCEs) include a great many independent markers that can be retrieved from poorly preserved samples. Here, we designed termite-specific baits targeting 50,616 UCE loci. We tested our UCE bait set on 42 samples of termites and three samples of Cryptocercus , for which we generated low-coverage highly-fragmented genome assemblies and successfully extracted in silico between 3,426 to 42,860 non-duplicated UCEs per sample. Our maximum likelihood phylogenetic tree, reconstructed using the 5,934 UCE loci retrieved from upward of 75% of samples, was congruent with transcriptome-based phylogenies, demonstrating that our UCE bait set is reliable and phylogenetically informative. Combined with non-destructive DNA extraction protocols, our UCE bait set provides the tool needed to carry out a global taxonomic revision of termites based on poorly preserved specimens such as old museum samples. The Termite UCE database is maintained at: &lt;https://github.com/oist/TER-UCE-DB/&gt;. ### Competing Interest Statement The authors have declared no competing interest.","author":[{"dropping-particle":"","family":"Hellemans","given":"Simon","non-dropping-particle":"","parse-names":false,"suffix":""},{"dropping-particle":"","family":"Wang","given":"Menglin","non-dropping-particle":"","parse-names":false,"suffix":""},{"dropping-particle":"","family":"Hasegawa","given":"Nonno","non-dropping-particle":"","parse-names":false,"suffix":""},{"dropping-particle":"","family":"Šobotník","given":"Jan","non-dropping-particle":"","parse-names":false,"suffix":""},{"dropping-particle":"","family":"Scheffrahn","given":"Rudolf H.","non-dropping-particle":"","parse-names":false,"suffix":""},{"dropping-particle":"","family":"Bourguignon","given":"Thomas","non-dropping-particle":"","parse-names":false,"suffix":""}],"container-title":"Molecular Phylogenetics and Evolution","id":"ITEM-1","issue":"March","issued":{"date-parts":[["2022"]]},"page":"107520","title":"Using ultraconserved elements to reconstruct the termite tree of life","type":"article-journal","volume":"173"},"uris":["http://www.mendeley.com/documents/?uuid=24d547f3-ef85-4d0a-a1e1-2f5c26d0e4a3"]}],"mendeley":{"formattedCitation":"(Hellemans et al., 2022)","plainTextFormattedCitation":"(Hellemans et al., 2022)","previouslyFormattedCitation":"(Hellemans et al., 2022)"},"properties":{"noteIndex":0},"schema":"https://github.com/citation-style-language/schema/raw/master/csl-citation.json"}</w:instrText>
      </w:r>
      <w:r w:rsidRPr="005C7FF0">
        <w:fldChar w:fldCharType="separate"/>
      </w:r>
      <w:r w:rsidRPr="005C7FF0">
        <w:rPr>
          <w:noProof/>
        </w:rPr>
        <w:t>(Hellemans et al., 2022)</w:t>
      </w:r>
      <w:r w:rsidRPr="005C7FF0">
        <w:fldChar w:fldCharType="end"/>
      </w:r>
      <w:r w:rsidRPr="005C7FF0">
        <w:t xml:space="preserve">. We designed a preliminary bait set for a total of 116,064 loci shared between the base genome and up to four taxa. We removed UCEs with ambiguous base calls and GC-content above 70% or below 30%, as well as duplicates. The final set comprises a total of </w:t>
      </w:r>
      <w:r w:rsidR="0094324D" w:rsidRPr="0094324D">
        <w:t>319,243</w:t>
      </w:r>
      <w:r w:rsidRPr="005C7FF0">
        <w:t xml:space="preserve"> baits targeting </w:t>
      </w:r>
      <w:r w:rsidR="0094324D" w:rsidRPr="0094324D">
        <w:t xml:space="preserve">30,059 </w:t>
      </w:r>
      <w:r w:rsidRPr="005C7FF0">
        <w:t>UCE loci.</w:t>
      </w:r>
    </w:p>
    <w:p w14:paraId="78E00470" w14:textId="69984364" w:rsidR="005F7594" w:rsidRPr="005C7FF0" w:rsidRDefault="005F7594" w:rsidP="002C391C">
      <w:pPr>
        <w:spacing w:line="480" w:lineRule="auto"/>
        <w:ind w:firstLine="720"/>
        <w:rPr>
          <w:lang w:val="en-US"/>
        </w:rPr>
      </w:pPr>
      <w:r w:rsidRPr="005C7FF0">
        <w:t xml:space="preserve">We extracted UCEs from a total of 61 samples, including 57 from </w:t>
      </w:r>
      <w:proofErr w:type="spellStart"/>
      <w:r w:rsidRPr="005C7FF0">
        <w:t>Blattodea</w:t>
      </w:r>
      <w:proofErr w:type="spellEnd"/>
      <w:r w:rsidRPr="005C7FF0">
        <w:t xml:space="preserve">, one </w:t>
      </w:r>
      <w:r w:rsidR="000A3BCB">
        <w:t xml:space="preserve">from </w:t>
      </w:r>
      <w:proofErr w:type="spellStart"/>
      <w:r w:rsidRPr="005C7FF0">
        <w:t>Mantodea</w:t>
      </w:r>
      <w:proofErr w:type="spellEnd"/>
      <w:r w:rsidR="000A3BCB">
        <w:t>,</w:t>
      </w:r>
      <w:r w:rsidRPr="005C7FF0">
        <w:t xml:space="preserve"> and five </w:t>
      </w:r>
      <w:r w:rsidR="000A3BCB">
        <w:t xml:space="preserve">from </w:t>
      </w:r>
      <w:r w:rsidRPr="005C7FF0">
        <w:t>Phasmatodea (</w:t>
      </w:r>
      <w:r w:rsidR="000A3BCB">
        <w:t>Supplementary Table S</w:t>
      </w:r>
      <w:r w:rsidR="008C7788">
        <w:t>7</w:t>
      </w:r>
      <w:r w:rsidRPr="005C7FF0">
        <w:t xml:space="preserve">). For each sample, reads were trimmed </w:t>
      </w:r>
      <w:r w:rsidRPr="005C7FF0">
        <w:rPr>
          <w:bCs/>
          <w:lang w:val="en-US"/>
        </w:rPr>
        <w:t xml:space="preserve">using </w:t>
      </w:r>
      <w:proofErr w:type="spellStart"/>
      <w:r w:rsidRPr="005C7FF0">
        <w:rPr>
          <w:bCs/>
          <w:lang w:val="en-US"/>
        </w:rPr>
        <w:t>fastp</w:t>
      </w:r>
      <w:proofErr w:type="spellEnd"/>
      <w:r w:rsidRPr="005C7FF0">
        <w:rPr>
          <w:bCs/>
          <w:lang w:val="en-US"/>
        </w:rPr>
        <w:t xml:space="preserve"> </w:t>
      </w:r>
      <w:r w:rsidRPr="005C7FF0">
        <w:rPr>
          <w:bCs/>
          <w:i/>
          <w:iCs/>
          <w:lang w:val="en-US"/>
        </w:rPr>
        <w:t>v</w:t>
      </w:r>
      <w:r w:rsidRPr="005C7FF0">
        <w:rPr>
          <w:bCs/>
          <w:lang w:val="en-US"/>
        </w:rPr>
        <w:t xml:space="preserve">0.20.1 </w:t>
      </w:r>
      <w:r w:rsidRPr="005C7FF0">
        <w:rPr>
          <w:bCs/>
          <w:lang w:val="en-US"/>
        </w:rPr>
        <w:fldChar w:fldCharType="begin" w:fldLock="1"/>
      </w:r>
      <w:r w:rsidR="007B073F" w:rsidRPr="005C7FF0">
        <w:rPr>
          <w:bCs/>
          <w:lang w:val="en-US"/>
        </w:rPr>
        <w:instrText>ADDIN CSL_CITATION {"citationItems":[{"id":"ITEM-1","itemData":{"DOI":"10.1093/bioinformatics/bty560","ISSN":"14602059","abstract":"Motivation Quality control and preprocessing of FASTQ files are essential to providing clean data for downstream analysis. Traditionally, a different tool is used for each operation, such as quality control, adapter trimming and quality filtering. These tools are often insufficiently fast as most are developed using high-level programming languages (e.g. Python and Java) and provide limited multi-threading support. Reading and loading data multiple times also renders preprocessing slow and I/O inefficient. Results We developed fastp as an ultra-fast FASTQ preprocessor with useful quality control and data-filtering features. It can perform quality control, adapter trimming, quality filtering, per-read quality pruning and many other operations with a single scan of the FASTQ data. This tool is developed in C++ and has multi-threading support. Based on our evaluation, fastp is 2-5 times faster than other FASTQ preprocessing tools such as Trimmomatic or Cutadapt despite performing far more operations than similar tools. Availability and implementation The open-source code and corresponding instructions are available at https://github.com/OpenGene/fastp.","author":[{"dropping-particle":"","family":"Chen","given":"Shifu","non-dropping-particle":"","parse-names":false,"suffix":""},{"dropping-particle":"","family":"Zhou","given":"Yanqing","non-dropping-particle":"","parse-names":false,"suffix":""},{"dropping-particle":"","family":"Chen","given":"Yaru","non-dropping-particle":"","parse-names":false,"suffix":""},{"dropping-particle":"","family":"Gu","given":"Jia","non-dropping-particle":"","parse-names":false,"suffix":""}],"container-title":"Bioinformatics","id":"ITEM-1","issue":"17","issued":{"date-parts":[["2018"]]},"page":"i884-i890","title":"Fastp: an ultra-fast all-in-one FASTQ preprocessor","type":"article-journal","volume":"34"},"uris":["http://www.mendeley.com/documents/?uuid=4d3ce96b-8a83-4b79-bf35-37e8bbee4a2c","http://www.mendeley.com/documents/?uuid=aa72e29e-7601-4253-a466-617e9436b5b3"]}],"mendeley":{"formattedCitation":"(Chen, Zhou, Chen, &amp; Gu, 2018)","manualFormatting":"(Chen et al. 2018)","plainTextFormattedCitation":"(Chen, Zhou, Chen, &amp; Gu, 2018)","previouslyFormattedCitation":"(Chen, Zhou, Chen, &amp; Gu, 2018)"},"properties":{"noteIndex":0},"schema":"https://github.com/citation-style-language/schema/raw/master/csl-citation.json"}</w:instrText>
      </w:r>
      <w:r w:rsidRPr="005C7FF0">
        <w:rPr>
          <w:bCs/>
          <w:lang w:val="en-US"/>
        </w:rPr>
        <w:fldChar w:fldCharType="separate"/>
      </w:r>
      <w:r w:rsidRPr="005C7FF0">
        <w:rPr>
          <w:bCs/>
          <w:noProof/>
          <w:lang w:val="en-US"/>
        </w:rPr>
        <w:t>(Chen</w:t>
      </w:r>
      <w:r w:rsidR="007B073F" w:rsidRPr="005C7FF0">
        <w:rPr>
          <w:bCs/>
          <w:noProof/>
          <w:lang w:val="en-US"/>
        </w:rPr>
        <w:t xml:space="preserve"> et al. </w:t>
      </w:r>
      <w:r w:rsidRPr="005C7FF0">
        <w:rPr>
          <w:bCs/>
          <w:noProof/>
          <w:lang w:val="en-US"/>
        </w:rPr>
        <w:t>2018)</w:t>
      </w:r>
      <w:r w:rsidRPr="005C7FF0">
        <w:rPr>
          <w:bCs/>
          <w:lang w:val="en-US"/>
        </w:rPr>
        <w:fldChar w:fldCharType="end"/>
      </w:r>
      <w:r w:rsidRPr="005C7FF0">
        <w:rPr>
          <w:bCs/>
          <w:lang w:val="en-US"/>
        </w:rPr>
        <w:t xml:space="preserve">, assembled with </w:t>
      </w:r>
      <w:proofErr w:type="spellStart"/>
      <w:r w:rsidRPr="005C7FF0">
        <w:rPr>
          <w:lang w:val="en-US"/>
        </w:rPr>
        <w:t>metaSPAdes</w:t>
      </w:r>
      <w:proofErr w:type="spellEnd"/>
      <w:r w:rsidRPr="005C7FF0">
        <w:rPr>
          <w:lang w:val="en-US"/>
        </w:rPr>
        <w:t xml:space="preserve"> </w:t>
      </w:r>
      <w:r w:rsidRPr="005C7FF0">
        <w:rPr>
          <w:i/>
          <w:iCs/>
          <w:lang w:val="en-US"/>
        </w:rPr>
        <w:t>v</w:t>
      </w:r>
      <w:r w:rsidRPr="005C7FF0">
        <w:rPr>
          <w:lang w:val="en-US"/>
        </w:rPr>
        <w:t xml:space="preserve">3.13 </w:t>
      </w:r>
      <w:r w:rsidRPr="005C7FF0">
        <w:rPr>
          <w:lang w:val="en-US"/>
        </w:rPr>
        <w:fldChar w:fldCharType="begin" w:fldLock="1"/>
      </w:r>
      <w:r w:rsidRPr="005C7FF0">
        <w:rPr>
          <w:lang w:val="en-US"/>
        </w:rPr>
        <w:instrText>ADDIN CSL_CITATION {"citationItems":[{"id":"ITEM-1","itemData":{"DOI":"10.1101/gr.213959.116","ISSN":"15495469","PMID":"28298430","abstract":"While metagenomics has emerged as a technology of choice for analyzing bacterial populations, the assembly of metagenomic data remains challenging, thus stifling biological discoveries. Moreover, recent studies revealed that complex bacterial populations may be composed from dozens of related strains, thus further amplifying the challenge of metagenomic assembly. metaSPAdes addresses various challenges of metagenomic assembly by capitalizing on computational ideas that proved to be useful in assemblies of single cells and highly polymorphic diploid genomes. We benchmark metaSPAdes against other state-of-the-art metagenome assemblers and demonstrate that it results in high-quality assemblies across diverse data sets.","author":[{"dropping-particle":"","family":"Nurk","given":"Sergey","non-dropping-particle":"","parse-names":false,"suffix":""},{"dropping-particle":"","family":"Meleshko","given":"Dmitry","non-dropping-particle":"","parse-names":false,"suffix":""},{"dropping-particle":"","family":"Korobeynikov","given":"Anton","non-dropping-particle":"","parse-names":false,"suffix":""},{"dropping-particle":"","family":"Pevzner","given":"Pavel A.","non-dropping-particle":"","parse-names":false,"suffix":""}],"container-title":"Genome Research","id":"ITEM-1","issue":"5","issued":{"date-parts":[["2017"]]},"page":"824-834","title":"metaSPAdes: a new versatile metagenomic assembler","type":"article-journal","volume":"27"},"uris":["http://www.mendeley.com/documents/?uuid=3404c8c9-25fa-4950-a27a-b9280a0a4cd1","http://www.mendeley.com/documents/?uuid=8495f062-b3e8-4722-a8d6-0a3bb03907e5"]}],"mendeley":{"formattedCitation":"(Nurk, Meleshko, Korobeynikov, &amp; Pevzner, 2017)","plainTextFormattedCitation":"(Nurk, Meleshko, Korobeynikov, &amp; Pevzner, 2017)","previouslyFormattedCitation":"(Nurk, Meleshko, Korobeynikov, &amp; Pevzner, 2017)"},"properties":{"noteIndex":0},"schema":"https://github.com/citation-style-language/schema/raw/master/csl-citation.json"}</w:instrText>
      </w:r>
      <w:r w:rsidRPr="005C7FF0">
        <w:rPr>
          <w:lang w:val="en-US"/>
        </w:rPr>
        <w:fldChar w:fldCharType="separate"/>
      </w:r>
      <w:r w:rsidRPr="005C7FF0">
        <w:rPr>
          <w:noProof/>
          <w:lang w:val="en-US"/>
        </w:rPr>
        <w:t>(Nurk, Meleshko, Korobeynikov, &amp; Pevzner, 2017)</w:t>
      </w:r>
      <w:r w:rsidRPr="005C7FF0">
        <w:rPr>
          <w:lang w:val="en-US"/>
        </w:rPr>
        <w:fldChar w:fldCharType="end"/>
      </w:r>
      <w:r w:rsidRPr="005C7FF0">
        <w:rPr>
          <w:lang w:val="en-US"/>
        </w:rPr>
        <w:t xml:space="preserve">, and UCEs extracted using the PHYLUCE suite. Generated baits were aligned to assemblies at a minimum similarity threshold of 50% with </w:t>
      </w:r>
      <w:proofErr w:type="spellStart"/>
      <w:r w:rsidRPr="005C7FF0">
        <w:rPr>
          <w:lang w:val="en-US"/>
        </w:rPr>
        <w:t>phyluce_probe_run_multiple_lastzs_sqlite</w:t>
      </w:r>
      <w:proofErr w:type="spellEnd"/>
      <w:r w:rsidRPr="005C7FF0">
        <w:rPr>
          <w:lang w:val="en-US"/>
        </w:rPr>
        <w:t xml:space="preserve">, and sequences with the flanking 200 bp situated at both the 5’ and 3’ ends were extracted using </w:t>
      </w:r>
      <w:proofErr w:type="spellStart"/>
      <w:r w:rsidRPr="005C7FF0">
        <w:rPr>
          <w:lang w:val="en-US"/>
        </w:rPr>
        <w:t>phyluce_probe_slice_sequence_from_genomes</w:t>
      </w:r>
      <w:proofErr w:type="spellEnd"/>
      <w:r w:rsidRPr="005C7FF0">
        <w:rPr>
          <w:lang w:val="en-US"/>
        </w:rPr>
        <w:t xml:space="preserve">. Extracted sequences were filtered for duplicates and sequences matching multiple UCE loci using minimum identity threshold of 80% over 67% of bait length using </w:t>
      </w:r>
      <w:proofErr w:type="spellStart"/>
      <w:r w:rsidRPr="005C7FF0">
        <w:rPr>
          <w:lang w:val="en-US"/>
        </w:rPr>
        <w:t>phyluce_assembly_match_contigs_to_probes</w:t>
      </w:r>
      <w:proofErr w:type="spellEnd"/>
      <w:r w:rsidRPr="005C7FF0">
        <w:rPr>
          <w:lang w:val="en-US"/>
        </w:rPr>
        <w:t xml:space="preserve">. Extracted loci were aligned </w:t>
      </w:r>
      <w:r w:rsidR="003D4590">
        <w:rPr>
          <w:lang w:val="en-US"/>
        </w:rPr>
        <w:t xml:space="preserve">using </w:t>
      </w:r>
      <w:r w:rsidRPr="005C7FF0">
        <w:rPr>
          <w:lang w:val="en-US"/>
        </w:rPr>
        <w:t xml:space="preserve">MAFFT  and internal trimming was performed under default parameters with </w:t>
      </w:r>
      <w:proofErr w:type="spellStart"/>
      <w:r w:rsidRPr="005C7FF0">
        <w:rPr>
          <w:lang w:val="en-US"/>
        </w:rPr>
        <w:t>Gblocks</w:t>
      </w:r>
      <w:proofErr w:type="spellEnd"/>
      <w:r w:rsidRPr="005C7FF0">
        <w:rPr>
          <w:lang w:val="en-US"/>
        </w:rPr>
        <w:t xml:space="preserve"> </w:t>
      </w:r>
      <w:r w:rsidRPr="005C7FF0">
        <w:rPr>
          <w:lang w:val="en-US"/>
        </w:rPr>
        <w:fldChar w:fldCharType="begin" w:fldLock="1"/>
      </w:r>
      <w:r w:rsidRPr="005C7FF0">
        <w:rPr>
          <w:lang w:val="en-US"/>
        </w:rPr>
        <w:instrText>ADDIN CSL_CITATION {"citationItems":[{"id":"ITEM-1","itemData":{"DOI":"10.1080/10635150701472164","ISSN":"10635157","PMID":"17654362","abstract":"Alignment quality may have as much impact on phylogenetic reconstruction as the phylogenetic methods used. Not only the alignment algorithm, but also the method used to deal with the most problematic alignment regions, may have a critical effect on the final tree. Although some authors remove such problematic regions, either manually or using automatic methods, in order to improve phylogenetic performance, others prefer to keep such regions to avoid losing any information. Our aim in the present work was to examine whether phylogenetic reconstruction improves after alignment cleaning or not. Using simulated protein alignments with gaps, we tested the relative performance in diverse phylogenetic analyses of the whole alignments versus the alignments with problematic regions removed with our previously developed Gblocks program. We also tested the performance of more or less stringent conditions in the selection of blocks. Alignments constructed with different alignment methods (ClustalW, Mafft, and Probcons) were used to estimate phylogenetic trees by maximum likelihood, neighbor joining, and parsimony. We show that, in most alignment conditions, and for alignments that are not too short, removal of blocks leads to better trees. That is, despite losing some information, there is an increase in the actual phylogenetic signal. Overall, the best trees are obtained by maximum-likelihood reconstruction of alignments cleaned by Gblocks. In general, a relaxed selection of blocks is better for short alignment, whereas a stringent selection is more adequate for longer ones. Finally, we show that cleaned alignments produce better topologies although, paradoxically, with lower bootstrap. This indicates that divergent and problematic alignment regions may lead, when present, to apparently better supported although, in fact, more biased topologies.","author":[{"dropping-particle":"","family":"Talavera","given":"Gerard","non-dropping-particle":"","parse-names":false,"suffix":""},{"dropping-particle":"","family":"Castresana","given":"Jose","non-dropping-particle":"","parse-names":false,"suffix":""}],"container-title":"Systematic Biology","id":"ITEM-1","issue":"4","issued":{"date-parts":[["2007"]]},"page":"564-577","title":"Improvement of phylogenies after removing divergent and ambiguously aligned blocks from protein sequence alignments","type":"article-journal","volume":"56"},"uris":["http://www.mendeley.com/documents/?uuid=993d1c55-d524-492b-b9e0-59c4b698cbce","http://www.mendeley.com/documents/?uuid=a1b89fd2-325a-4aa6-8934-5375dd08014b"]},{"id":"ITEM-2","itemData":{"DOI":"10.1093/oxfordjournals.molbev.a026334","ISSN":"07374038","PMID":"10742046","abstract":"The use of some multiple-sequence alignments in phylogenetic analysis, particularly those that are not very well conserved, requires the elimination of poorly aligned positions and divergent regions, since they may not be homologous or may have been saturated by multiple substitutions. A computerized method that eliminates such positions and at the same time tries to minimize the loss of informative sites is presented here. The method is based on the selection of blocks of positions that fulfill a simple set of requirements with respect to the number of contiguous conserved positions lack of gaps, and high conservation of flanking positions, making the final alignment more suitable for phylogenetic analysis. To illustrate the efficiency of this method, alignments of 10 mitochondrial proteins from several completely sequenced mitochondrial genomes belonging to diverse eukaryotes were used as examples. The percentages of removed positions were higher in the most divergent alignments. After removing divergent segments, the amino acid composition of the different sequences was more uniform, and pairwise distances became much smaller. Phylogenetic trees show that topologies can be different after removing conserved blocks, particularly when there are several poorly resolved nodes Strong support was found for the grouping of animals and fungi but not for the position of more basal eukaryotes. The use of a computerized method such as the one presented here reduces to a certain extent the necessity of manually editing multiple alignments, makes the automation of phylogenetic analysis of large data sets feasible, and facilitates the reproduction of the final alignment by other researchers.","author":[{"dropping-particle":"","family":"Castresana","given":"Jose","non-dropping-particle":"","parse-names":false,"suffix":""}],"container-title":"Molecular Biology and Evolution","id":"ITEM-2","issue":"4","issued":{"date-parts":[["2000"]]},"page":"540-552","title":"Selection of conserved blocks from multiple alignments for their use in phylogenetic analysis","type":"article-journal","volume":"17"},"uris":["http://www.mendeley.com/documents/?uuid=d259be75-dadb-4533-aca0-238a502188cb","http://www.mendeley.com/documents/?uuid=997cda35-7f2a-406a-8a49-83f145677b3b"]}],"mendeley":{"formattedCitation":"(Castresana, 2000; Talavera &amp; Castresana, 2007)","plainTextFormattedCitation":"(Castresana, 2000; Talavera &amp; Castresana, 2007)","previouslyFormattedCitation":"(Castresana, 2000; Talavera &amp; Castresana, 2007)"},"properties":{"noteIndex":0},"schema":"https://github.com/citation-style-language/schema/raw/master/csl-citation.json"}</w:instrText>
      </w:r>
      <w:r w:rsidRPr="005C7FF0">
        <w:rPr>
          <w:lang w:val="en-US"/>
        </w:rPr>
        <w:fldChar w:fldCharType="separate"/>
      </w:r>
      <w:r w:rsidRPr="005C7FF0">
        <w:rPr>
          <w:noProof/>
          <w:lang w:val="en-US"/>
        </w:rPr>
        <w:t>(Castresana, 2000; Talavera &amp; Castresana, 2007)</w:t>
      </w:r>
      <w:r w:rsidRPr="005C7FF0">
        <w:rPr>
          <w:lang w:val="en-US"/>
        </w:rPr>
        <w:fldChar w:fldCharType="end"/>
      </w:r>
      <w:r w:rsidRPr="005C7FF0">
        <w:rPr>
          <w:lang w:val="en-US"/>
        </w:rPr>
        <w:t>. Loci absent in more than 60% of taxa were filtered out. The baits and UCEs produced in the study are available from the Dryad Digital Repository:</w:t>
      </w:r>
      <w:r w:rsidR="00B44066" w:rsidRPr="00B44066">
        <w:t xml:space="preserve"> </w:t>
      </w:r>
      <w:hyperlink r:id="rId9" w:history="1">
        <w:r w:rsidR="00566DB4" w:rsidRPr="00A629FD">
          <w:rPr>
            <w:rStyle w:val="Hyperlink"/>
            <w:lang w:val="en-US"/>
          </w:rPr>
          <w:t>https://doi.org/10.5061/dryad.fxpnvx0wx</w:t>
        </w:r>
      </w:hyperlink>
      <w:r w:rsidR="00566DB4">
        <w:rPr>
          <w:lang w:val="en-US"/>
        </w:rPr>
        <w:t xml:space="preserve"> </w:t>
      </w:r>
      <w:r w:rsidRPr="005C7FF0">
        <w:rPr>
          <w:lang w:val="en-US"/>
        </w:rPr>
        <w:t xml:space="preserve">. UCE data obtained from this bait set will be centralized at the Cockroach UCE Database, available at: </w:t>
      </w:r>
      <w:hyperlink r:id="rId10" w:history="1">
        <w:r w:rsidRPr="005C7FF0">
          <w:rPr>
            <w:rStyle w:val="Hyperlink"/>
            <w:lang w:val="en-US"/>
          </w:rPr>
          <w:t>https://github.com/sihellem/ROA-UCE-DB</w:t>
        </w:r>
      </w:hyperlink>
      <w:r w:rsidRPr="005C7FF0">
        <w:rPr>
          <w:lang w:val="en-US"/>
        </w:rPr>
        <w:t>.</w:t>
      </w:r>
    </w:p>
    <w:p w14:paraId="45172DFB" w14:textId="77777777" w:rsidR="005F7594" w:rsidRPr="005C7FF0" w:rsidRDefault="005F7594" w:rsidP="002C391C">
      <w:pPr>
        <w:spacing w:line="480" w:lineRule="auto"/>
      </w:pPr>
    </w:p>
    <w:p w14:paraId="254BC23D" w14:textId="3DA906C7" w:rsidR="005F7594" w:rsidRPr="005C7FF0" w:rsidRDefault="005F7594" w:rsidP="002C391C">
      <w:pPr>
        <w:pStyle w:val="Heading3"/>
        <w:spacing w:line="480" w:lineRule="auto"/>
      </w:pPr>
      <w:r w:rsidRPr="005C7FF0">
        <w:t xml:space="preserve">Phylogenetic </w:t>
      </w:r>
      <w:r w:rsidR="00997D63">
        <w:t>A</w:t>
      </w:r>
      <w:r w:rsidRPr="005C7FF0">
        <w:t xml:space="preserve">nalyses of </w:t>
      </w:r>
      <w:r w:rsidRPr="00997D63">
        <w:rPr>
          <w:i w:val="0"/>
          <w:iCs w:val="0"/>
        </w:rPr>
        <w:t>16S</w:t>
      </w:r>
      <w:r w:rsidRPr="005C7FF0">
        <w:t xml:space="preserve"> and </w:t>
      </w:r>
      <w:proofErr w:type="spellStart"/>
      <w:r w:rsidRPr="005C7FF0">
        <w:t>mtPCG</w:t>
      </w:r>
      <w:proofErr w:type="spellEnd"/>
    </w:p>
    <w:p w14:paraId="66675FA5" w14:textId="5B670D6E" w:rsidR="005F7594" w:rsidRPr="005C7FF0" w:rsidRDefault="005F7594" w:rsidP="002C391C">
      <w:pPr>
        <w:spacing w:line="480" w:lineRule="auto"/>
        <w:ind w:firstLine="720"/>
      </w:pPr>
      <w:r w:rsidRPr="005C7FF0">
        <w:t xml:space="preserve">We estimated phylogenetic relationships using each of </w:t>
      </w:r>
      <w:r w:rsidR="00A96D6B" w:rsidRPr="005C7FF0">
        <w:t xml:space="preserve">the </w:t>
      </w:r>
      <w:r w:rsidR="00325886">
        <w:t>mitochondrial</w:t>
      </w:r>
      <w:r w:rsidRPr="005C7FF0">
        <w:t xml:space="preserve"> data sets (</w:t>
      </w:r>
      <w:r w:rsidRPr="005C7FF0">
        <w:rPr>
          <w:i/>
          <w:iCs/>
        </w:rPr>
        <w:t>16S</w:t>
      </w:r>
      <w:r w:rsidRPr="005C7FF0">
        <w:t xml:space="preserve">, </w:t>
      </w:r>
      <w:proofErr w:type="spellStart"/>
      <w:r w:rsidRPr="005C7FF0">
        <w:t>mtPCG</w:t>
      </w:r>
      <w:proofErr w:type="spellEnd"/>
      <w:r w:rsidRPr="005C7FF0">
        <w:t>). Maximum likelihood (ML) analyses were performed using IQ-TREE v2 (</w:t>
      </w:r>
      <w:r w:rsidR="00CB2BDB">
        <w:t>Bui</w:t>
      </w:r>
      <w:r w:rsidR="00CB2BDB" w:rsidRPr="005C7FF0">
        <w:t xml:space="preserve"> </w:t>
      </w:r>
      <w:r w:rsidRPr="005C7FF0">
        <w:lastRenderedPageBreak/>
        <w:t xml:space="preserve">et al. 2020). The </w:t>
      </w:r>
      <w:proofErr w:type="spellStart"/>
      <w:r w:rsidRPr="005C7FF0">
        <w:t>ModelFinder</w:t>
      </w:r>
      <w:proofErr w:type="spellEnd"/>
      <w:r w:rsidRPr="005C7FF0">
        <w:t xml:space="preserve"> option within IQ-TREE v2 was used to select the best-fitting substitution models according to the Bayesian information criterion (</w:t>
      </w:r>
      <w:proofErr w:type="spellStart"/>
      <w:r w:rsidRPr="005C7FF0">
        <w:t>Kalyaanamoorthy</w:t>
      </w:r>
      <w:proofErr w:type="spellEnd"/>
      <w:r w:rsidRPr="005C7FF0">
        <w:t xml:space="preserve"> et al.</w:t>
      </w:r>
      <w:r w:rsidRPr="005C7FF0">
        <w:rPr>
          <w:i/>
          <w:iCs/>
        </w:rPr>
        <w:t xml:space="preserve"> </w:t>
      </w:r>
      <w:r w:rsidRPr="005C7FF0">
        <w:t xml:space="preserve">2017). For all nucleotide data sets, the best-fitting substitution model was </w:t>
      </w:r>
      <w:r w:rsidR="00A6579D">
        <w:t xml:space="preserve">GTR+G+I with </w:t>
      </w:r>
      <w:r w:rsidRPr="005C7FF0">
        <w:t>four rate categories. Node support was assessed using the ultrafast bootstrap (</w:t>
      </w:r>
      <w:proofErr w:type="spellStart"/>
      <w:r w:rsidRPr="005C7FF0">
        <w:t>UFBoot</w:t>
      </w:r>
      <w:proofErr w:type="spellEnd"/>
      <w:r w:rsidRPr="005C7FF0">
        <w:t xml:space="preserve">) approximation and the </w:t>
      </w:r>
      <w:r w:rsidRPr="005C7FF0">
        <w:rPr>
          <w:i/>
          <w:iCs/>
        </w:rPr>
        <w:t>SH-like</w:t>
      </w:r>
      <w:r w:rsidRPr="005C7FF0">
        <w:t xml:space="preserve"> approximate likelihood-ratio test (10,000 replicates in each case) (Hoang et al.</w:t>
      </w:r>
      <w:r w:rsidRPr="005C7FF0">
        <w:rPr>
          <w:i/>
          <w:iCs/>
        </w:rPr>
        <w:t xml:space="preserve"> </w:t>
      </w:r>
      <w:r w:rsidRPr="005C7FF0">
        <w:t>2018</w:t>
      </w:r>
      <w:r w:rsidR="00BE3982" w:rsidRPr="005C7FF0">
        <w:t>;</w:t>
      </w:r>
      <w:r w:rsidRPr="005C7FF0">
        <w:t xml:space="preserve"> Guindon et al.</w:t>
      </w:r>
      <w:r w:rsidRPr="005C7FF0">
        <w:rPr>
          <w:i/>
          <w:iCs/>
        </w:rPr>
        <w:t xml:space="preserve"> </w:t>
      </w:r>
      <w:r w:rsidRPr="005C7FF0">
        <w:t>2010).</w:t>
      </w:r>
    </w:p>
    <w:p w14:paraId="26CD33B4" w14:textId="77777777" w:rsidR="005F7594" w:rsidRPr="005C7FF0" w:rsidRDefault="005F7594" w:rsidP="002C391C">
      <w:pPr>
        <w:spacing w:line="480" w:lineRule="auto"/>
      </w:pPr>
    </w:p>
    <w:p w14:paraId="29455669" w14:textId="1B27D80F" w:rsidR="005F7594" w:rsidRPr="005C7FF0" w:rsidRDefault="005F7594" w:rsidP="002C391C">
      <w:pPr>
        <w:pStyle w:val="Heading3"/>
        <w:spacing w:line="480" w:lineRule="auto"/>
      </w:pPr>
      <w:r w:rsidRPr="005C7FF0">
        <w:t xml:space="preserve">Phylogenetic </w:t>
      </w:r>
      <w:proofErr w:type="spellStart"/>
      <w:r w:rsidR="00D33B6B">
        <w:t>I</w:t>
      </w:r>
      <w:r w:rsidRPr="005C7FF0">
        <w:t>inference</w:t>
      </w:r>
      <w:proofErr w:type="spellEnd"/>
      <w:r w:rsidRPr="005C7FF0">
        <w:t xml:space="preserve"> </w:t>
      </w:r>
      <w:r w:rsidR="00D33B6B">
        <w:t>U</w:t>
      </w:r>
      <w:r w:rsidRPr="005C7FF0">
        <w:t xml:space="preserve">sing </w:t>
      </w:r>
      <w:r w:rsidR="00D33B6B">
        <w:t>C</w:t>
      </w:r>
      <w:r w:rsidRPr="005C7FF0">
        <w:t>oncatenated UCEs</w:t>
      </w:r>
    </w:p>
    <w:p w14:paraId="6410C1B3" w14:textId="2069CD21" w:rsidR="005F7594" w:rsidRPr="005C7FF0" w:rsidRDefault="005F7594" w:rsidP="002C391C">
      <w:pPr>
        <w:spacing w:line="480" w:lineRule="auto"/>
        <w:ind w:firstLine="720"/>
      </w:pPr>
      <w:r w:rsidRPr="005C7FF0">
        <w:t>For our data</w:t>
      </w:r>
      <w:r w:rsidR="005079A0">
        <w:t xml:space="preserve"> </w:t>
      </w:r>
      <w:r w:rsidRPr="005C7FF0">
        <w:t>sets containing UCEs (UCE and UCE+mtPCG+</w:t>
      </w:r>
      <w:r w:rsidRPr="005C7FF0">
        <w:rPr>
          <w:i/>
          <w:iCs/>
        </w:rPr>
        <w:t>16S</w:t>
      </w:r>
      <w:r w:rsidRPr="005C7FF0">
        <w:t xml:space="preserve">), we selected the best-fit partitioning scheme by implementing the greedy algorithm of </w:t>
      </w:r>
      <w:proofErr w:type="spellStart"/>
      <w:r w:rsidRPr="005C7FF0">
        <w:t>PartitionFinder</w:t>
      </w:r>
      <w:proofErr w:type="spellEnd"/>
      <w:r w:rsidRPr="005C7FF0">
        <w:t xml:space="preserve"> to merge individual UCEs</w:t>
      </w:r>
      <w:r w:rsidR="00E131DF">
        <w:t xml:space="preserve"> and mitochondrial genes</w:t>
      </w:r>
      <w:r w:rsidRPr="005C7FF0">
        <w:t xml:space="preserve"> to reduce over-parameteri</w:t>
      </w:r>
      <w:r w:rsidR="00035812">
        <w:t>z</w:t>
      </w:r>
      <w:r w:rsidRPr="005C7FF0">
        <w:t>ation (-m TESTMERGE). We allowed each partition to have a different evolutionary rate (-</w:t>
      </w:r>
      <w:proofErr w:type="spellStart"/>
      <w:r w:rsidRPr="005C7FF0">
        <w:t>spp</w:t>
      </w:r>
      <w:proofErr w:type="spellEnd"/>
      <w:r w:rsidRPr="005C7FF0">
        <w:t xml:space="preserve"> OR -p). This implements a model in which branch lengths are proportionate among subsets of the data, which has been found to result in the highest statistical support </w:t>
      </w:r>
      <w:r w:rsidR="00177538">
        <w:t xml:space="preserve">in many cases </w:t>
      </w:r>
      <w:r w:rsidRPr="005C7FF0">
        <w:t>(</w:t>
      </w:r>
      <w:proofErr w:type="spellStart"/>
      <w:r w:rsidRPr="005C7FF0">
        <w:t>Duch</w:t>
      </w:r>
      <w:r w:rsidR="00BE3982" w:rsidRPr="005C7FF0">
        <w:t>ê</w:t>
      </w:r>
      <w:r w:rsidRPr="005C7FF0">
        <w:t>ne</w:t>
      </w:r>
      <w:proofErr w:type="spellEnd"/>
      <w:r w:rsidRPr="005C7FF0">
        <w:t xml:space="preserve"> et al. 2020). The best</w:t>
      </w:r>
      <w:r w:rsidR="00177538">
        <w:t>-</w:t>
      </w:r>
      <w:r w:rsidRPr="005C7FF0">
        <w:t xml:space="preserve">fitting substitution model was then selected for each partition using </w:t>
      </w:r>
      <w:proofErr w:type="spellStart"/>
      <w:r w:rsidRPr="005C7FF0">
        <w:t>Model</w:t>
      </w:r>
      <w:r w:rsidR="00AC2F54">
        <w:t>F</w:t>
      </w:r>
      <w:r w:rsidRPr="005C7FF0">
        <w:t>inder</w:t>
      </w:r>
      <w:proofErr w:type="spellEnd"/>
      <w:r w:rsidRPr="005C7FF0">
        <w:t xml:space="preserve">. Node support was assessed as per the </w:t>
      </w:r>
      <w:r w:rsidRPr="005C7FF0">
        <w:rPr>
          <w:i/>
          <w:iCs/>
        </w:rPr>
        <w:t>16S</w:t>
      </w:r>
      <w:r w:rsidRPr="005C7FF0">
        <w:t xml:space="preserve"> analysis. </w:t>
      </w:r>
    </w:p>
    <w:p w14:paraId="71E3DBC6" w14:textId="07248439" w:rsidR="005F7594" w:rsidRPr="005C7FF0" w:rsidRDefault="005F7594" w:rsidP="002C391C">
      <w:pPr>
        <w:spacing w:line="480" w:lineRule="auto"/>
        <w:ind w:firstLine="720"/>
      </w:pPr>
      <w:r w:rsidRPr="005C7FF0">
        <w:t xml:space="preserve">We performed Bayesian phylogenetic analyses of our </w:t>
      </w:r>
      <w:proofErr w:type="spellStart"/>
      <w:r w:rsidRPr="005C7FF0">
        <w:t>mtPCG</w:t>
      </w:r>
      <w:proofErr w:type="spellEnd"/>
      <w:r w:rsidRPr="005C7FF0">
        <w:t xml:space="preserve"> and UCE data</w:t>
      </w:r>
      <w:r w:rsidR="00AC2F54">
        <w:t xml:space="preserve"> </w:t>
      </w:r>
      <w:r w:rsidRPr="005C7FF0">
        <w:t>set</w:t>
      </w:r>
      <w:r w:rsidR="00A96D6B" w:rsidRPr="005C7FF0">
        <w:t>s</w:t>
      </w:r>
      <w:r w:rsidRPr="005C7FF0">
        <w:t xml:space="preserve"> using </w:t>
      </w:r>
      <w:proofErr w:type="spellStart"/>
      <w:r w:rsidRPr="005C7FF0">
        <w:t>ExaBayes</w:t>
      </w:r>
      <w:proofErr w:type="spellEnd"/>
      <w:r w:rsidRPr="005C7FF0">
        <w:t xml:space="preserve"> (</w:t>
      </w:r>
      <w:proofErr w:type="spellStart"/>
      <w:r w:rsidRPr="005C7FF0">
        <w:t>Aberer</w:t>
      </w:r>
      <w:proofErr w:type="spellEnd"/>
      <w:r w:rsidRPr="005C7FF0">
        <w:t xml:space="preserve"> et al. 2014). Analyses in </w:t>
      </w:r>
      <w:proofErr w:type="spellStart"/>
      <w:r w:rsidRPr="005C7FF0">
        <w:t>ExaBayes</w:t>
      </w:r>
      <w:proofErr w:type="spellEnd"/>
      <w:r w:rsidRPr="005C7FF0">
        <w:t xml:space="preserve"> using the concatenated UCE+</w:t>
      </w:r>
      <w:r w:rsidRPr="003E7D38">
        <w:t>mtPCG</w:t>
      </w:r>
      <w:r w:rsidRPr="005C7FF0">
        <w:t>+</w:t>
      </w:r>
      <w:r w:rsidRPr="005C7FF0">
        <w:rPr>
          <w:i/>
          <w:iCs/>
        </w:rPr>
        <w:t>16S</w:t>
      </w:r>
      <w:r w:rsidRPr="005C7FF0">
        <w:t xml:space="preserve"> did not converge and are not included in this study. Alignments were not partitioned in Bayesian analyses due to computational limitations. The GTR+G substitution model was used with a uniform prior on tree topology and an exponential prior on branch lengths. We ran Markov chain Monte Carlo simulations for 10</w:t>
      </w:r>
      <w:r w:rsidRPr="005C7FF0">
        <w:rPr>
          <w:vertAlign w:val="superscript"/>
        </w:rPr>
        <w:t>7</w:t>
      </w:r>
      <w:r w:rsidRPr="005C7FF0">
        <w:t xml:space="preserve"> steps, sampling every 5000 steps</w:t>
      </w:r>
      <w:r w:rsidR="001052B0">
        <w:t>,</w:t>
      </w:r>
      <w:r w:rsidRPr="005C7FF0">
        <w:t xml:space="preserve"> </w:t>
      </w:r>
      <w:proofErr w:type="gramStart"/>
      <w:r w:rsidRPr="005C7FF0">
        <w:t>in order to</w:t>
      </w:r>
      <w:proofErr w:type="gramEnd"/>
      <w:r w:rsidRPr="005C7FF0">
        <w:t xml:space="preserve"> estimate the posterior distributions. Convergence between four independent runs and burn-in steps was assessed using the program Tracer v1.7.1 (</w:t>
      </w:r>
      <w:proofErr w:type="spellStart"/>
      <w:r w:rsidRPr="005C7FF0">
        <w:t>Rambaut</w:t>
      </w:r>
      <w:proofErr w:type="spellEnd"/>
      <w:r w:rsidRPr="005C7FF0">
        <w:t xml:space="preserve"> et al. 2018)</w:t>
      </w:r>
      <w:r w:rsidR="00A96D6B" w:rsidRPr="005C7FF0">
        <w:t xml:space="preserve">. </w:t>
      </w:r>
      <w:r w:rsidR="00A96D6B" w:rsidRPr="005C7FF0">
        <w:lastRenderedPageBreak/>
        <w:t>One</w:t>
      </w:r>
      <w:r w:rsidRPr="005C7FF0">
        <w:t xml:space="preserve"> run was selected </w:t>
      </w:r>
      <w:r w:rsidR="00C77065" w:rsidRPr="005C7FF0">
        <w:t>randomly,</w:t>
      </w:r>
      <w:r w:rsidRPr="005C7FF0">
        <w:t xml:space="preserve"> and the maximum-clade-credibility tree was calculated in </w:t>
      </w:r>
      <w:proofErr w:type="spellStart"/>
      <w:r w:rsidRPr="005C7FF0">
        <w:t>TreeAnnotator</w:t>
      </w:r>
      <w:proofErr w:type="spellEnd"/>
      <w:r w:rsidRPr="005C7FF0">
        <w:t xml:space="preserve"> v2.6.6 </w:t>
      </w:r>
      <w:r w:rsidR="008E46CD" w:rsidRPr="005C7FF0">
        <w:t>(</w:t>
      </w:r>
      <w:proofErr w:type="spellStart"/>
      <w:r w:rsidR="008E46CD" w:rsidRPr="005C7FF0">
        <w:t>Bouckaert</w:t>
      </w:r>
      <w:proofErr w:type="spellEnd"/>
      <w:r w:rsidR="008E46CD" w:rsidRPr="005C7FF0">
        <w:t xml:space="preserve"> et al. 2019)</w:t>
      </w:r>
      <w:r w:rsidRPr="005C7FF0">
        <w:t xml:space="preserve">. </w:t>
      </w:r>
    </w:p>
    <w:p w14:paraId="4D731C69" w14:textId="77777777" w:rsidR="005F7594" w:rsidRPr="005C7FF0" w:rsidRDefault="005F7594" w:rsidP="002C391C">
      <w:pPr>
        <w:spacing w:line="480" w:lineRule="auto"/>
      </w:pPr>
    </w:p>
    <w:p w14:paraId="5415CE1F" w14:textId="56819A2C" w:rsidR="005F7594" w:rsidRPr="005C7FF0" w:rsidRDefault="005F7594" w:rsidP="002C391C">
      <w:pPr>
        <w:pStyle w:val="Heading3"/>
        <w:spacing w:line="480" w:lineRule="auto"/>
      </w:pPr>
      <w:r w:rsidRPr="005C7FF0">
        <w:t xml:space="preserve">Phylogenomic </w:t>
      </w:r>
      <w:r w:rsidR="00656478">
        <w:t>A</w:t>
      </w:r>
      <w:r w:rsidRPr="005C7FF0">
        <w:t xml:space="preserve">nalysis using the </w:t>
      </w:r>
      <w:r w:rsidR="00656478">
        <w:t>S</w:t>
      </w:r>
      <w:r w:rsidRPr="005C7FF0">
        <w:t>ummary</w:t>
      </w:r>
      <w:r w:rsidR="00656478">
        <w:t>-C</w:t>
      </w:r>
      <w:r w:rsidRPr="005C7FF0">
        <w:t xml:space="preserve">oalescent </w:t>
      </w:r>
      <w:r w:rsidR="00656478">
        <w:t>M</w:t>
      </w:r>
      <w:r w:rsidRPr="005C7FF0">
        <w:t>ethod</w:t>
      </w:r>
    </w:p>
    <w:p w14:paraId="63915D44" w14:textId="6CC36F75" w:rsidR="005F7594" w:rsidRPr="005C7FF0" w:rsidRDefault="005F7594" w:rsidP="002C391C">
      <w:pPr>
        <w:spacing w:line="480" w:lineRule="auto"/>
      </w:pPr>
      <w:r w:rsidRPr="005C7FF0">
        <w:t xml:space="preserve">To account for gene-tree incongruence amongst UCE loci, we analysed the UCE data using the summary-coalescent method in ASTRAL-III (Zhang et al. 2018). This assumes that UCE </w:t>
      </w:r>
      <w:r w:rsidR="00467CD8">
        <w:t xml:space="preserve">loci are </w:t>
      </w:r>
      <w:r w:rsidRPr="005C7FF0">
        <w:t xml:space="preserve">unlinked and </w:t>
      </w:r>
      <w:r w:rsidR="00A304EC">
        <w:t xml:space="preserve">that </w:t>
      </w:r>
      <w:r w:rsidRPr="005C7FF0">
        <w:t xml:space="preserve">the individual gene trees are embedded in the underlying species tree. </w:t>
      </w:r>
      <w:r w:rsidR="00210F07">
        <w:t xml:space="preserve">The </w:t>
      </w:r>
      <w:r w:rsidRPr="005C7FF0">
        <w:t>gene tree for each UCE loc</w:t>
      </w:r>
      <w:r w:rsidR="00210F07">
        <w:t>us was</w:t>
      </w:r>
      <w:r w:rsidRPr="005C7FF0">
        <w:t xml:space="preserve"> estimated using </w:t>
      </w:r>
      <w:r w:rsidR="00A96D6B" w:rsidRPr="005C7FF0">
        <w:t>IQ-TREE v2</w:t>
      </w:r>
      <w:r w:rsidRPr="005C7FF0">
        <w:t xml:space="preserve"> </w:t>
      </w:r>
      <w:r w:rsidR="007509FF" w:rsidRPr="005C7FF0">
        <w:t>(</w:t>
      </w:r>
      <w:r w:rsidR="007509FF">
        <w:t>Bui</w:t>
      </w:r>
      <w:r w:rsidR="007509FF" w:rsidRPr="005C7FF0">
        <w:t xml:space="preserve"> et al. 2020)</w:t>
      </w:r>
      <w:r w:rsidR="007509FF">
        <w:t xml:space="preserve"> </w:t>
      </w:r>
      <w:r w:rsidRPr="005C7FF0">
        <w:t xml:space="preserve">with substitution models selected using </w:t>
      </w:r>
      <w:proofErr w:type="spellStart"/>
      <w:r w:rsidRPr="005C7FF0">
        <w:t>ModelFinder</w:t>
      </w:r>
      <w:proofErr w:type="spellEnd"/>
      <w:r w:rsidRPr="005C7FF0">
        <w:t xml:space="preserve"> </w:t>
      </w:r>
      <w:r w:rsidR="007550EA" w:rsidRPr="005C7FF0">
        <w:t>(</w:t>
      </w:r>
      <w:proofErr w:type="spellStart"/>
      <w:r w:rsidR="007550EA" w:rsidRPr="005C7FF0">
        <w:t>Kalyaanamoorthy</w:t>
      </w:r>
      <w:proofErr w:type="spellEnd"/>
      <w:r w:rsidR="007550EA" w:rsidRPr="005C7FF0">
        <w:t xml:space="preserve"> et al.</w:t>
      </w:r>
      <w:r w:rsidR="007550EA" w:rsidRPr="005C7FF0">
        <w:rPr>
          <w:i/>
          <w:iCs/>
        </w:rPr>
        <w:t xml:space="preserve"> </w:t>
      </w:r>
      <w:r w:rsidR="007550EA" w:rsidRPr="005C7FF0">
        <w:t>2017)</w:t>
      </w:r>
      <w:r w:rsidR="007550EA">
        <w:t xml:space="preserve"> </w:t>
      </w:r>
      <w:r w:rsidRPr="005C7FF0">
        <w:t xml:space="preserve">and branch support assessed using </w:t>
      </w:r>
      <w:proofErr w:type="spellStart"/>
      <w:r w:rsidRPr="005C7FF0">
        <w:t>UFBoot</w:t>
      </w:r>
      <w:proofErr w:type="spellEnd"/>
      <w:r w:rsidR="009A2E0B">
        <w:t xml:space="preserve"> (</w:t>
      </w:r>
      <w:r w:rsidR="009A2E0B" w:rsidRPr="005C7FF0">
        <w:t>Hoang et al.</w:t>
      </w:r>
      <w:r w:rsidR="009A2E0B" w:rsidRPr="005C7FF0">
        <w:rPr>
          <w:i/>
          <w:iCs/>
        </w:rPr>
        <w:t xml:space="preserve"> </w:t>
      </w:r>
      <w:r w:rsidR="009A2E0B" w:rsidRPr="005C7FF0">
        <w:t>2018</w:t>
      </w:r>
      <w:r w:rsidR="009A2E0B">
        <w:t>)</w:t>
      </w:r>
      <w:r w:rsidRPr="005C7FF0">
        <w:t xml:space="preserve">. We repeated this analysis after contracting branches with less than 10% bootstrap support using </w:t>
      </w:r>
      <w:proofErr w:type="spellStart"/>
      <w:r w:rsidRPr="005C7FF0">
        <w:t>Newick</w:t>
      </w:r>
      <w:proofErr w:type="spellEnd"/>
      <w:r w:rsidRPr="005C7FF0">
        <w:t xml:space="preserve"> Utilities (</w:t>
      </w:r>
      <w:proofErr w:type="spellStart"/>
      <w:r w:rsidRPr="005C7FF0">
        <w:t>Junier</w:t>
      </w:r>
      <w:proofErr w:type="spellEnd"/>
      <w:r w:rsidRPr="005C7FF0">
        <w:t xml:space="preserve"> and </w:t>
      </w:r>
      <w:proofErr w:type="spellStart"/>
      <w:r w:rsidRPr="005C7FF0">
        <w:t>Zdobnov</w:t>
      </w:r>
      <w:proofErr w:type="spellEnd"/>
      <w:r w:rsidRPr="005C7FF0">
        <w:t xml:space="preserve"> 2010) which can improve inference of the species tree (Zhang et al. 2017). The inferred topologies were the same across both analyses (</w:t>
      </w:r>
      <w:r w:rsidR="00D108E9">
        <w:t>Supplementary Fi</w:t>
      </w:r>
      <w:r w:rsidR="007C3AF5">
        <w:t>g.</w:t>
      </w:r>
      <w:r w:rsidR="00D108E9">
        <w:t xml:space="preserve"> </w:t>
      </w:r>
      <w:r w:rsidRPr="005C7FF0">
        <w:t>S</w:t>
      </w:r>
      <w:r w:rsidR="005C07A1" w:rsidRPr="005C7FF0">
        <w:t>7</w:t>
      </w:r>
      <w:r w:rsidRPr="005C7FF0">
        <w:t>). Without contracting branches, the inferred tree had a final normalized quartet score of 0.810, and this was only slightly increased after contracting branches, inferring a tree with a final normali</w:t>
      </w:r>
      <w:r w:rsidR="00B26180">
        <w:t>z</w:t>
      </w:r>
      <w:r w:rsidRPr="005C7FF0">
        <w:t xml:space="preserve">ed quartet score of 0.813. </w:t>
      </w:r>
    </w:p>
    <w:p w14:paraId="5AB3EA05" w14:textId="77777777" w:rsidR="005F7594" w:rsidRPr="005C7FF0" w:rsidRDefault="005F7594" w:rsidP="002C391C">
      <w:pPr>
        <w:spacing w:line="480" w:lineRule="auto"/>
      </w:pPr>
    </w:p>
    <w:p w14:paraId="4325A65F" w14:textId="30AA0D47" w:rsidR="005F7594" w:rsidRPr="005C7FF0" w:rsidRDefault="005F7594" w:rsidP="002C391C">
      <w:pPr>
        <w:pStyle w:val="Heading3"/>
        <w:spacing w:line="480" w:lineRule="auto"/>
      </w:pPr>
      <w:r w:rsidRPr="005C7FF0">
        <w:t xml:space="preserve">Estimating </w:t>
      </w:r>
      <w:r w:rsidR="00B26180">
        <w:t>E</w:t>
      </w:r>
      <w:r w:rsidRPr="005C7FF0">
        <w:t xml:space="preserve">volutionary </w:t>
      </w:r>
      <w:r w:rsidR="00B26180">
        <w:t>T</w:t>
      </w:r>
      <w:r w:rsidRPr="005C7FF0">
        <w:t>imescales using BEAST</w:t>
      </w:r>
    </w:p>
    <w:p w14:paraId="166C5B36" w14:textId="10776EEA" w:rsidR="005F7594" w:rsidRPr="005C7FF0" w:rsidRDefault="005F7594" w:rsidP="002C391C">
      <w:pPr>
        <w:spacing w:line="480" w:lineRule="auto"/>
        <w:ind w:firstLine="720"/>
      </w:pPr>
      <w:r w:rsidRPr="005C7FF0">
        <w:t xml:space="preserve">Evolutionary timescales were estimated for the </w:t>
      </w:r>
      <w:proofErr w:type="spellStart"/>
      <w:r w:rsidRPr="005C7FF0">
        <w:t>mtPCG</w:t>
      </w:r>
      <w:proofErr w:type="spellEnd"/>
      <w:r w:rsidRPr="005C7FF0">
        <w:t xml:space="preserve"> data sets using </w:t>
      </w:r>
      <w:r w:rsidR="00AC050A" w:rsidRPr="005C7FF0">
        <w:t>BEAST v2.5</w:t>
      </w:r>
      <w:r w:rsidRPr="005C7FF0">
        <w:t xml:space="preserve"> (</w:t>
      </w:r>
      <w:proofErr w:type="spellStart"/>
      <w:r w:rsidRPr="005C7FF0">
        <w:t>Bouckaert</w:t>
      </w:r>
      <w:proofErr w:type="spellEnd"/>
      <w:r w:rsidRPr="005C7FF0">
        <w:t xml:space="preserve"> et al.</w:t>
      </w:r>
      <w:r w:rsidRPr="005C7FF0">
        <w:rPr>
          <w:i/>
          <w:iCs/>
        </w:rPr>
        <w:t xml:space="preserve"> </w:t>
      </w:r>
      <w:r w:rsidRPr="005C7FF0">
        <w:t xml:space="preserve">2019). For the </w:t>
      </w:r>
      <w:proofErr w:type="spellStart"/>
      <w:r w:rsidRPr="005C7FF0">
        <w:t>mtPCG</w:t>
      </w:r>
      <w:proofErr w:type="spellEnd"/>
      <w:r w:rsidRPr="005C7FF0">
        <w:t xml:space="preserve"> data set, only 2</w:t>
      </w:r>
      <w:r w:rsidRPr="00CD6A3F">
        <w:t>nd</w:t>
      </w:r>
      <w:r w:rsidRPr="005C7FF0">
        <w:t xml:space="preserve"> codon positions were used (3793 b</w:t>
      </w:r>
      <w:r w:rsidR="00AC050A" w:rsidRPr="005C7FF0">
        <w:t>ases</w:t>
      </w:r>
      <w:r w:rsidRPr="005C7FF0">
        <w:t>) to minimi</w:t>
      </w:r>
      <w:r w:rsidR="00E93C9F">
        <w:t>z</w:t>
      </w:r>
      <w:r w:rsidRPr="005C7FF0">
        <w:t xml:space="preserve">e saturation. Minimum bounds for node ages across </w:t>
      </w:r>
      <w:proofErr w:type="spellStart"/>
      <w:r w:rsidRPr="005C7FF0">
        <w:t>Blattodea</w:t>
      </w:r>
      <w:proofErr w:type="spellEnd"/>
      <w:r w:rsidRPr="005C7FF0">
        <w:t xml:space="preserve"> we</w:t>
      </w:r>
      <w:r w:rsidR="00646A9D" w:rsidRPr="005C7FF0">
        <w:t>re</w:t>
      </w:r>
      <w:r w:rsidRPr="005C7FF0">
        <w:t xml:space="preserve"> </w:t>
      </w:r>
      <w:r w:rsidR="00A460DD">
        <w:t xml:space="preserve">chosen according to </w:t>
      </w:r>
      <w:r w:rsidRPr="005C7FF0">
        <w:t>their earliest fossil representatives. We used a set of five fossils (</w:t>
      </w:r>
      <w:r w:rsidR="007C3AF5">
        <w:t xml:space="preserve">Supplementary </w:t>
      </w:r>
      <w:r w:rsidR="00D5265C">
        <w:t>Table S</w:t>
      </w:r>
      <w:r w:rsidR="008C7788">
        <w:t>9</w:t>
      </w:r>
      <w:r w:rsidRPr="005C7FF0">
        <w:t>) conservatively selected by Evangelista et al</w:t>
      </w:r>
      <w:r w:rsidRPr="005C7FF0">
        <w:rPr>
          <w:i/>
          <w:iCs/>
        </w:rPr>
        <w:t xml:space="preserve">. </w:t>
      </w:r>
      <w:r w:rsidRPr="005C7FF0">
        <w:t xml:space="preserve">(2017, 2019) according to the criteria proposed by Parham et al. (2012), to inform the hard minimum bound of uniform priors. The </w:t>
      </w:r>
      <w:r w:rsidRPr="005C7FF0">
        <w:lastRenderedPageBreak/>
        <w:t xml:space="preserve">recently discovered </w:t>
      </w:r>
      <w:proofErr w:type="spellStart"/>
      <w:r w:rsidRPr="005C7FF0">
        <w:rPr>
          <w:i/>
          <w:iCs/>
        </w:rPr>
        <w:t>Crenocticola</w:t>
      </w:r>
      <w:proofErr w:type="spellEnd"/>
      <w:r w:rsidRPr="005C7FF0">
        <w:rPr>
          <w:i/>
          <w:iCs/>
        </w:rPr>
        <w:t xml:space="preserve"> </w:t>
      </w:r>
      <w:proofErr w:type="spellStart"/>
      <w:r w:rsidRPr="005C7FF0">
        <w:rPr>
          <w:i/>
          <w:iCs/>
        </w:rPr>
        <w:t>burmanica</w:t>
      </w:r>
      <w:proofErr w:type="spellEnd"/>
      <w:r w:rsidRPr="005C7FF0">
        <w:rPr>
          <w:i/>
          <w:iCs/>
        </w:rPr>
        <w:t xml:space="preserve"> </w:t>
      </w:r>
      <w:r w:rsidRPr="005C7FF0">
        <w:t xml:space="preserve">from Burmese amber was used as a sixth fossil, to provide a minimum age for stem-Nocticolidae (Li and Huang 2020). We followed previous studies in using the lack of winged insects in Rhynie chert before 412 Ma to infer a hard maximum bound for most of the fossil calibrations. An exception was the calibration based on </w:t>
      </w:r>
      <w:proofErr w:type="spellStart"/>
      <w:r w:rsidRPr="005C7FF0">
        <w:rPr>
          <w:i/>
          <w:iCs/>
        </w:rPr>
        <w:t>Archeorhinotermes</w:t>
      </w:r>
      <w:proofErr w:type="spellEnd"/>
      <w:r w:rsidRPr="005C7FF0">
        <w:rPr>
          <w:i/>
          <w:iCs/>
        </w:rPr>
        <w:t xml:space="preserve"> </w:t>
      </w:r>
      <w:proofErr w:type="spellStart"/>
      <w:r w:rsidRPr="005C7FF0">
        <w:rPr>
          <w:i/>
          <w:iCs/>
        </w:rPr>
        <w:t>rossi</w:t>
      </w:r>
      <w:proofErr w:type="spellEnd"/>
      <w:r w:rsidRPr="005C7FF0">
        <w:t>,</w:t>
      </w:r>
      <w:r w:rsidRPr="005C7FF0">
        <w:rPr>
          <w:i/>
          <w:iCs/>
        </w:rPr>
        <w:t xml:space="preserve"> </w:t>
      </w:r>
      <w:r w:rsidRPr="005C7FF0">
        <w:t>which was given a hard maximum bound of 237 Ma based on the absence of termites in the fossil record prior to 130 Ma, and their abundance in the record after 130 Ma (see Evangelista et al</w:t>
      </w:r>
      <w:r w:rsidRPr="005C7FF0">
        <w:rPr>
          <w:i/>
          <w:iCs/>
        </w:rPr>
        <w:t xml:space="preserve">. </w:t>
      </w:r>
      <w:r w:rsidRPr="005C7FF0">
        <w:t xml:space="preserve">(2019) for more information). We used a uniform prior for the age of the root with a hard maximum of 450 Ma based on estimates for the first established </w:t>
      </w:r>
      <w:r w:rsidRPr="005C7FF0">
        <w:rPr>
          <w:color w:val="1A1A1A"/>
        </w:rPr>
        <w:t>local terrestrial ecosystems</w:t>
      </w:r>
      <w:r w:rsidRPr="005C7FF0">
        <w:t xml:space="preserve">, before which the diversification of insects is unlikely to have occurred (as used </w:t>
      </w:r>
      <w:r w:rsidR="00951F08">
        <w:t>by</w:t>
      </w:r>
      <w:r w:rsidRPr="005C7FF0">
        <w:t xml:space="preserve"> </w:t>
      </w:r>
      <w:proofErr w:type="spellStart"/>
      <w:r w:rsidRPr="005C7FF0">
        <w:t>Misof</w:t>
      </w:r>
      <w:proofErr w:type="spellEnd"/>
      <w:r w:rsidRPr="005C7FF0">
        <w:t xml:space="preserve"> et al</w:t>
      </w:r>
      <w:r w:rsidRPr="005C7FF0">
        <w:rPr>
          <w:i/>
          <w:iCs/>
        </w:rPr>
        <w:t>.</w:t>
      </w:r>
      <w:r w:rsidRPr="005C7FF0">
        <w:t xml:space="preserve"> 2014). Except for the sister groups to Nocticolidae and </w:t>
      </w:r>
      <w:proofErr w:type="spellStart"/>
      <w:r w:rsidRPr="005C7FF0">
        <w:t>Dictyoptera</w:t>
      </w:r>
      <w:proofErr w:type="spellEnd"/>
      <w:r w:rsidRPr="005C7FF0">
        <w:t>, which are unresolved, we forced monophyly on all calibrati</w:t>
      </w:r>
      <w:r w:rsidR="00C81642">
        <w:t>ng</w:t>
      </w:r>
      <w:r w:rsidRPr="005C7FF0">
        <w:t xml:space="preserve"> nodes based on relationships found previously (Bourguignon et al. 2018, Evangelista et al</w:t>
      </w:r>
      <w:r w:rsidRPr="005C7FF0">
        <w:rPr>
          <w:i/>
          <w:iCs/>
        </w:rPr>
        <w:t>.</w:t>
      </w:r>
      <w:r w:rsidRPr="005C7FF0">
        <w:t xml:space="preserve"> 2019). </w:t>
      </w:r>
    </w:p>
    <w:p w14:paraId="3002F3FC" w14:textId="171237EC" w:rsidR="007E2B56" w:rsidRDefault="005F7594" w:rsidP="002C391C">
      <w:pPr>
        <w:spacing w:line="480" w:lineRule="auto"/>
        <w:ind w:firstLine="720"/>
      </w:pPr>
      <w:r w:rsidRPr="005C7FF0">
        <w:t>We used a birth-death tree prior to account for the mixture of intraspecific and interspecific sampling (Ritchie et al. 2017). Owing to the high rates of evolution among nocticolids detected in previous analyses, we investigated a range of different molecular clock models, including strict, random local, uncorrelated relaxed lognormal, uncorrelated relaxed exponential, and the flexible local clock (Drummond et al.</w:t>
      </w:r>
      <w:r w:rsidRPr="005C7FF0">
        <w:rPr>
          <w:i/>
          <w:iCs/>
        </w:rPr>
        <w:t xml:space="preserve"> </w:t>
      </w:r>
      <w:r w:rsidRPr="005C7FF0">
        <w:t>2006</w:t>
      </w:r>
      <w:r w:rsidR="007B073F" w:rsidRPr="005C7FF0">
        <w:t>;</w:t>
      </w:r>
      <w:r w:rsidRPr="005C7FF0">
        <w:t xml:space="preserve"> Drummond and </w:t>
      </w:r>
      <w:proofErr w:type="spellStart"/>
      <w:r w:rsidRPr="005C7FF0">
        <w:t>Suchard</w:t>
      </w:r>
      <w:proofErr w:type="spellEnd"/>
      <w:r w:rsidRPr="005C7FF0">
        <w:t xml:space="preserve"> 2010</w:t>
      </w:r>
      <w:r w:rsidR="007B073F" w:rsidRPr="005C7FF0">
        <w:t>;</w:t>
      </w:r>
      <w:r w:rsidRPr="005C7FF0">
        <w:t xml:space="preserve"> </w:t>
      </w:r>
      <w:proofErr w:type="spellStart"/>
      <w:r w:rsidRPr="005C7FF0">
        <w:t>Fourment</w:t>
      </w:r>
      <w:proofErr w:type="spellEnd"/>
      <w:r w:rsidRPr="005C7FF0">
        <w:t xml:space="preserve"> and Darling 2018). The flexible local clock provides a combination of the local and relaxed clocks by allowing multiple independent, uncorrelated relaxed clocks for subsets of a tree selected </w:t>
      </w:r>
      <w:r w:rsidRPr="005C7FF0">
        <w:rPr>
          <w:i/>
          <w:iCs/>
        </w:rPr>
        <w:t>a prior</w:t>
      </w:r>
      <w:r w:rsidR="005C07A1" w:rsidRPr="005C7FF0">
        <w:rPr>
          <w:i/>
          <w:iCs/>
        </w:rPr>
        <w:t>i</w:t>
      </w:r>
      <w:r w:rsidRPr="005C7FF0">
        <w:rPr>
          <w:i/>
          <w:iCs/>
        </w:rPr>
        <w:t xml:space="preserve"> </w:t>
      </w:r>
      <w:r w:rsidRPr="005C7FF0">
        <w:t>(</w:t>
      </w:r>
      <w:proofErr w:type="spellStart"/>
      <w:r w:rsidRPr="005C7FF0">
        <w:t>Fourment</w:t>
      </w:r>
      <w:proofErr w:type="spellEnd"/>
      <w:r w:rsidRPr="005C7FF0">
        <w:t xml:space="preserve"> and Darling 2018). We implemented two independent uncorrelated lognormal relaxed clocks, one for Nocticolidae (including the stem branch), and one for the rest of the tree. MCMC simulations were run in duplicate for each of molecular clock models for 5</w:t>
      </w:r>
      <w:r w:rsidR="00A3138F">
        <w:sym w:font="Symbol" w:char="F0B4"/>
      </w:r>
      <w:r w:rsidRPr="005C7FF0">
        <w:t>10</w:t>
      </w:r>
      <w:r w:rsidRPr="005C7FF0">
        <w:rPr>
          <w:vertAlign w:val="superscript"/>
        </w:rPr>
        <w:t xml:space="preserve">7 </w:t>
      </w:r>
      <w:r w:rsidRPr="005C7FF0">
        <w:t>steps, sampling every 10</w:t>
      </w:r>
      <w:r w:rsidRPr="005C7FF0">
        <w:rPr>
          <w:vertAlign w:val="superscript"/>
        </w:rPr>
        <w:t>3</w:t>
      </w:r>
      <w:r w:rsidRPr="005C7FF0">
        <w:t xml:space="preserve"> steps. Outputs were checked in T</w:t>
      </w:r>
      <w:r w:rsidR="00C76DDD">
        <w:t>racer</w:t>
      </w:r>
      <w:r w:rsidRPr="005C7FF0">
        <w:t xml:space="preserve"> for sufficient sampling of parameters. We generated the maximum-clade-credibility </w:t>
      </w:r>
      <w:r w:rsidRPr="005C7FF0">
        <w:lastRenderedPageBreak/>
        <w:t xml:space="preserve">tree after removing a proportion of trees as burn-in and combining duplicate runs </w:t>
      </w:r>
      <w:r w:rsidR="007E2B56">
        <w:t>using</w:t>
      </w:r>
      <w:r w:rsidRPr="005C7FF0">
        <w:t xml:space="preserve"> </w:t>
      </w:r>
      <w:proofErr w:type="spellStart"/>
      <w:r w:rsidRPr="005C7FF0">
        <w:t>LogCombiner</w:t>
      </w:r>
      <w:proofErr w:type="spellEnd"/>
      <w:r w:rsidRPr="005C7FF0">
        <w:t xml:space="preserve">. </w:t>
      </w:r>
    </w:p>
    <w:p w14:paraId="55F3F225" w14:textId="4AC694CC" w:rsidR="005F7594" w:rsidRPr="005C7FF0" w:rsidRDefault="007E2B56" w:rsidP="002C391C">
      <w:pPr>
        <w:spacing w:line="480" w:lineRule="auto"/>
        <w:ind w:firstLine="720"/>
      </w:pPr>
      <w:r>
        <w:t>To allow comparison of clock models, we estimated m</w:t>
      </w:r>
      <w:r w:rsidR="005F7594" w:rsidRPr="005C7FF0">
        <w:t>arginal likelihoods and their uncertainties using nested sampling with 20 particles, chain length of 3000</w:t>
      </w:r>
      <w:r w:rsidR="005A00FE">
        <w:t>,</w:t>
      </w:r>
      <w:r w:rsidR="005F7594" w:rsidRPr="005C7FF0">
        <w:t xml:space="preserve"> and convergence threshold (</w:t>
      </w:r>
      <w:r w:rsidR="005F7594" w:rsidRPr="005C7FF0">
        <w:sym w:font="Symbol" w:char="F065"/>
      </w:r>
      <w:r w:rsidR="005F7594" w:rsidRPr="005C7FF0">
        <w:t xml:space="preserve">) of </w:t>
      </w:r>
      <w:r w:rsidR="005A00FE">
        <w:t>10</w:t>
      </w:r>
      <w:r w:rsidR="005F7594" w:rsidRPr="00CD6A3F">
        <w:rPr>
          <w:vertAlign w:val="superscript"/>
        </w:rPr>
        <w:t>-12</w:t>
      </w:r>
      <w:r w:rsidR="005F7594" w:rsidRPr="005C7FF0">
        <w:t xml:space="preserve"> (</w:t>
      </w:r>
      <w:proofErr w:type="spellStart"/>
      <w:r w:rsidR="005F7594" w:rsidRPr="005C7FF0">
        <w:t>Maturana</w:t>
      </w:r>
      <w:proofErr w:type="spellEnd"/>
      <w:r w:rsidR="005F7594" w:rsidRPr="005C7FF0">
        <w:t xml:space="preserve"> Russel et al.</w:t>
      </w:r>
      <w:r w:rsidR="005F7594" w:rsidRPr="005C7FF0">
        <w:rPr>
          <w:i/>
          <w:iCs/>
        </w:rPr>
        <w:t xml:space="preserve"> </w:t>
      </w:r>
      <w:r w:rsidR="005F7594" w:rsidRPr="005C7FF0">
        <w:t>2019). Marginal</w:t>
      </w:r>
      <w:r w:rsidR="008228DA">
        <w:t>-</w:t>
      </w:r>
      <w:r w:rsidR="005F7594" w:rsidRPr="005C7FF0">
        <w:t xml:space="preserve">likelihood estimates for the exponential relaxed clock had poor numerical stability, so runs were decreased to 10 particles and six replicates, choosing the </w:t>
      </w:r>
      <w:r w:rsidR="00C412D9">
        <w:t>highest</w:t>
      </w:r>
      <w:r w:rsidR="005F7594" w:rsidRPr="005C7FF0">
        <w:t xml:space="preserve"> log likelihood. We used Bayes factors to select the best-fitting clock model following the guidelines of Jeffreys (1961), which recommend that a model is strongly supported over another if the log</w:t>
      </w:r>
      <w:r w:rsidR="005F7594" w:rsidRPr="005C7FF0">
        <w:rPr>
          <w:vertAlign w:val="subscript"/>
        </w:rPr>
        <w:t>10</w:t>
      </w:r>
      <w:r w:rsidR="005F7594" w:rsidRPr="005C7FF0">
        <w:t xml:space="preserve"> Bayes factor is &gt;2.3. </w:t>
      </w:r>
    </w:p>
    <w:p w14:paraId="0A9D52E1" w14:textId="77777777" w:rsidR="005F7594" w:rsidRPr="005C7FF0" w:rsidRDefault="005F7594" w:rsidP="002C391C">
      <w:pPr>
        <w:spacing w:line="480" w:lineRule="auto"/>
      </w:pPr>
    </w:p>
    <w:p w14:paraId="5081489F" w14:textId="562FEEBF" w:rsidR="005F7594" w:rsidRPr="005C7FF0" w:rsidRDefault="005F7594" w:rsidP="002C391C">
      <w:pPr>
        <w:pStyle w:val="Heading3"/>
        <w:spacing w:line="480" w:lineRule="auto"/>
      </w:pPr>
      <w:r w:rsidRPr="005C7FF0">
        <w:t xml:space="preserve">Estimating </w:t>
      </w:r>
      <w:r w:rsidR="00360462">
        <w:t>E</w:t>
      </w:r>
      <w:r w:rsidRPr="005C7FF0">
        <w:t xml:space="preserve">volutionary </w:t>
      </w:r>
      <w:r w:rsidR="00360462">
        <w:t>T</w:t>
      </w:r>
      <w:r w:rsidRPr="005C7FF0">
        <w:t xml:space="preserve">imescales using </w:t>
      </w:r>
      <w:proofErr w:type="spellStart"/>
      <w:r w:rsidRPr="005C7FF0">
        <w:t>MCMCtree</w:t>
      </w:r>
      <w:proofErr w:type="spellEnd"/>
    </w:p>
    <w:p w14:paraId="0ACBCF29" w14:textId="2A329A96" w:rsidR="005F7594" w:rsidRPr="005C7FF0" w:rsidRDefault="005F7594" w:rsidP="002C391C">
      <w:pPr>
        <w:spacing w:line="480" w:lineRule="auto"/>
        <w:ind w:firstLine="720"/>
      </w:pPr>
      <w:r w:rsidRPr="005C7FF0">
        <w:t xml:space="preserve">Evolutionary timescales were estimated for both the </w:t>
      </w:r>
      <w:proofErr w:type="spellStart"/>
      <w:r w:rsidRPr="005C7FF0">
        <w:t>mtPCG</w:t>
      </w:r>
      <w:proofErr w:type="spellEnd"/>
      <w:r w:rsidRPr="005C7FF0">
        <w:t xml:space="preserve"> and the UCE data</w:t>
      </w:r>
      <w:r w:rsidR="00664FC1">
        <w:t xml:space="preserve"> </w:t>
      </w:r>
      <w:r w:rsidRPr="005C7FF0">
        <w:t>set</w:t>
      </w:r>
      <w:r w:rsidR="00664FC1">
        <w:t>s</w:t>
      </w:r>
      <w:r w:rsidRPr="005C7FF0">
        <w:t xml:space="preserve"> using the approximate likelihood calculation in </w:t>
      </w:r>
      <w:proofErr w:type="spellStart"/>
      <w:r w:rsidRPr="005C7FF0">
        <w:t>MCMCtree</w:t>
      </w:r>
      <w:proofErr w:type="spellEnd"/>
      <w:r w:rsidR="000558EC">
        <w:t xml:space="preserve">, part of </w:t>
      </w:r>
      <w:r w:rsidRPr="005C7FF0">
        <w:t xml:space="preserve">the PAML package (Yang 2007). The analyses were </w:t>
      </w:r>
      <w:r w:rsidR="00E449EE">
        <w:t>performed</w:t>
      </w:r>
      <w:r w:rsidRPr="005C7FF0">
        <w:t xml:space="preserve"> using the topology from our maximum-likelihood analysis of each of the data sets. We used the GTR+G substitution model and ran analyses using both the independent (uncorrelated) lognormal relaxed</w:t>
      </w:r>
      <w:r w:rsidR="007559DF">
        <w:t xml:space="preserve"> </w:t>
      </w:r>
      <w:r w:rsidRPr="005C7FF0">
        <w:t>clock and the autocorrelated relaxed</w:t>
      </w:r>
      <w:r w:rsidR="007559DF">
        <w:t xml:space="preserve"> </w:t>
      </w:r>
      <w:r w:rsidRPr="005C7FF0">
        <w:t xml:space="preserve">clock. For mean substitution rate and the degree of rate drift, we specified gamma priors of </w:t>
      </w:r>
      <w:r w:rsidR="00AA5C49">
        <w:t>“</w:t>
      </w:r>
      <w:r w:rsidRPr="005C7FF0">
        <w:t>1 10</w:t>
      </w:r>
      <w:r w:rsidR="00AA5C49">
        <w:t>”</w:t>
      </w:r>
      <w:r w:rsidRPr="005C7FF0">
        <w:t xml:space="preserve"> and </w:t>
      </w:r>
      <w:r w:rsidR="00AA5C49">
        <w:t>“</w:t>
      </w:r>
      <w:r w:rsidRPr="005C7FF0">
        <w:t>1 1</w:t>
      </w:r>
      <w:r w:rsidR="00AA5C49">
        <w:t>”</w:t>
      </w:r>
      <w:r w:rsidRPr="005C7FF0">
        <w:t xml:space="preserve">, respectively. We performed three independent </w:t>
      </w:r>
      <w:proofErr w:type="spellStart"/>
      <w:r w:rsidRPr="005C7FF0">
        <w:t>MCMC</w:t>
      </w:r>
      <w:r w:rsidR="00C25065" w:rsidRPr="005C7FF0">
        <w:t>t</w:t>
      </w:r>
      <w:r w:rsidRPr="005C7FF0">
        <w:t>ree</w:t>
      </w:r>
      <w:proofErr w:type="spellEnd"/>
      <w:r w:rsidRPr="005C7FF0">
        <w:t xml:space="preserve"> analyses each for 5</w:t>
      </w:r>
      <w:r w:rsidR="00ED3D4C">
        <w:sym w:font="Symbol" w:char="F0B4"/>
      </w:r>
      <w:r w:rsidRPr="005C7FF0">
        <w:t>10</w:t>
      </w:r>
      <w:r w:rsidRPr="005C7FF0">
        <w:rPr>
          <w:vertAlign w:val="superscript"/>
        </w:rPr>
        <w:t>7</w:t>
      </w:r>
      <w:r w:rsidRPr="005C7FF0">
        <w:t xml:space="preserve"> steps, sampling every 2500 steps, with 10% burn in. Outputs were checked in T</w:t>
      </w:r>
      <w:r w:rsidR="00EE14EF">
        <w:t>racer</w:t>
      </w:r>
      <w:r w:rsidRPr="005C7FF0">
        <w:t xml:space="preserve"> for sufficient sampling of parameters after convergence, indicated by effective sample sizes &gt;200.</w:t>
      </w:r>
    </w:p>
    <w:p w14:paraId="47D711BD" w14:textId="221D3971" w:rsidR="005F7594" w:rsidRPr="005C7FF0" w:rsidRDefault="00A2056C" w:rsidP="002C391C">
      <w:pPr>
        <w:spacing w:line="480" w:lineRule="auto"/>
      </w:pPr>
      <w:r w:rsidRPr="005C7FF0">
        <w:t xml:space="preserve">Our analysis of the </w:t>
      </w:r>
      <w:proofErr w:type="spellStart"/>
      <w:r w:rsidRPr="005C7FF0">
        <w:t>mtPCG</w:t>
      </w:r>
      <w:proofErr w:type="spellEnd"/>
      <w:r w:rsidRPr="005C7FF0">
        <w:t xml:space="preserve"> data set in </w:t>
      </w:r>
      <w:proofErr w:type="spellStart"/>
      <w:r w:rsidRPr="005C7FF0">
        <w:t>MCMCtree</w:t>
      </w:r>
      <w:proofErr w:type="spellEnd"/>
      <w:r w:rsidRPr="005C7FF0">
        <w:t xml:space="preserve"> used the same fossil calibrations as were employed in BEAST. For analysis of our UCE data set, w</w:t>
      </w:r>
      <w:r w:rsidR="005F7594" w:rsidRPr="005C7FF0">
        <w:t xml:space="preserve">e used the same fossils as implemented in our </w:t>
      </w:r>
      <w:proofErr w:type="spellStart"/>
      <w:r w:rsidR="005F7594" w:rsidRPr="005C7FF0">
        <w:t>mtPCG</w:t>
      </w:r>
      <w:proofErr w:type="spellEnd"/>
      <w:r w:rsidR="005F7594" w:rsidRPr="005C7FF0">
        <w:t xml:space="preserve"> analysis in BEAST with the exclusion of </w:t>
      </w:r>
      <w:proofErr w:type="spellStart"/>
      <w:r w:rsidR="005F7594" w:rsidRPr="005C7FF0">
        <w:rPr>
          <w:i/>
          <w:iCs/>
        </w:rPr>
        <w:t>Juramantophasma</w:t>
      </w:r>
      <w:proofErr w:type="spellEnd"/>
      <w:r w:rsidR="005F7594" w:rsidRPr="005C7FF0">
        <w:rPr>
          <w:i/>
          <w:iCs/>
        </w:rPr>
        <w:t xml:space="preserve"> </w:t>
      </w:r>
      <w:proofErr w:type="spellStart"/>
      <w:r w:rsidR="005F7594" w:rsidRPr="005C7FF0">
        <w:rPr>
          <w:i/>
          <w:iCs/>
        </w:rPr>
        <w:t>sinica</w:t>
      </w:r>
      <w:proofErr w:type="spellEnd"/>
      <w:r w:rsidR="005F7594" w:rsidRPr="005C7FF0">
        <w:rPr>
          <w:i/>
          <w:iCs/>
        </w:rPr>
        <w:t xml:space="preserve"> </w:t>
      </w:r>
      <w:r w:rsidR="005F7594" w:rsidRPr="005C7FF0">
        <w:t>because the relevant node is not present in our UCE data</w:t>
      </w:r>
      <w:r w:rsidR="003D4D8D">
        <w:t xml:space="preserve"> </w:t>
      </w:r>
      <w:r w:rsidR="005F7594" w:rsidRPr="005C7FF0">
        <w:t xml:space="preserve">set. Due to reduced outgroup </w:t>
      </w:r>
      <w:r w:rsidR="005F7594" w:rsidRPr="005C7FF0">
        <w:lastRenderedPageBreak/>
        <w:t xml:space="preserve">sampling, we employed two secondary calibrations from a well resolved, transcriptomic, time-calibrated phylogeny of cockroaches and termites (Evangelista et a. 2019). The 95% </w:t>
      </w:r>
      <w:r w:rsidR="001431EC">
        <w:t>credibility</w:t>
      </w:r>
      <w:r w:rsidR="001431EC" w:rsidRPr="005C7FF0">
        <w:t xml:space="preserve"> </w:t>
      </w:r>
      <w:r w:rsidR="005F7594" w:rsidRPr="005C7FF0">
        <w:t xml:space="preserve">interval was used to infer the soft upper and lower bounds of a uniform prior on the crown age of </w:t>
      </w:r>
      <w:proofErr w:type="spellStart"/>
      <w:r w:rsidR="005F7594" w:rsidRPr="005C7FF0">
        <w:t>Dictyoptera</w:t>
      </w:r>
      <w:proofErr w:type="spellEnd"/>
      <w:r w:rsidR="005F7594" w:rsidRPr="005C7FF0">
        <w:t xml:space="preserve"> (232.2</w:t>
      </w:r>
      <w:r w:rsidR="00416BD6">
        <w:t>–</w:t>
      </w:r>
      <w:r w:rsidR="005F7594" w:rsidRPr="005C7FF0">
        <w:t>291.2 Ma) and the soft upper bound for the root of the tree (</w:t>
      </w:r>
      <w:proofErr w:type="spellStart"/>
      <w:r w:rsidR="005F7594" w:rsidRPr="005C7FF0">
        <w:t>Dictyoptera+Phasmatodea</w:t>
      </w:r>
      <w:proofErr w:type="spellEnd"/>
      <w:r w:rsidR="005F7594" w:rsidRPr="005C7FF0">
        <w:t>, 371 Ma) and all other fossil</w:t>
      </w:r>
      <w:r w:rsidR="00543C61">
        <w:t xml:space="preserve"> calibrations</w:t>
      </w:r>
      <w:r w:rsidR="005F7594" w:rsidRPr="005C7FF0">
        <w:t xml:space="preserve">. An exception was the calibration based on </w:t>
      </w:r>
      <w:proofErr w:type="spellStart"/>
      <w:r w:rsidR="005F7594" w:rsidRPr="005C7FF0">
        <w:rPr>
          <w:i/>
          <w:iCs/>
        </w:rPr>
        <w:t>Archeorhinotermes</w:t>
      </w:r>
      <w:proofErr w:type="spellEnd"/>
      <w:r w:rsidR="005F7594" w:rsidRPr="005C7FF0">
        <w:rPr>
          <w:i/>
          <w:iCs/>
        </w:rPr>
        <w:t xml:space="preserve"> </w:t>
      </w:r>
      <w:proofErr w:type="spellStart"/>
      <w:r w:rsidR="005F7594" w:rsidRPr="005C7FF0">
        <w:rPr>
          <w:i/>
          <w:iCs/>
        </w:rPr>
        <w:t>rossi</w:t>
      </w:r>
      <w:proofErr w:type="spellEnd"/>
      <w:r w:rsidR="005F7594" w:rsidRPr="005C7FF0">
        <w:t>,</w:t>
      </w:r>
      <w:r w:rsidR="005F7594" w:rsidRPr="005C7FF0">
        <w:rPr>
          <w:i/>
          <w:iCs/>
        </w:rPr>
        <w:t xml:space="preserve"> </w:t>
      </w:r>
      <w:r w:rsidR="005F7594" w:rsidRPr="005C7FF0">
        <w:t xml:space="preserve">which was given a hard maximum bound of 237 Ma as was the case in our analysis of our </w:t>
      </w:r>
      <w:proofErr w:type="spellStart"/>
      <w:r w:rsidR="005F7594" w:rsidRPr="005C7FF0">
        <w:t>mtPCG</w:t>
      </w:r>
      <w:proofErr w:type="spellEnd"/>
      <w:r w:rsidR="005F7594" w:rsidRPr="005C7FF0">
        <w:t xml:space="preserve"> data</w:t>
      </w:r>
      <w:r w:rsidR="0087014C">
        <w:t xml:space="preserve"> </w:t>
      </w:r>
      <w:r w:rsidR="005F7594" w:rsidRPr="005C7FF0">
        <w:t xml:space="preserve">set. </w:t>
      </w:r>
    </w:p>
    <w:p w14:paraId="20D06231" w14:textId="77777777" w:rsidR="005F7594" w:rsidRPr="005C7FF0" w:rsidRDefault="005F7594" w:rsidP="002C391C">
      <w:pPr>
        <w:spacing w:line="480" w:lineRule="auto"/>
      </w:pPr>
    </w:p>
    <w:p w14:paraId="7553C62B" w14:textId="55A8DF3C" w:rsidR="005F7594" w:rsidRPr="005C7FF0" w:rsidRDefault="009713E5" w:rsidP="002C391C">
      <w:pPr>
        <w:pStyle w:val="Heading3"/>
        <w:spacing w:line="480" w:lineRule="auto"/>
      </w:pPr>
      <w:r w:rsidRPr="005C7FF0">
        <w:t xml:space="preserve">Estimating </w:t>
      </w:r>
      <w:r w:rsidR="0087014C">
        <w:t>R</w:t>
      </w:r>
      <w:r w:rsidR="005F7594" w:rsidRPr="005C7FF0">
        <w:t>oot-to-</w:t>
      </w:r>
      <w:r w:rsidR="0087014C">
        <w:t>T</w:t>
      </w:r>
      <w:r w:rsidR="005F7594" w:rsidRPr="005C7FF0">
        <w:t xml:space="preserve">ip </w:t>
      </w:r>
      <w:r w:rsidR="0087014C">
        <w:t>D</w:t>
      </w:r>
      <w:r w:rsidR="005F7594" w:rsidRPr="005C7FF0">
        <w:t>istance</w:t>
      </w:r>
      <w:r w:rsidRPr="005C7FF0">
        <w:t>s</w:t>
      </w:r>
    </w:p>
    <w:p w14:paraId="29E64DB1" w14:textId="3674A382" w:rsidR="005F7594" w:rsidRPr="005C7FF0" w:rsidRDefault="005F7594" w:rsidP="002C391C">
      <w:pPr>
        <w:spacing w:line="480" w:lineRule="auto"/>
        <w:ind w:firstLine="720"/>
      </w:pPr>
      <w:r w:rsidRPr="005C7FF0">
        <w:t xml:space="preserve">To investigate evolutionary rate variation between the families of </w:t>
      </w:r>
      <w:proofErr w:type="spellStart"/>
      <w:r w:rsidRPr="005C7FF0">
        <w:t>Blattodea</w:t>
      </w:r>
      <w:proofErr w:type="spellEnd"/>
      <w:r w:rsidRPr="005C7FF0">
        <w:t xml:space="preserve"> in our </w:t>
      </w:r>
      <w:proofErr w:type="spellStart"/>
      <w:r w:rsidRPr="005C7FF0">
        <w:t>mtPCG</w:t>
      </w:r>
      <w:proofErr w:type="spellEnd"/>
      <w:r w:rsidRPr="005C7FF0">
        <w:t xml:space="preserve"> and UCE data sets</w:t>
      </w:r>
      <w:r w:rsidR="00693E19">
        <w:t>,</w:t>
      </w:r>
      <w:r w:rsidRPr="005C7FF0">
        <w:t xml:space="preserve"> we analysed root-to-tip distances in our </w:t>
      </w:r>
      <w:r w:rsidR="001E0B42">
        <w:t>m</w:t>
      </w:r>
      <w:r w:rsidRPr="005C7FF0">
        <w:t>aximum</w:t>
      </w:r>
      <w:r w:rsidR="001E0B42">
        <w:t>-l</w:t>
      </w:r>
      <w:r w:rsidRPr="005C7FF0">
        <w:t xml:space="preserve">ikelihood trees after removing sister lineages to </w:t>
      </w:r>
      <w:proofErr w:type="spellStart"/>
      <w:r w:rsidRPr="005C7FF0">
        <w:t>Blattodea</w:t>
      </w:r>
      <w:proofErr w:type="spellEnd"/>
      <w:r w:rsidRPr="005C7FF0">
        <w:t xml:space="preserve">. Mean root-to-tip distances were calculated for the two major clades of Nocticolidae and </w:t>
      </w:r>
      <w:r w:rsidR="00867A4D">
        <w:t xml:space="preserve">for </w:t>
      </w:r>
      <w:r w:rsidRPr="005C7FF0">
        <w:t xml:space="preserve">each of the families of </w:t>
      </w:r>
      <w:proofErr w:type="spellStart"/>
      <w:r w:rsidRPr="005C7FF0">
        <w:t>Blattodea</w:t>
      </w:r>
      <w:proofErr w:type="spellEnd"/>
      <w:r w:rsidRPr="005C7FF0">
        <w:t xml:space="preserve"> using the R packages ape v5.5 (Paradis and </w:t>
      </w:r>
      <w:proofErr w:type="spellStart"/>
      <w:r w:rsidRPr="005C7FF0">
        <w:t>Schliep</w:t>
      </w:r>
      <w:proofErr w:type="spellEnd"/>
      <w:r w:rsidRPr="005C7FF0">
        <w:t xml:space="preserve"> 2019) and </w:t>
      </w:r>
      <w:proofErr w:type="spellStart"/>
      <w:r w:rsidRPr="005C7FF0">
        <w:t>phangorn</w:t>
      </w:r>
      <w:proofErr w:type="spellEnd"/>
      <w:r w:rsidRPr="005C7FF0">
        <w:t xml:space="preserve"> v2.7.0 (</w:t>
      </w:r>
      <w:proofErr w:type="spellStart"/>
      <w:r w:rsidRPr="005C7FF0">
        <w:t>Schliep</w:t>
      </w:r>
      <w:proofErr w:type="spellEnd"/>
      <w:r w:rsidRPr="005C7FF0">
        <w:t xml:space="preserve"> 2011).</w:t>
      </w:r>
    </w:p>
    <w:p w14:paraId="033F52B3" w14:textId="77777777" w:rsidR="005F7594" w:rsidRPr="005C7FF0" w:rsidRDefault="005F7594" w:rsidP="002C391C">
      <w:pPr>
        <w:spacing w:line="480" w:lineRule="auto"/>
      </w:pPr>
    </w:p>
    <w:p w14:paraId="51958B8B" w14:textId="030085D5" w:rsidR="005F7594" w:rsidRPr="001E190E" w:rsidRDefault="005F7594" w:rsidP="002C391C">
      <w:pPr>
        <w:pStyle w:val="Heading3"/>
        <w:spacing w:line="480" w:lineRule="auto"/>
      </w:pPr>
      <w:proofErr w:type="spellStart"/>
      <w:r w:rsidRPr="00160AF5">
        <w:t>Metanocticola</w:t>
      </w:r>
      <w:proofErr w:type="spellEnd"/>
      <w:r w:rsidRPr="00160AF5">
        <w:t xml:space="preserve"> </w:t>
      </w:r>
      <w:proofErr w:type="spellStart"/>
      <w:r w:rsidRPr="00160AF5">
        <w:t>christmasensis</w:t>
      </w:r>
      <w:proofErr w:type="spellEnd"/>
    </w:p>
    <w:p w14:paraId="71173EDE" w14:textId="0AA9D4EE" w:rsidR="005F7594" w:rsidRPr="005C7FF0" w:rsidRDefault="005F7594" w:rsidP="002C391C">
      <w:pPr>
        <w:spacing w:line="480" w:lineRule="auto"/>
        <w:ind w:firstLine="720"/>
      </w:pPr>
      <w:r w:rsidRPr="005C7FF0">
        <w:t xml:space="preserve">After inspecting the female paratype (WAM105862, previously BES 5828) of </w:t>
      </w:r>
      <w:proofErr w:type="spellStart"/>
      <w:r w:rsidRPr="005C7FF0">
        <w:rPr>
          <w:i/>
          <w:iCs/>
        </w:rPr>
        <w:t>Metanocticola</w:t>
      </w:r>
      <w:proofErr w:type="spellEnd"/>
      <w:r w:rsidRPr="005C7FF0">
        <w:rPr>
          <w:i/>
          <w:iCs/>
        </w:rPr>
        <w:t xml:space="preserve"> </w:t>
      </w:r>
      <w:proofErr w:type="spellStart"/>
      <w:r w:rsidRPr="005C7FF0">
        <w:rPr>
          <w:i/>
          <w:iCs/>
        </w:rPr>
        <w:t>christmasensis</w:t>
      </w:r>
      <w:proofErr w:type="spellEnd"/>
      <w:r w:rsidRPr="005C7FF0">
        <w:t xml:space="preserve">, we have </w:t>
      </w:r>
      <w:r w:rsidR="00890736" w:rsidRPr="005C7FF0">
        <w:t>concluded</w:t>
      </w:r>
      <w:r w:rsidRPr="005C7FF0">
        <w:t xml:space="preserve"> that the “female” included in the description is </w:t>
      </w:r>
      <w:proofErr w:type="gramStart"/>
      <w:r w:rsidRPr="005C7FF0">
        <w:t>actually a</w:t>
      </w:r>
      <w:proofErr w:type="gramEnd"/>
      <w:r w:rsidRPr="005C7FF0">
        <w:t xml:space="preserve"> subadult. Therefore, the species requires a redescription containing a fully developed female and photos of the male. One of our samples was collected from the same cave (Jane-up Cave) as one of the paratypes included in the original description which is also closely located to the cave containing the holotype (Jedda Cave) </w:t>
      </w:r>
      <w:r w:rsidRPr="005C7FF0">
        <w:fldChar w:fldCharType="begin" w:fldLock="1"/>
      </w:r>
      <w:r w:rsidRPr="005C7FF0">
        <w:instrText>ADDIN CSL_CITATION {"citationItems":[{"id":"ITEM-1","itemData":{"ISSN":"0312-3162","author":[{"dropping-particle":"","family":"Roth","given":"Louis M","non-dropping-particle":"","parse-names":false,"suffix":""}],"container-title":"Records of the Western Australian Museum","id":"ITEM-1","issued":{"date-parts":[["1999"]]},"page":"327-364","title":"New cockroach species, redescriptions, and records, mostly from Australia, and a description of Metanocticola christmasensis gen. nov., sp. nov., from Christmas Island (Blattaria)","type":"article-journal","volume":"19"},"uris":["http://www.mendeley.com/documents/?uuid=84eb9eae-ac99-4654-8416-ba6f41f79471"]}],"mendeley":{"formattedCitation":"(Roth, 1999)","plainTextFormattedCitation":"(Roth, 1999)","previouslyFormattedCitation":"(Roth, 1999)"},"properties":{"noteIndex":0},"schema":"https://github.com/citation-style-language/schema/raw/master/csl-citation.json"}</w:instrText>
      </w:r>
      <w:r w:rsidRPr="005C7FF0">
        <w:fldChar w:fldCharType="separate"/>
      </w:r>
      <w:r w:rsidRPr="005C7FF0">
        <w:rPr>
          <w:noProof/>
        </w:rPr>
        <w:t>(Roth, 1999)</w:t>
      </w:r>
      <w:r w:rsidRPr="005C7FF0">
        <w:fldChar w:fldCharType="end"/>
      </w:r>
      <w:r w:rsidRPr="005C7FF0">
        <w:t xml:space="preserve">. Therefore, it is likely that the samples from Christmas Island included here (Nocticolidae sp. (Christmas Island)) represent </w:t>
      </w:r>
      <w:proofErr w:type="spellStart"/>
      <w:r w:rsidRPr="005C7FF0">
        <w:rPr>
          <w:i/>
          <w:iCs/>
        </w:rPr>
        <w:t>Metanocticola</w:t>
      </w:r>
      <w:proofErr w:type="spellEnd"/>
      <w:r w:rsidRPr="005C7FF0">
        <w:rPr>
          <w:i/>
          <w:iCs/>
        </w:rPr>
        <w:t xml:space="preserve"> </w:t>
      </w:r>
      <w:proofErr w:type="spellStart"/>
      <w:r w:rsidRPr="005C7FF0">
        <w:rPr>
          <w:i/>
          <w:iCs/>
        </w:rPr>
        <w:t>christmasensis</w:t>
      </w:r>
      <w:proofErr w:type="spellEnd"/>
      <w:r w:rsidR="00440B34">
        <w:t>,</w:t>
      </w:r>
      <w:r w:rsidR="005B4686" w:rsidRPr="005C7FF0">
        <w:rPr>
          <w:i/>
          <w:iCs/>
        </w:rPr>
        <w:t xml:space="preserve"> </w:t>
      </w:r>
      <w:r w:rsidR="005B4686" w:rsidRPr="005C7FF0">
        <w:t xml:space="preserve">although this should be </w:t>
      </w:r>
      <w:r w:rsidR="005B4686" w:rsidRPr="005C7FF0">
        <w:lastRenderedPageBreak/>
        <w:t xml:space="preserve">confirmed with </w:t>
      </w:r>
      <w:r w:rsidR="00C8619E" w:rsidRPr="005C7FF0">
        <w:t>further sampling of a male specimen</w:t>
      </w:r>
      <w:r w:rsidRPr="005C7FF0">
        <w:t xml:space="preserve">. We also inferred that the Christmas </w:t>
      </w:r>
      <w:r w:rsidR="002472A9" w:rsidRPr="005C7FF0">
        <w:t>I</w:t>
      </w:r>
      <w:r w:rsidRPr="005C7FF0">
        <w:t>sland lineages sampled here contain female cerci spines as they are present on two female specimen</w:t>
      </w:r>
      <w:r w:rsidR="002472A9" w:rsidRPr="005C7FF0">
        <w:t>s</w:t>
      </w:r>
      <w:r w:rsidRPr="005C7FF0">
        <w:t xml:space="preserve"> collected from the same location as one of our samples (Grants Well). </w:t>
      </w:r>
    </w:p>
    <w:p w14:paraId="23D3AFA7" w14:textId="77777777" w:rsidR="005F7594" w:rsidRPr="005C7FF0" w:rsidRDefault="005F7594" w:rsidP="002C391C">
      <w:pPr>
        <w:spacing w:line="480" w:lineRule="auto"/>
      </w:pPr>
    </w:p>
    <w:p w14:paraId="10AF9DBB" w14:textId="5DD4BBC1" w:rsidR="005F7594" w:rsidRPr="005C7FF0" w:rsidRDefault="005F7594" w:rsidP="002C391C">
      <w:pPr>
        <w:pStyle w:val="Heading3"/>
        <w:spacing w:line="480" w:lineRule="auto"/>
      </w:pPr>
      <w:r w:rsidRPr="005C7FF0">
        <w:t xml:space="preserve">Morphology of </w:t>
      </w:r>
      <w:r w:rsidR="00B41C2E">
        <w:t>U</w:t>
      </w:r>
      <w:r w:rsidRPr="005C7FF0">
        <w:t xml:space="preserve">nsampled Nocticolidae </w:t>
      </w:r>
    </w:p>
    <w:p w14:paraId="15B03C32" w14:textId="169C7DE2" w:rsidR="00A845AC" w:rsidRDefault="005F7594" w:rsidP="002C391C">
      <w:pPr>
        <w:spacing w:line="480" w:lineRule="auto"/>
        <w:ind w:firstLine="720"/>
        <w:rPr>
          <w:rStyle w:val="normaltextrun"/>
          <w:rFonts w:eastAsiaTheme="minorEastAsia"/>
          <w:color w:val="000000" w:themeColor="text1"/>
        </w:rPr>
      </w:pPr>
      <w:r w:rsidRPr="005C7FF0">
        <w:rPr>
          <w:rStyle w:val="normaltextrun"/>
          <w:rFonts w:eastAsiaTheme="minorEastAsia"/>
          <w:color w:val="000000" w:themeColor="text1"/>
        </w:rPr>
        <w:t>Based on the relationships estimated here</w:t>
      </w:r>
      <w:r w:rsidR="00A649B9">
        <w:rPr>
          <w:rStyle w:val="normaltextrun"/>
          <w:rFonts w:eastAsiaTheme="minorEastAsia"/>
          <w:color w:val="000000" w:themeColor="text1"/>
        </w:rPr>
        <w:t>,</w:t>
      </w:r>
      <w:r w:rsidRPr="005C7FF0">
        <w:rPr>
          <w:rStyle w:val="normaltextrun"/>
          <w:rFonts w:eastAsiaTheme="minorEastAsia"/>
          <w:color w:val="000000" w:themeColor="text1"/>
        </w:rPr>
        <w:t xml:space="preserve"> it is likely that members of Nocticolidae A and B represent members of at least two distinct genera. Broader sampling across Asia and Africa will potentially reveal further diversity within the family. We have identified some morphological characters that appear to align with relationships estimated from molecular data. We propose a potential synapomorphy of members of </w:t>
      </w:r>
      <w:r w:rsidRPr="005C7FF0">
        <w:rPr>
          <w:rStyle w:val="spellingerror"/>
          <w:rFonts w:eastAsia="Calibri"/>
          <w:color w:val="000000" w:themeColor="text1"/>
        </w:rPr>
        <w:t>Nocticolidae</w:t>
      </w:r>
      <w:r w:rsidRPr="005C7FF0">
        <w:rPr>
          <w:rStyle w:val="normaltextrun"/>
          <w:rFonts w:eastAsiaTheme="minorEastAsia"/>
          <w:color w:val="000000" w:themeColor="text1"/>
        </w:rPr>
        <w:t xml:space="preserve"> A: a group of </w:t>
      </w:r>
      <w:proofErr w:type="gramStart"/>
      <w:r w:rsidRPr="005C7FF0">
        <w:rPr>
          <w:rStyle w:val="normaltextrun"/>
          <w:rFonts w:eastAsiaTheme="minorEastAsia"/>
          <w:color w:val="000000" w:themeColor="text1"/>
        </w:rPr>
        <w:t>large scleroti</w:t>
      </w:r>
      <w:r w:rsidR="005D4910">
        <w:rPr>
          <w:rStyle w:val="normaltextrun"/>
          <w:rFonts w:eastAsiaTheme="minorEastAsia"/>
          <w:color w:val="000000" w:themeColor="text1"/>
        </w:rPr>
        <w:t>z</w:t>
      </w:r>
      <w:r w:rsidRPr="005C7FF0">
        <w:rPr>
          <w:rStyle w:val="normaltextrun"/>
          <w:rFonts w:eastAsiaTheme="minorEastAsia"/>
          <w:color w:val="000000" w:themeColor="text1"/>
        </w:rPr>
        <w:t>ed</w:t>
      </w:r>
      <w:proofErr w:type="gramEnd"/>
      <w:r w:rsidRPr="005C7FF0">
        <w:rPr>
          <w:rStyle w:val="normaltextrun"/>
          <w:rFonts w:eastAsiaTheme="minorEastAsia"/>
          <w:color w:val="000000" w:themeColor="text1"/>
        </w:rPr>
        <w:t xml:space="preserve"> spines on the ventral surface of segments 4–6 of the female cerci (Roth 1988</w:t>
      </w:r>
      <w:r w:rsidR="00430309" w:rsidRPr="005C7FF0">
        <w:rPr>
          <w:rStyle w:val="normaltextrun"/>
          <w:rFonts w:eastAsiaTheme="minorEastAsia"/>
          <w:color w:val="000000" w:themeColor="text1"/>
        </w:rPr>
        <w:t>, Figure 1D</w:t>
      </w:r>
      <w:r w:rsidR="007B073F" w:rsidRPr="005C7FF0">
        <w:rPr>
          <w:rStyle w:val="normaltextrun"/>
          <w:rFonts w:eastAsiaTheme="minorEastAsia"/>
          <w:color w:val="000000" w:themeColor="text1"/>
        </w:rPr>
        <w:t>;</w:t>
      </w:r>
      <w:r w:rsidRPr="005C7FF0">
        <w:rPr>
          <w:rStyle w:val="normaltextrun"/>
          <w:rFonts w:eastAsiaTheme="minorEastAsia"/>
          <w:color w:val="000000" w:themeColor="text1"/>
        </w:rPr>
        <w:t xml:space="preserve"> Trotter et al. 2017</w:t>
      </w:r>
      <w:r w:rsidR="007B073F" w:rsidRPr="005C7FF0">
        <w:rPr>
          <w:rStyle w:val="normaltextrun"/>
          <w:rFonts w:eastAsiaTheme="minorEastAsia"/>
          <w:color w:val="000000" w:themeColor="text1"/>
        </w:rPr>
        <w:t>,</w:t>
      </w:r>
      <w:r w:rsidRPr="005C7FF0">
        <w:rPr>
          <w:rStyle w:val="normaltextrun"/>
          <w:rFonts w:eastAsiaTheme="minorEastAsia"/>
          <w:color w:val="000000" w:themeColor="text1"/>
        </w:rPr>
        <w:t xml:space="preserve"> Figure </w:t>
      </w:r>
      <w:r w:rsidR="007B073F" w:rsidRPr="005C7FF0">
        <w:rPr>
          <w:rStyle w:val="normaltextrun"/>
          <w:rFonts w:eastAsiaTheme="minorEastAsia"/>
          <w:color w:val="000000" w:themeColor="text1"/>
        </w:rPr>
        <w:t>5G</w:t>
      </w:r>
      <w:r w:rsidR="00031684">
        <w:rPr>
          <w:rStyle w:val="normaltextrun"/>
          <w:rFonts w:eastAsiaTheme="minorEastAsia"/>
          <w:color w:val="000000" w:themeColor="text1"/>
        </w:rPr>
        <w:t>–</w:t>
      </w:r>
      <w:r w:rsidR="007B073F" w:rsidRPr="005C7FF0">
        <w:rPr>
          <w:rStyle w:val="normaltextrun"/>
          <w:rFonts w:eastAsiaTheme="minorEastAsia"/>
          <w:color w:val="000000" w:themeColor="text1"/>
        </w:rPr>
        <w:t>H</w:t>
      </w:r>
      <w:r w:rsidRPr="005C7FF0">
        <w:rPr>
          <w:rStyle w:val="normaltextrun"/>
          <w:rFonts w:eastAsiaTheme="minorEastAsia"/>
          <w:color w:val="000000" w:themeColor="text1"/>
        </w:rPr>
        <w:t xml:space="preserve">). This has been observed in all available females of </w:t>
      </w:r>
      <w:r w:rsidRPr="005C7FF0">
        <w:rPr>
          <w:rStyle w:val="spellingerror"/>
          <w:rFonts w:eastAsia="Calibri"/>
          <w:color w:val="000000" w:themeColor="text1"/>
        </w:rPr>
        <w:t>Nocticolidae</w:t>
      </w:r>
      <w:r w:rsidRPr="005C7FF0">
        <w:rPr>
          <w:rStyle w:val="normaltextrun"/>
          <w:rFonts w:eastAsiaTheme="minorEastAsia"/>
          <w:color w:val="000000" w:themeColor="text1"/>
        </w:rPr>
        <w:t xml:space="preserve"> A, and none of the observed females of </w:t>
      </w:r>
      <w:r w:rsidRPr="005C7FF0">
        <w:rPr>
          <w:rStyle w:val="spellingerror"/>
          <w:rFonts w:eastAsia="Calibri"/>
          <w:color w:val="000000" w:themeColor="text1"/>
        </w:rPr>
        <w:t xml:space="preserve">Nocticolidae </w:t>
      </w:r>
      <w:r w:rsidRPr="005C7FF0">
        <w:rPr>
          <w:rStyle w:val="normaltextrun"/>
          <w:rFonts w:eastAsiaTheme="minorEastAsia"/>
          <w:color w:val="000000" w:themeColor="text1"/>
        </w:rPr>
        <w:t xml:space="preserve">B. This character could provide some guidance for the placement of species without genetic data. For example, </w:t>
      </w:r>
      <w:proofErr w:type="spellStart"/>
      <w:r w:rsidR="002472A9" w:rsidRPr="005C7FF0">
        <w:rPr>
          <w:rStyle w:val="spellingerror"/>
          <w:rFonts w:eastAsia="Calibri"/>
          <w:i/>
          <w:iCs/>
          <w:color w:val="000000" w:themeColor="text1"/>
        </w:rPr>
        <w:t>Nocticola</w:t>
      </w:r>
      <w:proofErr w:type="spellEnd"/>
      <w:r w:rsidRPr="005C7FF0">
        <w:rPr>
          <w:rStyle w:val="spellingerror"/>
          <w:rFonts w:eastAsia="Calibri"/>
          <w:i/>
          <w:iCs/>
          <w:color w:val="000000" w:themeColor="text1"/>
        </w:rPr>
        <w:t xml:space="preserve"> </w:t>
      </w:r>
      <w:proofErr w:type="spellStart"/>
      <w:r w:rsidRPr="005C7FF0">
        <w:rPr>
          <w:rStyle w:val="spellingerror"/>
          <w:rFonts w:eastAsia="Calibri"/>
          <w:i/>
          <w:iCs/>
          <w:color w:val="000000" w:themeColor="text1"/>
        </w:rPr>
        <w:t>termitofila</w:t>
      </w:r>
      <w:proofErr w:type="spellEnd"/>
      <w:r w:rsidRPr="005C7FF0">
        <w:rPr>
          <w:rStyle w:val="normaltextrun"/>
          <w:rFonts w:eastAsiaTheme="minorEastAsia"/>
          <w:color w:val="000000" w:themeColor="text1"/>
        </w:rPr>
        <w:t xml:space="preserve"> (Vietnam) and </w:t>
      </w:r>
      <w:r w:rsidRPr="005C7FF0">
        <w:rPr>
          <w:rStyle w:val="spellingerror"/>
          <w:rFonts w:eastAsia="Calibri"/>
          <w:i/>
          <w:iCs/>
          <w:color w:val="000000" w:themeColor="text1"/>
        </w:rPr>
        <w:t>N</w:t>
      </w:r>
      <w:r w:rsidR="002472A9" w:rsidRPr="005C7FF0">
        <w:rPr>
          <w:rStyle w:val="spellingerror"/>
          <w:rFonts w:eastAsia="Calibri"/>
          <w:i/>
          <w:iCs/>
          <w:color w:val="000000" w:themeColor="text1"/>
        </w:rPr>
        <w:t>.</w:t>
      </w:r>
      <w:r w:rsidRPr="005C7FF0">
        <w:rPr>
          <w:rStyle w:val="spellingerror"/>
          <w:rFonts w:eastAsia="Calibri"/>
          <w:i/>
          <w:iCs/>
          <w:color w:val="000000" w:themeColor="text1"/>
        </w:rPr>
        <w:t xml:space="preserve"> </w:t>
      </w:r>
      <w:proofErr w:type="spellStart"/>
      <w:r w:rsidRPr="005C7FF0">
        <w:rPr>
          <w:rStyle w:val="spellingerror"/>
          <w:rFonts w:eastAsia="Calibri"/>
          <w:i/>
          <w:iCs/>
          <w:color w:val="000000" w:themeColor="text1"/>
        </w:rPr>
        <w:t>rohini</w:t>
      </w:r>
      <w:proofErr w:type="spellEnd"/>
      <w:r w:rsidRPr="005C7FF0">
        <w:rPr>
          <w:rStyle w:val="spellingerror"/>
          <w:rFonts w:eastAsia="Calibri"/>
          <w:i/>
          <w:iCs/>
          <w:color w:val="000000" w:themeColor="text1"/>
        </w:rPr>
        <w:t xml:space="preserve"> </w:t>
      </w:r>
      <w:r w:rsidRPr="005C7FF0">
        <w:rPr>
          <w:rStyle w:val="normaltextrun"/>
          <w:rFonts w:eastAsiaTheme="minorEastAsia"/>
          <w:color w:val="000000" w:themeColor="text1"/>
        </w:rPr>
        <w:t>(=</w:t>
      </w:r>
      <w:proofErr w:type="spellStart"/>
      <w:r w:rsidRPr="005C7FF0">
        <w:rPr>
          <w:rStyle w:val="spellingerror"/>
          <w:rFonts w:eastAsia="Calibri"/>
          <w:i/>
          <w:iCs/>
          <w:color w:val="000000" w:themeColor="text1"/>
        </w:rPr>
        <w:t>Paraloboptera</w:t>
      </w:r>
      <w:proofErr w:type="spellEnd"/>
      <w:r w:rsidRPr="005C7FF0">
        <w:rPr>
          <w:rStyle w:val="spellingerror"/>
          <w:rFonts w:eastAsia="Calibri"/>
          <w:i/>
          <w:iCs/>
          <w:color w:val="000000" w:themeColor="text1"/>
        </w:rPr>
        <w:t xml:space="preserve"> </w:t>
      </w:r>
      <w:proofErr w:type="spellStart"/>
      <w:r w:rsidRPr="005C7FF0">
        <w:rPr>
          <w:rStyle w:val="spellingerror"/>
          <w:rFonts w:eastAsia="Calibri"/>
          <w:i/>
          <w:iCs/>
          <w:color w:val="000000" w:themeColor="text1"/>
        </w:rPr>
        <w:t>rohini</w:t>
      </w:r>
      <w:proofErr w:type="spellEnd"/>
      <w:r w:rsidRPr="005C7FF0">
        <w:rPr>
          <w:rStyle w:val="normaltextrun"/>
          <w:rFonts w:eastAsiaTheme="minorEastAsia"/>
          <w:color w:val="000000" w:themeColor="text1"/>
        </w:rPr>
        <w:t>, Sri Lanka) ha</w:t>
      </w:r>
      <w:r w:rsidR="002472A9" w:rsidRPr="005C7FF0">
        <w:rPr>
          <w:rStyle w:val="normaltextrun"/>
          <w:rFonts w:eastAsiaTheme="minorEastAsia"/>
          <w:color w:val="000000" w:themeColor="text1"/>
        </w:rPr>
        <w:t>ve</w:t>
      </w:r>
      <w:r w:rsidRPr="005C7FF0">
        <w:rPr>
          <w:rStyle w:val="normaltextrun"/>
          <w:rFonts w:eastAsiaTheme="minorEastAsia"/>
          <w:color w:val="000000" w:themeColor="text1"/>
        </w:rPr>
        <w:t xml:space="preserve"> females with speciali</w:t>
      </w:r>
      <w:r w:rsidR="00981A31">
        <w:rPr>
          <w:rStyle w:val="normaltextrun"/>
          <w:rFonts w:eastAsiaTheme="minorEastAsia"/>
          <w:color w:val="000000" w:themeColor="text1"/>
        </w:rPr>
        <w:t>z</w:t>
      </w:r>
      <w:r w:rsidRPr="005C7FF0">
        <w:rPr>
          <w:rStyle w:val="normaltextrun"/>
          <w:rFonts w:eastAsiaTheme="minorEastAsia"/>
          <w:color w:val="000000" w:themeColor="text1"/>
        </w:rPr>
        <w:t>ed spines on cerci (Silvestri 1946</w:t>
      </w:r>
      <w:r w:rsidR="003344A5" w:rsidRPr="005C7FF0">
        <w:rPr>
          <w:rStyle w:val="normaltextrun"/>
          <w:rFonts w:eastAsiaTheme="minorEastAsia"/>
          <w:color w:val="000000" w:themeColor="text1"/>
        </w:rPr>
        <w:t>;</w:t>
      </w:r>
      <w:r w:rsidRPr="005C7FF0">
        <w:rPr>
          <w:rStyle w:val="normaltextrun"/>
          <w:rFonts w:eastAsiaTheme="minorEastAsia"/>
          <w:color w:val="000000" w:themeColor="text1"/>
        </w:rPr>
        <w:t xml:space="preserve"> Fernando 1962), suggesting a close relationship with </w:t>
      </w:r>
      <w:r w:rsidR="002472A9" w:rsidRPr="005C7FF0">
        <w:rPr>
          <w:rStyle w:val="spellingerror"/>
          <w:rFonts w:eastAsia="Calibri"/>
          <w:color w:val="000000" w:themeColor="text1"/>
        </w:rPr>
        <w:t>Nocticolidae</w:t>
      </w:r>
      <w:r w:rsidR="002472A9" w:rsidRPr="005C7FF0">
        <w:rPr>
          <w:rStyle w:val="normaltextrun"/>
          <w:rFonts w:eastAsiaTheme="minorEastAsia"/>
          <w:color w:val="000000" w:themeColor="text1"/>
        </w:rPr>
        <w:t xml:space="preserve"> </w:t>
      </w:r>
      <w:r w:rsidRPr="005C7FF0">
        <w:rPr>
          <w:rStyle w:val="normaltextrun"/>
          <w:rFonts w:eastAsiaTheme="minorEastAsia"/>
          <w:color w:val="000000" w:themeColor="text1"/>
        </w:rPr>
        <w:t xml:space="preserve">A, while </w:t>
      </w:r>
      <w:r w:rsidRPr="005C7FF0">
        <w:rPr>
          <w:rStyle w:val="spellingerror"/>
          <w:rFonts w:eastAsia="Calibri"/>
          <w:i/>
          <w:iCs/>
          <w:color w:val="000000" w:themeColor="text1"/>
        </w:rPr>
        <w:t xml:space="preserve">N. </w:t>
      </w:r>
      <w:r w:rsidRPr="005C7FF0">
        <w:rPr>
          <w:rStyle w:val="normaltextrun"/>
          <w:rFonts w:eastAsiaTheme="minorEastAsia"/>
          <w:i/>
          <w:iCs/>
          <w:color w:val="000000" w:themeColor="text1"/>
        </w:rPr>
        <w:t xml:space="preserve">sinensis </w:t>
      </w:r>
      <w:r w:rsidRPr="005C7FF0">
        <w:rPr>
          <w:rStyle w:val="normaltextrun"/>
          <w:rFonts w:eastAsiaTheme="minorEastAsia"/>
          <w:color w:val="000000" w:themeColor="text1"/>
        </w:rPr>
        <w:t xml:space="preserve">(Hong Kong), </w:t>
      </w:r>
      <w:r w:rsidRPr="005C7FF0">
        <w:rPr>
          <w:rStyle w:val="spellingerror"/>
          <w:rFonts w:eastAsia="Calibri"/>
          <w:i/>
          <w:iCs/>
          <w:color w:val="000000" w:themeColor="text1"/>
        </w:rPr>
        <w:t xml:space="preserve">N. </w:t>
      </w:r>
      <w:proofErr w:type="spellStart"/>
      <w:r w:rsidRPr="005C7FF0">
        <w:rPr>
          <w:rStyle w:val="spellingerror"/>
          <w:rFonts w:eastAsia="Calibri"/>
          <w:i/>
          <w:iCs/>
          <w:color w:val="000000" w:themeColor="text1"/>
        </w:rPr>
        <w:t>uenoi</w:t>
      </w:r>
      <w:proofErr w:type="spellEnd"/>
      <w:r w:rsidRPr="005C7FF0">
        <w:rPr>
          <w:rStyle w:val="normaltextrun"/>
          <w:rFonts w:eastAsiaTheme="minorEastAsia"/>
          <w:color w:val="000000" w:themeColor="text1"/>
        </w:rPr>
        <w:t xml:space="preserve"> (Japan)</w:t>
      </w:r>
      <w:r w:rsidR="00363F07">
        <w:rPr>
          <w:rStyle w:val="normaltextrun"/>
          <w:rFonts w:eastAsiaTheme="minorEastAsia"/>
          <w:color w:val="000000" w:themeColor="text1"/>
        </w:rPr>
        <w:t>,</w:t>
      </w:r>
      <w:r w:rsidRPr="005C7FF0">
        <w:rPr>
          <w:rStyle w:val="normaltextrun"/>
          <w:rFonts w:eastAsiaTheme="minorEastAsia"/>
          <w:color w:val="000000" w:themeColor="text1"/>
        </w:rPr>
        <w:t xml:space="preserve"> and </w:t>
      </w:r>
      <w:r w:rsidRPr="005C7FF0">
        <w:rPr>
          <w:rStyle w:val="spellingerror"/>
          <w:rFonts w:eastAsia="Calibri"/>
          <w:i/>
          <w:iCs/>
          <w:color w:val="000000" w:themeColor="text1"/>
        </w:rPr>
        <w:t>N</w:t>
      </w:r>
      <w:r w:rsidR="002472A9" w:rsidRPr="005C7FF0">
        <w:rPr>
          <w:rStyle w:val="spellingerror"/>
          <w:rFonts w:eastAsia="Calibri"/>
          <w:i/>
          <w:iCs/>
          <w:color w:val="000000" w:themeColor="text1"/>
        </w:rPr>
        <w:t>.</w:t>
      </w:r>
      <w:r w:rsidRPr="005C7FF0">
        <w:rPr>
          <w:rStyle w:val="spellingerror"/>
          <w:rFonts w:eastAsia="Calibri"/>
          <w:i/>
          <w:iCs/>
          <w:color w:val="000000" w:themeColor="text1"/>
        </w:rPr>
        <w:t xml:space="preserve"> </w:t>
      </w:r>
      <w:r w:rsidRPr="005C7FF0">
        <w:rPr>
          <w:rStyle w:val="normaltextrun"/>
          <w:rFonts w:eastAsiaTheme="minorEastAsia"/>
          <w:color w:val="000000" w:themeColor="text1"/>
        </w:rPr>
        <w:t>sp. China do not (Silvestri 1946</w:t>
      </w:r>
      <w:r w:rsidR="003344A5" w:rsidRPr="005C7FF0">
        <w:rPr>
          <w:rStyle w:val="normaltextrun"/>
          <w:rFonts w:eastAsiaTheme="minorEastAsia"/>
          <w:color w:val="000000" w:themeColor="text1"/>
        </w:rPr>
        <w:t>;</w:t>
      </w:r>
      <w:r w:rsidRPr="005C7FF0">
        <w:rPr>
          <w:rStyle w:val="normaltextrun"/>
          <w:rFonts w:eastAsiaTheme="minorEastAsia"/>
          <w:color w:val="000000" w:themeColor="text1"/>
        </w:rPr>
        <w:t xml:space="preserve"> </w:t>
      </w:r>
      <w:proofErr w:type="spellStart"/>
      <w:r w:rsidRPr="005C7FF0">
        <w:rPr>
          <w:rStyle w:val="normaltextrun"/>
          <w:rFonts w:eastAsiaTheme="minorEastAsia"/>
          <w:color w:val="000000" w:themeColor="text1"/>
        </w:rPr>
        <w:t>Asahina</w:t>
      </w:r>
      <w:proofErr w:type="spellEnd"/>
      <w:r w:rsidRPr="005C7FF0">
        <w:rPr>
          <w:rStyle w:val="normaltextrun"/>
          <w:rFonts w:eastAsiaTheme="minorEastAsia"/>
          <w:color w:val="000000" w:themeColor="text1"/>
        </w:rPr>
        <w:t xml:space="preserve"> 1974</w:t>
      </w:r>
      <w:r w:rsidR="003344A5" w:rsidRPr="005C7FF0">
        <w:rPr>
          <w:rStyle w:val="normaltextrun"/>
          <w:rFonts w:eastAsiaTheme="minorEastAsia"/>
          <w:color w:val="000000" w:themeColor="text1"/>
        </w:rPr>
        <w:t>;</w:t>
      </w:r>
      <w:r w:rsidRPr="005C7FF0">
        <w:rPr>
          <w:rStyle w:val="normaltextrun"/>
          <w:rFonts w:eastAsiaTheme="minorEastAsia"/>
          <w:color w:val="000000" w:themeColor="text1"/>
        </w:rPr>
        <w:t xml:space="preserve"> Wang et al. 2017, </w:t>
      </w:r>
      <w:proofErr w:type="spellStart"/>
      <w:r w:rsidRPr="005C7FF0">
        <w:rPr>
          <w:rStyle w:val="spellingerror"/>
          <w:rFonts w:eastAsia="Calibri"/>
          <w:color w:val="000000" w:themeColor="text1"/>
        </w:rPr>
        <w:t>Zong</w:t>
      </w:r>
      <w:r w:rsidR="00363F07">
        <w:rPr>
          <w:rStyle w:val="spellingerror"/>
          <w:rFonts w:eastAsia="Calibri"/>
          <w:color w:val="000000" w:themeColor="text1"/>
        </w:rPr>
        <w:t>q</w:t>
      </w:r>
      <w:r w:rsidRPr="005C7FF0">
        <w:rPr>
          <w:rStyle w:val="spellingerror"/>
          <w:rFonts w:eastAsia="Calibri"/>
          <w:color w:val="000000" w:themeColor="text1"/>
        </w:rPr>
        <w:t>ing</w:t>
      </w:r>
      <w:proofErr w:type="spellEnd"/>
      <w:r w:rsidRPr="005C7FF0">
        <w:rPr>
          <w:rStyle w:val="normaltextrun"/>
          <w:rFonts w:eastAsiaTheme="minorEastAsia"/>
          <w:color w:val="000000" w:themeColor="text1"/>
        </w:rPr>
        <w:t xml:space="preserve"> Wang personal communication), suggesting a close relationship to Nocticolidae B. Unfortunately, no females are known for</w:t>
      </w:r>
      <w:r w:rsidR="002472A9" w:rsidRPr="005C7FF0">
        <w:rPr>
          <w:rStyle w:val="normaltextrun"/>
          <w:rFonts w:eastAsiaTheme="minorEastAsia"/>
          <w:color w:val="000000" w:themeColor="text1"/>
        </w:rPr>
        <w:t xml:space="preserve"> the genus</w:t>
      </w:r>
      <w:r w:rsidRPr="005C7FF0">
        <w:rPr>
          <w:rStyle w:val="normaltextrun"/>
          <w:rFonts w:eastAsiaTheme="minorEastAsia"/>
          <w:color w:val="000000" w:themeColor="text1"/>
        </w:rPr>
        <w:t xml:space="preserve"> </w:t>
      </w:r>
      <w:proofErr w:type="spellStart"/>
      <w:r w:rsidRPr="005C7FF0">
        <w:rPr>
          <w:rStyle w:val="normaltextrun"/>
          <w:rFonts w:eastAsiaTheme="minorEastAsia"/>
          <w:i/>
          <w:iCs/>
          <w:color w:val="000000" w:themeColor="text1"/>
        </w:rPr>
        <w:t>Helmablatta</w:t>
      </w:r>
      <w:proofErr w:type="spellEnd"/>
      <w:r w:rsidRPr="005C7FF0">
        <w:rPr>
          <w:rStyle w:val="spellingerror"/>
          <w:rFonts w:eastAsia="Calibri"/>
          <w:color w:val="000000" w:themeColor="text1"/>
        </w:rPr>
        <w:t>,</w:t>
      </w:r>
      <w:r w:rsidRPr="005C7FF0">
        <w:rPr>
          <w:rStyle w:val="normaltextrun"/>
          <w:rFonts w:eastAsiaTheme="minorEastAsia"/>
          <w:color w:val="000000" w:themeColor="text1"/>
        </w:rPr>
        <w:t xml:space="preserve"> but females in </w:t>
      </w:r>
      <w:proofErr w:type="spellStart"/>
      <w:r w:rsidRPr="005C7FF0">
        <w:rPr>
          <w:rStyle w:val="spellingerror"/>
          <w:rFonts w:eastAsia="Calibri"/>
          <w:i/>
          <w:iCs/>
          <w:color w:val="000000" w:themeColor="text1"/>
        </w:rPr>
        <w:t>Speleoblatta</w:t>
      </w:r>
      <w:proofErr w:type="spellEnd"/>
      <w:r w:rsidRPr="005C7FF0">
        <w:rPr>
          <w:rStyle w:val="normaltextrun"/>
          <w:rFonts w:eastAsiaTheme="minorEastAsia"/>
          <w:color w:val="000000" w:themeColor="text1"/>
        </w:rPr>
        <w:t xml:space="preserve"> which are likely </w:t>
      </w:r>
      <w:r w:rsidR="00363F07">
        <w:rPr>
          <w:rStyle w:val="normaltextrun"/>
          <w:rFonts w:eastAsiaTheme="minorEastAsia"/>
          <w:color w:val="000000" w:themeColor="text1"/>
        </w:rPr>
        <w:t xml:space="preserve">to be </w:t>
      </w:r>
      <w:r w:rsidRPr="005C7FF0">
        <w:rPr>
          <w:rStyle w:val="normaltextrun"/>
          <w:rFonts w:eastAsiaTheme="minorEastAsia"/>
          <w:color w:val="000000" w:themeColor="text1"/>
        </w:rPr>
        <w:t xml:space="preserve">closely related to </w:t>
      </w:r>
      <w:r w:rsidRPr="005C7FF0">
        <w:rPr>
          <w:rStyle w:val="normaltextrun"/>
          <w:rFonts w:eastAsiaTheme="minorEastAsia"/>
          <w:i/>
          <w:iCs/>
          <w:color w:val="000000" w:themeColor="text1"/>
        </w:rPr>
        <w:t xml:space="preserve">H. </w:t>
      </w:r>
      <w:proofErr w:type="spellStart"/>
      <w:r w:rsidRPr="005C7FF0">
        <w:rPr>
          <w:rStyle w:val="normaltextrun"/>
          <w:rFonts w:eastAsiaTheme="minorEastAsia"/>
          <w:i/>
          <w:iCs/>
          <w:color w:val="000000" w:themeColor="text1"/>
        </w:rPr>
        <w:t>louisrothi</w:t>
      </w:r>
      <w:proofErr w:type="spellEnd"/>
      <w:r w:rsidRPr="005C7FF0">
        <w:rPr>
          <w:rStyle w:val="normaltextrun"/>
          <w:rFonts w:eastAsiaTheme="minorEastAsia"/>
          <w:color w:val="000000" w:themeColor="text1"/>
        </w:rPr>
        <w:t xml:space="preserve">, do not </w:t>
      </w:r>
      <w:r w:rsidR="000D15D9">
        <w:rPr>
          <w:rStyle w:val="normaltextrun"/>
          <w:rFonts w:eastAsiaTheme="minorEastAsia"/>
          <w:color w:val="000000" w:themeColor="text1"/>
        </w:rPr>
        <w:t>have</w:t>
      </w:r>
      <w:r w:rsidR="000D15D9" w:rsidRPr="005C7FF0">
        <w:rPr>
          <w:rStyle w:val="normaltextrun"/>
          <w:rFonts w:eastAsiaTheme="minorEastAsia"/>
          <w:color w:val="000000" w:themeColor="text1"/>
        </w:rPr>
        <w:t xml:space="preserve"> </w:t>
      </w:r>
      <w:r w:rsidRPr="005C7FF0">
        <w:rPr>
          <w:rStyle w:val="normaltextrun"/>
          <w:rFonts w:eastAsiaTheme="minorEastAsia"/>
          <w:color w:val="000000" w:themeColor="text1"/>
        </w:rPr>
        <w:t>this morphology (</w:t>
      </w:r>
      <w:proofErr w:type="spellStart"/>
      <w:r w:rsidR="003344A5" w:rsidRPr="005C7FF0">
        <w:rPr>
          <w:rStyle w:val="normaltextrun"/>
          <w:rFonts w:eastAsiaTheme="minorEastAsia"/>
          <w:color w:val="000000" w:themeColor="text1"/>
        </w:rPr>
        <w:t>Chopard</w:t>
      </w:r>
      <w:proofErr w:type="spellEnd"/>
      <w:r w:rsidR="003344A5" w:rsidRPr="005C7FF0">
        <w:rPr>
          <w:rStyle w:val="normaltextrun"/>
          <w:rFonts w:eastAsiaTheme="minorEastAsia"/>
          <w:color w:val="000000" w:themeColor="text1"/>
        </w:rPr>
        <w:t xml:space="preserve"> 1932; </w:t>
      </w:r>
      <w:proofErr w:type="spellStart"/>
      <w:r w:rsidRPr="005C7FF0">
        <w:rPr>
          <w:rStyle w:val="spellingerror"/>
          <w:rFonts w:eastAsia="Calibri"/>
          <w:color w:val="000000" w:themeColor="text1"/>
        </w:rPr>
        <w:t>Vidlicka</w:t>
      </w:r>
      <w:proofErr w:type="spellEnd"/>
      <w:r w:rsidRPr="005C7FF0">
        <w:rPr>
          <w:rStyle w:val="spellingerror"/>
          <w:rFonts w:eastAsia="Calibri"/>
          <w:color w:val="000000" w:themeColor="text1"/>
        </w:rPr>
        <w:t xml:space="preserve"> </w:t>
      </w:r>
      <w:r w:rsidRPr="005C7FF0">
        <w:rPr>
          <w:rStyle w:val="normaltextrun"/>
          <w:rFonts w:eastAsiaTheme="minorEastAsia"/>
          <w:color w:val="000000" w:themeColor="text1"/>
        </w:rPr>
        <w:t xml:space="preserve">et al. 2003, 2017). </w:t>
      </w:r>
    </w:p>
    <w:p w14:paraId="69093DBA" w14:textId="700F4AAA" w:rsidR="005F7594" w:rsidRPr="005C7FF0" w:rsidRDefault="005F7594" w:rsidP="002C391C">
      <w:pPr>
        <w:spacing w:line="480" w:lineRule="auto"/>
        <w:ind w:firstLine="720"/>
      </w:pPr>
      <w:r w:rsidRPr="005C7FF0">
        <w:rPr>
          <w:rStyle w:val="normaltextrun"/>
          <w:rFonts w:eastAsiaTheme="minorEastAsia"/>
          <w:color w:val="000000" w:themeColor="text1"/>
        </w:rPr>
        <w:t xml:space="preserve">There have been minimal collections of female </w:t>
      </w:r>
      <w:r w:rsidRPr="005C7FF0">
        <w:rPr>
          <w:rStyle w:val="spellingerror"/>
          <w:rFonts w:eastAsia="Calibri"/>
          <w:color w:val="000000" w:themeColor="text1"/>
        </w:rPr>
        <w:t xml:space="preserve">Nocticolidae </w:t>
      </w:r>
      <w:r w:rsidRPr="005C7FF0">
        <w:rPr>
          <w:rStyle w:val="normaltextrun"/>
          <w:rFonts w:eastAsiaTheme="minorEastAsia"/>
          <w:color w:val="000000" w:themeColor="text1"/>
        </w:rPr>
        <w:t xml:space="preserve">from Africa. This is because most studies have involved collecting flying insects in malaise traps and all </w:t>
      </w:r>
      <w:r w:rsidRPr="005C7FF0">
        <w:rPr>
          <w:rStyle w:val="spellingerror"/>
          <w:rFonts w:eastAsia="Calibri"/>
          <w:color w:val="000000" w:themeColor="text1"/>
        </w:rPr>
        <w:t xml:space="preserve">nocticolid </w:t>
      </w:r>
      <w:r w:rsidRPr="005C7FF0">
        <w:rPr>
          <w:rStyle w:val="normaltextrun"/>
          <w:rFonts w:eastAsiaTheme="minorEastAsia"/>
          <w:color w:val="000000" w:themeColor="text1"/>
        </w:rPr>
        <w:t xml:space="preserve">females are apterous or have severely reduced wings (Andersen and </w:t>
      </w:r>
      <w:proofErr w:type="spellStart"/>
      <w:r w:rsidRPr="005C7FF0">
        <w:t>Kjaerandsen</w:t>
      </w:r>
      <w:proofErr w:type="spellEnd"/>
      <w:r w:rsidRPr="005C7FF0">
        <w:rPr>
          <w:rStyle w:val="normaltextrun"/>
          <w:rFonts w:eastAsiaTheme="minorEastAsia"/>
          <w:color w:val="000000" w:themeColor="text1"/>
        </w:rPr>
        <w:t xml:space="preserve"> </w:t>
      </w:r>
      <w:r w:rsidRPr="005C7FF0">
        <w:rPr>
          <w:rStyle w:val="normaltextrun"/>
          <w:rFonts w:eastAsiaTheme="minorEastAsia"/>
          <w:color w:val="000000" w:themeColor="text1"/>
        </w:rPr>
        <w:lastRenderedPageBreak/>
        <w:t xml:space="preserve">1995). The type series of </w:t>
      </w:r>
      <w:r w:rsidRPr="005C7FF0">
        <w:rPr>
          <w:rStyle w:val="spellingerror"/>
          <w:rFonts w:eastAsia="Calibri"/>
          <w:i/>
          <w:iCs/>
          <w:color w:val="000000" w:themeColor="text1"/>
        </w:rPr>
        <w:t xml:space="preserve">N. </w:t>
      </w:r>
      <w:proofErr w:type="spellStart"/>
      <w:r w:rsidRPr="005C7FF0">
        <w:rPr>
          <w:rStyle w:val="spellingerror"/>
          <w:rFonts w:eastAsia="Calibri"/>
          <w:i/>
          <w:iCs/>
          <w:color w:val="000000" w:themeColor="text1"/>
        </w:rPr>
        <w:t>jodarlingtonae</w:t>
      </w:r>
      <w:proofErr w:type="spellEnd"/>
      <w:r w:rsidRPr="005C7FF0">
        <w:rPr>
          <w:rStyle w:val="spellingerror"/>
          <w:rFonts w:eastAsia="Calibri"/>
          <w:color w:val="000000" w:themeColor="text1"/>
        </w:rPr>
        <w:t xml:space="preserve"> </w:t>
      </w:r>
      <w:r w:rsidRPr="005C7FF0">
        <w:rPr>
          <w:rStyle w:val="normaltextrun"/>
          <w:rFonts w:eastAsiaTheme="minorEastAsia"/>
          <w:color w:val="000000" w:themeColor="text1"/>
        </w:rPr>
        <w:t xml:space="preserve">(Kenya) was collected from termite mounds and included females, but their description is basic and does not mention cerci (Roth 2003). Females of one species from Africa, </w:t>
      </w:r>
      <w:proofErr w:type="spellStart"/>
      <w:r w:rsidRPr="005C7FF0">
        <w:rPr>
          <w:rStyle w:val="normaltextrun"/>
          <w:rFonts w:eastAsiaTheme="minorEastAsia"/>
          <w:i/>
          <w:iCs/>
          <w:color w:val="000000" w:themeColor="text1"/>
        </w:rPr>
        <w:t>Alluaudellina</w:t>
      </w:r>
      <w:proofErr w:type="spellEnd"/>
      <w:r w:rsidRPr="005C7FF0">
        <w:rPr>
          <w:rStyle w:val="normaltextrun"/>
          <w:rFonts w:eastAsiaTheme="minorEastAsia"/>
          <w:i/>
          <w:iCs/>
          <w:color w:val="000000" w:themeColor="text1"/>
        </w:rPr>
        <w:t xml:space="preserve"> </w:t>
      </w:r>
      <w:proofErr w:type="spellStart"/>
      <w:r w:rsidRPr="005C7FF0">
        <w:rPr>
          <w:rStyle w:val="normaltextrun"/>
          <w:rFonts w:eastAsiaTheme="minorEastAsia"/>
          <w:i/>
          <w:iCs/>
          <w:color w:val="000000" w:themeColor="text1"/>
        </w:rPr>
        <w:t>cavernicola</w:t>
      </w:r>
      <w:proofErr w:type="spellEnd"/>
      <w:r w:rsidRPr="005C7FF0">
        <w:rPr>
          <w:rStyle w:val="normaltextrun"/>
          <w:rFonts w:eastAsiaTheme="minorEastAsia"/>
          <w:color w:val="000000" w:themeColor="text1"/>
        </w:rPr>
        <w:t xml:space="preserve"> do not contain specialised spines on cerci (</w:t>
      </w:r>
      <w:proofErr w:type="spellStart"/>
      <w:r w:rsidRPr="005C7FF0">
        <w:rPr>
          <w:rStyle w:val="normaltextrun"/>
          <w:rFonts w:eastAsiaTheme="minorEastAsia"/>
          <w:color w:val="000000" w:themeColor="text1"/>
        </w:rPr>
        <w:t>Chopard</w:t>
      </w:r>
      <w:proofErr w:type="spellEnd"/>
      <w:r w:rsidRPr="005C7FF0">
        <w:rPr>
          <w:rStyle w:val="normaltextrun"/>
          <w:rFonts w:eastAsiaTheme="minorEastAsia"/>
          <w:color w:val="000000" w:themeColor="text1"/>
        </w:rPr>
        <w:t xml:space="preserve"> 1932). This genus is likely a synonym of </w:t>
      </w:r>
      <w:proofErr w:type="spellStart"/>
      <w:r w:rsidRPr="005C7FF0">
        <w:rPr>
          <w:rStyle w:val="normaltextrun"/>
          <w:rFonts w:eastAsiaTheme="minorEastAsia"/>
          <w:i/>
          <w:iCs/>
          <w:color w:val="000000" w:themeColor="text1"/>
        </w:rPr>
        <w:t>Nocticola</w:t>
      </w:r>
      <w:proofErr w:type="spellEnd"/>
      <w:r w:rsidRPr="005C7FF0">
        <w:rPr>
          <w:rStyle w:val="normaltextrun"/>
          <w:rFonts w:eastAsiaTheme="minorEastAsia"/>
          <w:i/>
          <w:iCs/>
          <w:color w:val="000000" w:themeColor="text1"/>
        </w:rPr>
        <w:t xml:space="preserve"> </w:t>
      </w:r>
      <w:r w:rsidRPr="005C7FF0">
        <w:rPr>
          <w:rStyle w:val="normaltextrun"/>
          <w:rFonts w:eastAsiaTheme="minorEastAsia"/>
          <w:color w:val="000000" w:themeColor="text1"/>
        </w:rPr>
        <w:t>(</w:t>
      </w:r>
      <w:proofErr w:type="spellStart"/>
      <w:r w:rsidRPr="005C7FF0">
        <w:rPr>
          <w:rStyle w:val="normaltextrun"/>
          <w:rFonts w:eastAsiaTheme="minorEastAsia"/>
          <w:color w:val="000000" w:themeColor="text1"/>
        </w:rPr>
        <w:t>Chopard</w:t>
      </w:r>
      <w:proofErr w:type="spellEnd"/>
      <w:r w:rsidRPr="005C7FF0">
        <w:rPr>
          <w:rStyle w:val="normaltextrun"/>
          <w:rFonts w:eastAsiaTheme="minorEastAsia"/>
          <w:color w:val="000000" w:themeColor="text1"/>
        </w:rPr>
        <w:t xml:space="preserve"> 1932, Roth 1988) and the lack of this morphology suggests that African Nocticolidae could be closely related to Nocticolidae Clade B. </w:t>
      </w:r>
    </w:p>
    <w:p w14:paraId="2291F9CA" w14:textId="337E4F9E" w:rsidR="005F7594" w:rsidRPr="005C7FF0" w:rsidRDefault="005F7594" w:rsidP="002C391C">
      <w:pPr>
        <w:spacing w:line="480" w:lineRule="auto"/>
        <w:ind w:firstLine="720"/>
        <w:rPr>
          <w:rStyle w:val="normaltextrun"/>
          <w:rFonts w:eastAsia="Calibri"/>
          <w:color w:val="000000"/>
        </w:rPr>
      </w:pPr>
      <w:r w:rsidRPr="005C7FF0">
        <w:rPr>
          <w:rStyle w:val="normaltextrun"/>
          <w:rFonts w:eastAsiaTheme="minorEastAsia"/>
          <w:color w:val="000000" w:themeColor="text1"/>
        </w:rPr>
        <w:t xml:space="preserve">Previous studies have found striking differences in male genitalia between closely related species in </w:t>
      </w:r>
      <w:proofErr w:type="spellStart"/>
      <w:r w:rsidRPr="005C7FF0">
        <w:rPr>
          <w:rStyle w:val="spellingerror"/>
          <w:rFonts w:eastAsia="Calibri"/>
          <w:i/>
          <w:iCs/>
          <w:color w:val="000000" w:themeColor="text1"/>
        </w:rPr>
        <w:t>Nocticola</w:t>
      </w:r>
      <w:proofErr w:type="spellEnd"/>
      <w:r w:rsidRPr="005C7FF0">
        <w:rPr>
          <w:rStyle w:val="spellingerror"/>
          <w:rFonts w:eastAsia="Calibri"/>
          <w:color w:val="000000" w:themeColor="text1"/>
        </w:rPr>
        <w:t xml:space="preserve"> </w:t>
      </w:r>
      <w:r w:rsidRPr="005C7FF0">
        <w:rPr>
          <w:rStyle w:val="normaltextrun"/>
          <w:rFonts w:eastAsiaTheme="minorEastAsia"/>
          <w:color w:val="000000" w:themeColor="text1"/>
        </w:rPr>
        <w:t xml:space="preserve">(Trotter et al. 2017). However, broader inferences of relationships across the family based on morphology are limited by a historical lack of detailed drawings (more recent species descriptions contain higher-level detail, </w:t>
      </w:r>
      <w:r w:rsidRPr="005C7FF0">
        <w:rPr>
          <w:rStyle w:val="spellingerror"/>
          <w:rFonts w:eastAsia="Calibri"/>
          <w:color w:val="000000" w:themeColor="text1"/>
        </w:rPr>
        <w:t>e.g.</w:t>
      </w:r>
      <w:r w:rsidR="00CC2019">
        <w:rPr>
          <w:rStyle w:val="spellingerror"/>
          <w:rFonts w:eastAsia="Calibri"/>
          <w:color w:val="000000" w:themeColor="text1"/>
        </w:rPr>
        <w:t>,</w:t>
      </w:r>
      <w:r w:rsidRPr="005C7FF0">
        <w:rPr>
          <w:rStyle w:val="spellingerror"/>
          <w:rFonts w:eastAsia="Calibri"/>
          <w:color w:val="000000" w:themeColor="text1"/>
        </w:rPr>
        <w:t xml:space="preserve"> Trotter et al. </w:t>
      </w:r>
      <w:r w:rsidRPr="005C7FF0">
        <w:rPr>
          <w:rStyle w:val="normaltextrun"/>
          <w:rFonts w:eastAsiaTheme="minorEastAsia"/>
          <w:color w:val="000000" w:themeColor="text1"/>
        </w:rPr>
        <w:t xml:space="preserve">2017, </w:t>
      </w:r>
      <w:proofErr w:type="spellStart"/>
      <w:r w:rsidRPr="005C7FF0">
        <w:rPr>
          <w:rStyle w:val="spellingerror"/>
          <w:rFonts w:eastAsia="Calibri"/>
          <w:color w:val="000000" w:themeColor="text1"/>
        </w:rPr>
        <w:t>Lucanas</w:t>
      </w:r>
      <w:proofErr w:type="spellEnd"/>
      <w:r w:rsidRPr="005C7FF0">
        <w:rPr>
          <w:rStyle w:val="spellingerror"/>
          <w:rFonts w:eastAsia="Calibri"/>
          <w:color w:val="000000" w:themeColor="text1"/>
        </w:rPr>
        <w:t xml:space="preserve"> </w:t>
      </w:r>
      <w:r w:rsidRPr="005C7FF0">
        <w:rPr>
          <w:rStyle w:val="normaltextrun"/>
          <w:rFonts w:eastAsiaTheme="minorEastAsia"/>
          <w:color w:val="000000" w:themeColor="text1"/>
        </w:rPr>
        <w:t xml:space="preserve">and Lit 2016). One genital character that aligns with our molecular results is the shape of L3d (left </w:t>
      </w:r>
      <w:proofErr w:type="spellStart"/>
      <w:r w:rsidRPr="005C7FF0">
        <w:rPr>
          <w:rStyle w:val="spellingerror"/>
          <w:rFonts w:eastAsia="Calibri"/>
          <w:color w:val="000000" w:themeColor="text1"/>
        </w:rPr>
        <w:t>phallomere</w:t>
      </w:r>
      <w:proofErr w:type="spellEnd"/>
      <w:r w:rsidRPr="005C7FF0">
        <w:rPr>
          <w:rStyle w:val="spellingerror"/>
          <w:rFonts w:eastAsia="Calibri"/>
          <w:color w:val="000000" w:themeColor="text1"/>
        </w:rPr>
        <w:t xml:space="preserve"> </w:t>
      </w:r>
      <w:r w:rsidRPr="005C7FF0">
        <w:rPr>
          <w:rStyle w:val="normaltextrun"/>
          <w:rFonts w:eastAsiaTheme="minorEastAsia"/>
          <w:color w:val="000000" w:themeColor="text1"/>
        </w:rPr>
        <w:t>3 dorsal), although data ha</w:t>
      </w:r>
      <w:r w:rsidR="00A66753">
        <w:rPr>
          <w:rStyle w:val="normaltextrun"/>
          <w:rFonts w:eastAsiaTheme="minorEastAsia"/>
          <w:color w:val="000000" w:themeColor="text1"/>
        </w:rPr>
        <w:t>ve</w:t>
      </w:r>
      <w:r w:rsidRPr="005C7FF0">
        <w:rPr>
          <w:rStyle w:val="normaltextrun"/>
          <w:rFonts w:eastAsiaTheme="minorEastAsia"/>
          <w:color w:val="000000" w:themeColor="text1"/>
        </w:rPr>
        <w:t xml:space="preserve"> not been collected for all taxa. The spear-like L3d of </w:t>
      </w:r>
      <w:r w:rsidR="008D5725" w:rsidRPr="005C7FF0">
        <w:rPr>
          <w:rStyle w:val="spellingerror"/>
          <w:rFonts w:eastAsia="Calibri"/>
          <w:color w:val="000000" w:themeColor="text1"/>
        </w:rPr>
        <w:t>Nocticolidae</w:t>
      </w:r>
      <w:r w:rsidR="008D5725" w:rsidRPr="005C7FF0">
        <w:rPr>
          <w:rStyle w:val="normaltextrun"/>
          <w:rFonts w:eastAsiaTheme="minorEastAsia"/>
          <w:color w:val="000000" w:themeColor="text1"/>
        </w:rPr>
        <w:t xml:space="preserve"> </w:t>
      </w:r>
      <w:r w:rsidRPr="005C7FF0">
        <w:rPr>
          <w:rStyle w:val="normaltextrun"/>
          <w:rFonts w:eastAsiaTheme="minorEastAsia"/>
          <w:color w:val="000000" w:themeColor="text1"/>
        </w:rPr>
        <w:t xml:space="preserve">B appears to be present in </w:t>
      </w:r>
      <w:r w:rsidRPr="005C7FF0">
        <w:rPr>
          <w:rStyle w:val="normaltextrun"/>
          <w:rFonts w:eastAsiaTheme="minorEastAsia"/>
          <w:i/>
          <w:iCs/>
          <w:color w:val="000000" w:themeColor="text1"/>
        </w:rPr>
        <w:t xml:space="preserve">N. </w:t>
      </w:r>
      <w:proofErr w:type="spellStart"/>
      <w:r w:rsidRPr="005C7FF0">
        <w:rPr>
          <w:rStyle w:val="spellingerror"/>
          <w:rFonts w:eastAsia="Calibri"/>
          <w:i/>
          <w:iCs/>
          <w:color w:val="000000" w:themeColor="text1"/>
        </w:rPr>
        <w:t>gonzalezi</w:t>
      </w:r>
      <w:proofErr w:type="spellEnd"/>
      <w:r w:rsidRPr="005C7FF0">
        <w:rPr>
          <w:rStyle w:val="normaltextrun"/>
          <w:rFonts w:eastAsiaTheme="minorEastAsia"/>
          <w:color w:val="000000" w:themeColor="text1"/>
        </w:rPr>
        <w:t xml:space="preserve"> (</w:t>
      </w:r>
      <w:r w:rsidRPr="005C7FF0">
        <w:rPr>
          <w:rStyle w:val="spellingerror"/>
          <w:rFonts w:eastAsia="Calibri"/>
          <w:color w:val="000000" w:themeColor="text1"/>
        </w:rPr>
        <w:t>Philippines</w:t>
      </w:r>
      <w:r w:rsidRPr="005C7FF0">
        <w:rPr>
          <w:rStyle w:val="normaltextrun"/>
          <w:rFonts w:eastAsiaTheme="minorEastAsia"/>
          <w:color w:val="000000" w:themeColor="text1"/>
        </w:rPr>
        <w:t>) (</w:t>
      </w:r>
      <w:proofErr w:type="spellStart"/>
      <w:r w:rsidRPr="005C7FF0">
        <w:rPr>
          <w:rStyle w:val="spellingerror"/>
          <w:rFonts w:eastAsia="Calibri"/>
          <w:color w:val="000000" w:themeColor="text1"/>
        </w:rPr>
        <w:t>Lucanas</w:t>
      </w:r>
      <w:proofErr w:type="spellEnd"/>
      <w:r w:rsidRPr="005C7FF0">
        <w:rPr>
          <w:rStyle w:val="normaltextrun"/>
          <w:rFonts w:eastAsiaTheme="minorEastAsia"/>
          <w:color w:val="000000" w:themeColor="text1"/>
        </w:rPr>
        <w:t xml:space="preserve"> and Lit 2016, though labelled L2d) and the African species </w:t>
      </w:r>
      <w:r w:rsidRPr="005C7FF0">
        <w:rPr>
          <w:rStyle w:val="normaltextrun"/>
          <w:rFonts w:eastAsiaTheme="minorEastAsia"/>
          <w:i/>
          <w:iCs/>
          <w:color w:val="000000" w:themeColor="text1"/>
        </w:rPr>
        <w:t xml:space="preserve">N. </w:t>
      </w:r>
      <w:proofErr w:type="spellStart"/>
      <w:r w:rsidRPr="005C7FF0">
        <w:rPr>
          <w:rStyle w:val="spellingerror"/>
          <w:rFonts w:eastAsia="Calibri"/>
          <w:i/>
          <w:iCs/>
          <w:color w:val="000000" w:themeColor="text1"/>
        </w:rPr>
        <w:t>clavata</w:t>
      </w:r>
      <w:proofErr w:type="spellEnd"/>
      <w:r w:rsidRPr="005C7FF0">
        <w:rPr>
          <w:rStyle w:val="normaltextrun"/>
          <w:rFonts w:eastAsiaTheme="minorEastAsia"/>
          <w:color w:val="000000" w:themeColor="text1"/>
        </w:rPr>
        <w:t xml:space="preserve">, </w:t>
      </w:r>
      <w:r w:rsidRPr="005C7FF0">
        <w:rPr>
          <w:rStyle w:val="normaltextrun"/>
          <w:rFonts w:eastAsiaTheme="minorEastAsia"/>
          <w:i/>
          <w:iCs/>
          <w:color w:val="000000" w:themeColor="text1"/>
        </w:rPr>
        <w:t xml:space="preserve">N. </w:t>
      </w:r>
      <w:proofErr w:type="spellStart"/>
      <w:r w:rsidRPr="005C7FF0">
        <w:rPr>
          <w:rStyle w:val="spellingerror"/>
          <w:rFonts w:eastAsia="Calibri"/>
          <w:i/>
          <w:iCs/>
          <w:color w:val="000000" w:themeColor="text1"/>
        </w:rPr>
        <w:t>scytala</w:t>
      </w:r>
      <w:proofErr w:type="spellEnd"/>
      <w:r w:rsidRPr="005C7FF0">
        <w:rPr>
          <w:rStyle w:val="normaltextrun"/>
          <w:rFonts w:eastAsiaTheme="minorEastAsia"/>
          <w:color w:val="000000" w:themeColor="text1"/>
        </w:rPr>
        <w:t xml:space="preserve">, </w:t>
      </w:r>
      <w:r w:rsidRPr="005C7FF0">
        <w:rPr>
          <w:rStyle w:val="normaltextrun"/>
          <w:rFonts w:eastAsiaTheme="minorEastAsia"/>
          <w:i/>
          <w:iCs/>
          <w:color w:val="000000" w:themeColor="text1"/>
        </w:rPr>
        <w:t xml:space="preserve">N. </w:t>
      </w:r>
      <w:proofErr w:type="spellStart"/>
      <w:r w:rsidRPr="005C7FF0">
        <w:rPr>
          <w:rStyle w:val="spellingerror"/>
          <w:rFonts w:eastAsia="Calibri"/>
          <w:i/>
          <w:iCs/>
          <w:color w:val="000000" w:themeColor="text1"/>
        </w:rPr>
        <w:t>wliensis</w:t>
      </w:r>
      <w:proofErr w:type="spellEnd"/>
      <w:r w:rsidR="00131DC7">
        <w:rPr>
          <w:rStyle w:val="spellingerror"/>
          <w:rFonts w:eastAsia="Calibri"/>
          <w:color w:val="000000" w:themeColor="text1"/>
        </w:rPr>
        <w:t>,</w:t>
      </w:r>
      <w:r w:rsidR="008D5725" w:rsidRPr="005C7FF0">
        <w:rPr>
          <w:rStyle w:val="spellingerror"/>
          <w:rFonts w:eastAsia="Calibri"/>
          <w:i/>
          <w:iCs/>
          <w:color w:val="000000" w:themeColor="text1"/>
        </w:rPr>
        <w:t xml:space="preserve"> </w:t>
      </w:r>
      <w:r w:rsidR="008D5725" w:rsidRPr="005C7FF0">
        <w:rPr>
          <w:rStyle w:val="spellingerror"/>
          <w:rFonts w:eastAsia="Calibri"/>
          <w:color w:val="000000" w:themeColor="text1"/>
        </w:rPr>
        <w:t>and</w:t>
      </w:r>
      <w:r w:rsidRPr="005C7FF0">
        <w:rPr>
          <w:rStyle w:val="spellingerror"/>
          <w:rFonts w:eastAsia="Calibri"/>
          <w:i/>
          <w:iCs/>
          <w:color w:val="000000" w:themeColor="text1"/>
        </w:rPr>
        <w:t xml:space="preserve"> A. </w:t>
      </w:r>
      <w:proofErr w:type="spellStart"/>
      <w:r w:rsidRPr="005C7FF0">
        <w:rPr>
          <w:rStyle w:val="spellingerror"/>
          <w:rFonts w:eastAsia="Calibri"/>
          <w:i/>
          <w:iCs/>
          <w:color w:val="000000" w:themeColor="text1"/>
        </w:rPr>
        <w:t>cavernicola</w:t>
      </w:r>
      <w:proofErr w:type="spellEnd"/>
      <w:r w:rsidRPr="005C7FF0">
        <w:rPr>
          <w:rStyle w:val="normaltextrun"/>
          <w:rFonts w:eastAsiaTheme="minorEastAsia"/>
          <w:color w:val="000000" w:themeColor="text1"/>
        </w:rPr>
        <w:t xml:space="preserve"> (Andersen and </w:t>
      </w:r>
      <w:proofErr w:type="spellStart"/>
      <w:r w:rsidRPr="005C7FF0">
        <w:t>Kjaerandsen</w:t>
      </w:r>
      <w:proofErr w:type="spellEnd"/>
      <w:r w:rsidRPr="005C7FF0">
        <w:rPr>
          <w:rStyle w:val="normaltextrun"/>
          <w:rFonts w:eastAsiaTheme="minorEastAsia"/>
          <w:color w:val="000000" w:themeColor="text1"/>
        </w:rPr>
        <w:t xml:space="preserve"> 1995, </w:t>
      </w:r>
      <w:proofErr w:type="spellStart"/>
      <w:r w:rsidRPr="005C7FF0">
        <w:rPr>
          <w:rStyle w:val="normaltextrun"/>
          <w:rFonts w:eastAsiaTheme="minorEastAsia"/>
          <w:color w:val="000000" w:themeColor="text1"/>
        </w:rPr>
        <w:t>Chopard</w:t>
      </w:r>
      <w:proofErr w:type="spellEnd"/>
      <w:r w:rsidRPr="005C7FF0">
        <w:rPr>
          <w:rStyle w:val="normaltextrun"/>
          <w:rFonts w:eastAsiaTheme="minorEastAsia"/>
          <w:color w:val="000000" w:themeColor="text1"/>
        </w:rPr>
        <w:t xml:space="preserve"> 1932)</w:t>
      </w:r>
      <w:r w:rsidR="00175CE7">
        <w:rPr>
          <w:rStyle w:val="normaltextrun"/>
          <w:rFonts w:eastAsiaTheme="minorEastAsia"/>
          <w:color w:val="000000" w:themeColor="text1"/>
        </w:rPr>
        <w:t>,</w:t>
      </w:r>
      <w:r w:rsidRPr="005C7FF0">
        <w:rPr>
          <w:rStyle w:val="normaltextrun"/>
          <w:rFonts w:eastAsiaTheme="minorEastAsia"/>
          <w:color w:val="000000" w:themeColor="text1"/>
        </w:rPr>
        <w:t xml:space="preserve"> although this should be confirmed by re-examination of type specimens</w:t>
      </w:r>
      <w:r w:rsidR="008D5725" w:rsidRPr="005C7FF0">
        <w:rPr>
          <w:rStyle w:val="normaltextrun"/>
          <w:rFonts w:eastAsiaTheme="minorEastAsia"/>
          <w:color w:val="000000" w:themeColor="text1"/>
        </w:rPr>
        <w:t xml:space="preserve"> </w:t>
      </w:r>
      <w:r w:rsidR="00062429">
        <w:rPr>
          <w:rStyle w:val="normaltextrun"/>
          <w:rFonts w:eastAsiaTheme="minorEastAsia"/>
          <w:color w:val="000000" w:themeColor="text1"/>
        </w:rPr>
        <w:t>because</w:t>
      </w:r>
      <w:r w:rsidR="008D5725" w:rsidRPr="005C7FF0">
        <w:rPr>
          <w:rStyle w:val="normaltextrun"/>
          <w:rFonts w:eastAsiaTheme="minorEastAsia"/>
          <w:color w:val="000000" w:themeColor="text1"/>
        </w:rPr>
        <w:t xml:space="preserve"> the drawings are old</w:t>
      </w:r>
      <w:r w:rsidRPr="005C7FF0">
        <w:rPr>
          <w:rStyle w:val="normaltextrun"/>
          <w:rFonts w:eastAsiaTheme="minorEastAsia"/>
          <w:color w:val="000000" w:themeColor="text1"/>
        </w:rPr>
        <w:t xml:space="preserve">. The genitalia of </w:t>
      </w:r>
      <w:r w:rsidRPr="005C7FF0">
        <w:rPr>
          <w:rStyle w:val="normaltextrun"/>
          <w:rFonts w:eastAsiaTheme="minorEastAsia"/>
          <w:i/>
          <w:iCs/>
          <w:color w:val="000000" w:themeColor="text1"/>
        </w:rPr>
        <w:t xml:space="preserve">N. </w:t>
      </w:r>
      <w:proofErr w:type="spellStart"/>
      <w:r w:rsidRPr="005C7FF0">
        <w:rPr>
          <w:rStyle w:val="spellingerror"/>
          <w:rFonts w:eastAsia="Calibri"/>
          <w:i/>
          <w:iCs/>
          <w:color w:val="000000" w:themeColor="text1"/>
        </w:rPr>
        <w:t>australiensis</w:t>
      </w:r>
      <w:proofErr w:type="spellEnd"/>
      <w:r w:rsidRPr="005C7FF0">
        <w:rPr>
          <w:rStyle w:val="normaltextrun"/>
          <w:rFonts w:eastAsiaTheme="minorEastAsia"/>
          <w:color w:val="000000" w:themeColor="text1"/>
        </w:rPr>
        <w:t xml:space="preserve"> and </w:t>
      </w:r>
      <w:r w:rsidRPr="005C7FF0">
        <w:rPr>
          <w:rStyle w:val="normaltextrun"/>
          <w:rFonts w:eastAsiaTheme="minorEastAsia"/>
          <w:i/>
          <w:iCs/>
          <w:color w:val="000000" w:themeColor="text1"/>
        </w:rPr>
        <w:t xml:space="preserve">N. </w:t>
      </w:r>
      <w:proofErr w:type="spellStart"/>
      <w:r w:rsidRPr="005C7FF0">
        <w:rPr>
          <w:rStyle w:val="spellingerror"/>
          <w:rFonts w:eastAsia="Calibri"/>
          <w:i/>
          <w:iCs/>
          <w:color w:val="000000" w:themeColor="text1"/>
        </w:rPr>
        <w:t>babindaensis</w:t>
      </w:r>
      <w:proofErr w:type="spellEnd"/>
      <w:r w:rsidRPr="005C7FF0">
        <w:rPr>
          <w:rStyle w:val="normaltextrun"/>
          <w:rFonts w:eastAsiaTheme="minorEastAsia"/>
          <w:color w:val="000000" w:themeColor="text1"/>
        </w:rPr>
        <w:t xml:space="preserve"> do not align with either of these character types and require re-examination, </w:t>
      </w:r>
      <w:r w:rsidR="00B367CC">
        <w:rPr>
          <w:rStyle w:val="normaltextrun"/>
          <w:rFonts w:eastAsiaTheme="minorEastAsia"/>
          <w:color w:val="000000" w:themeColor="text1"/>
        </w:rPr>
        <w:t>because</w:t>
      </w:r>
      <w:r w:rsidRPr="005C7FF0">
        <w:rPr>
          <w:rStyle w:val="normaltextrun"/>
          <w:rFonts w:eastAsiaTheme="minorEastAsia"/>
          <w:color w:val="000000" w:themeColor="text1"/>
        </w:rPr>
        <w:t xml:space="preserve"> the drawings by Roth (1988) are basic. Unfortunately, the type species for the genus, </w:t>
      </w:r>
      <w:proofErr w:type="spellStart"/>
      <w:r w:rsidRPr="005C7FF0">
        <w:rPr>
          <w:rStyle w:val="spellingerror"/>
          <w:rFonts w:eastAsia="Calibri"/>
          <w:i/>
          <w:iCs/>
          <w:color w:val="000000" w:themeColor="text1"/>
        </w:rPr>
        <w:t>Nocticola</w:t>
      </w:r>
      <w:proofErr w:type="spellEnd"/>
      <w:r w:rsidRPr="005C7FF0">
        <w:rPr>
          <w:rStyle w:val="spellingerror"/>
          <w:rFonts w:eastAsia="Calibri"/>
          <w:i/>
          <w:iCs/>
          <w:color w:val="000000" w:themeColor="text1"/>
        </w:rPr>
        <w:t xml:space="preserve"> </w:t>
      </w:r>
      <w:proofErr w:type="spellStart"/>
      <w:r w:rsidRPr="005C7FF0">
        <w:rPr>
          <w:rStyle w:val="spellingerror"/>
          <w:rFonts w:eastAsia="Calibri"/>
          <w:i/>
          <w:iCs/>
          <w:color w:val="000000" w:themeColor="text1"/>
        </w:rPr>
        <w:t>simoni</w:t>
      </w:r>
      <w:proofErr w:type="spellEnd"/>
      <w:r w:rsidRPr="005C7FF0">
        <w:rPr>
          <w:rStyle w:val="normaltextrun"/>
          <w:rFonts w:eastAsiaTheme="minorEastAsia"/>
          <w:color w:val="000000" w:themeColor="text1"/>
        </w:rPr>
        <w:t xml:space="preserve">, cannot be grouped into either clade due to its basic description (Bolivar 1892). Therefore, re-examination of </w:t>
      </w:r>
      <w:r w:rsidR="007D25CB" w:rsidRPr="005C7FF0">
        <w:rPr>
          <w:rStyle w:val="normaltextrun"/>
          <w:rFonts w:eastAsiaTheme="minorEastAsia"/>
          <w:i/>
          <w:iCs/>
          <w:color w:val="000000" w:themeColor="text1"/>
        </w:rPr>
        <w:t xml:space="preserve">N. </w:t>
      </w:r>
      <w:proofErr w:type="spellStart"/>
      <w:r w:rsidR="007D25CB" w:rsidRPr="005C7FF0">
        <w:rPr>
          <w:rStyle w:val="normaltextrun"/>
          <w:rFonts w:eastAsiaTheme="minorEastAsia"/>
          <w:i/>
          <w:iCs/>
          <w:color w:val="000000" w:themeColor="text1"/>
        </w:rPr>
        <w:t>simoni</w:t>
      </w:r>
      <w:proofErr w:type="spellEnd"/>
      <w:r w:rsidRPr="005C7FF0">
        <w:rPr>
          <w:rStyle w:val="normaltextrun"/>
          <w:rFonts w:eastAsiaTheme="minorEastAsia"/>
          <w:color w:val="000000" w:themeColor="text1"/>
        </w:rPr>
        <w:t xml:space="preserve"> is required to identify whether </w:t>
      </w:r>
      <w:r w:rsidR="00D22E95" w:rsidRPr="005C7FF0">
        <w:rPr>
          <w:rStyle w:val="spellingerror"/>
          <w:rFonts w:eastAsia="Calibri"/>
          <w:color w:val="000000" w:themeColor="text1"/>
        </w:rPr>
        <w:t>Nocticolidae</w:t>
      </w:r>
      <w:r w:rsidR="00D22E95" w:rsidRPr="005C7FF0">
        <w:rPr>
          <w:rStyle w:val="normaltextrun"/>
          <w:rFonts w:eastAsiaTheme="minorEastAsia"/>
          <w:color w:val="000000" w:themeColor="text1"/>
        </w:rPr>
        <w:t xml:space="preserve"> </w:t>
      </w:r>
      <w:r w:rsidRPr="005C7FF0">
        <w:rPr>
          <w:rStyle w:val="normaltextrun"/>
          <w:rFonts w:eastAsiaTheme="minorEastAsia"/>
          <w:color w:val="000000" w:themeColor="text1"/>
        </w:rPr>
        <w:t xml:space="preserve">A or </w:t>
      </w:r>
      <w:r w:rsidR="00D22E95" w:rsidRPr="005C7FF0">
        <w:rPr>
          <w:rStyle w:val="spellingerror"/>
          <w:rFonts w:eastAsia="Calibri"/>
          <w:color w:val="000000" w:themeColor="text1"/>
        </w:rPr>
        <w:t>Nocticolidae</w:t>
      </w:r>
      <w:r w:rsidR="00D22E95" w:rsidRPr="005C7FF0">
        <w:rPr>
          <w:rStyle w:val="normaltextrun"/>
          <w:rFonts w:eastAsiaTheme="minorEastAsia"/>
          <w:color w:val="000000" w:themeColor="text1"/>
        </w:rPr>
        <w:t xml:space="preserve"> </w:t>
      </w:r>
      <w:r w:rsidRPr="005C7FF0">
        <w:rPr>
          <w:rStyle w:val="normaltextrun"/>
          <w:rFonts w:eastAsiaTheme="minorEastAsia"/>
          <w:color w:val="000000" w:themeColor="text1"/>
        </w:rPr>
        <w:t xml:space="preserve">B should remain as </w:t>
      </w:r>
      <w:proofErr w:type="spellStart"/>
      <w:r w:rsidRPr="005C7FF0">
        <w:rPr>
          <w:rStyle w:val="spellingerror"/>
          <w:rFonts w:eastAsia="Calibri"/>
          <w:i/>
          <w:iCs/>
          <w:color w:val="000000" w:themeColor="text1"/>
        </w:rPr>
        <w:t>Nocticola</w:t>
      </w:r>
      <w:proofErr w:type="spellEnd"/>
      <w:r w:rsidRPr="005C7FF0">
        <w:rPr>
          <w:rStyle w:val="normaltextrun"/>
          <w:rFonts w:eastAsiaTheme="minorEastAsia"/>
          <w:color w:val="000000" w:themeColor="text1"/>
        </w:rPr>
        <w:t xml:space="preserve">, and which should be described as a new genus. </w:t>
      </w:r>
    </w:p>
    <w:p w14:paraId="55287F77" w14:textId="79734A94" w:rsidR="005F7594" w:rsidRPr="005C7FF0" w:rsidRDefault="005F7594" w:rsidP="002C391C">
      <w:pPr>
        <w:spacing w:line="480" w:lineRule="auto"/>
        <w:ind w:firstLine="720"/>
      </w:pPr>
      <w:r w:rsidRPr="005C7FF0">
        <w:t xml:space="preserve">Further undescribed </w:t>
      </w:r>
      <w:r w:rsidR="007C4711">
        <w:t>n</w:t>
      </w:r>
      <w:r w:rsidR="00D22E95" w:rsidRPr="005C7FF0">
        <w:t>octicolid</w:t>
      </w:r>
      <w:r w:rsidR="00D22E95" w:rsidRPr="005C7FF0">
        <w:rPr>
          <w:i/>
          <w:iCs/>
        </w:rPr>
        <w:t xml:space="preserve"> </w:t>
      </w:r>
      <w:r w:rsidRPr="005C7FF0">
        <w:t xml:space="preserve">species not included in this study include various taxa collected in Queensland, including </w:t>
      </w:r>
      <w:r w:rsidR="00D22E95" w:rsidRPr="005C7FF0">
        <w:t xml:space="preserve">from the </w:t>
      </w:r>
      <w:proofErr w:type="spellStart"/>
      <w:r w:rsidRPr="005C7FF0">
        <w:t>Undara</w:t>
      </w:r>
      <w:proofErr w:type="spellEnd"/>
      <w:r w:rsidRPr="005C7FF0">
        <w:t xml:space="preserve"> Lava Tubes (Eberhard and Howarth 2021), </w:t>
      </w:r>
      <w:proofErr w:type="spellStart"/>
      <w:r w:rsidRPr="005C7FF0">
        <w:t>Walkunder</w:t>
      </w:r>
      <w:proofErr w:type="spellEnd"/>
      <w:r w:rsidRPr="005C7FF0">
        <w:t xml:space="preserve"> Caves (Fred Stone, personal communication to J. A. Walker), Kiwi Cave</w:t>
      </w:r>
      <w:r w:rsidR="00D22E95" w:rsidRPr="005C7FF0">
        <w:t xml:space="preserve"> </w:t>
      </w:r>
      <w:r w:rsidR="00D22E95" w:rsidRPr="005C7FF0">
        <w:lastRenderedPageBreak/>
        <w:t>(J. A. Walker personal collection)</w:t>
      </w:r>
      <w:r w:rsidRPr="005C7FF0">
        <w:t>, Mt Edith</w:t>
      </w:r>
      <w:r w:rsidR="00D22E95" w:rsidRPr="005C7FF0">
        <w:t xml:space="preserve"> (collected by J. A. Walker)</w:t>
      </w:r>
      <w:r w:rsidRPr="005C7FF0">
        <w:t>, Mt Lewis (observed</w:t>
      </w:r>
      <w:r w:rsidR="00D22E95" w:rsidRPr="005C7FF0">
        <w:t xml:space="preserve"> but not collected</w:t>
      </w:r>
      <w:r w:rsidRPr="005C7FF0">
        <w:t xml:space="preserve"> by J. A. Walker), </w:t>
      </w:r>
      <w:proofErr w:type="spellStart"/>
      <w:r w:rsidRPr="005C7FF0">
        <w:t>Cammoweal</w:t>
      </w:r>
      <w:proofErr w:type="spellEnd"/>
      <w:r w:rsidRPr="005C7FF0">
        <w:t xml:space="preserve"> (Roth 1988), and Crater Lakes National Park (Roth 1988).</w:t>
      </w:r>
    </w:p>
    <w:p w14:paraId="3E54BA6B" w14:textId="0B234F7B" w:rsidR="001E37FD" w:rsidRDefault="001E37FD" w:rsidP="002C391C">
      <w:pPr>
        <w:spacing w:line="480" w:lineRule="auto"/>
      </w:pPr>
      <w:r>
        <w:br w:type="page"/>
      </w:r>
    </w:p>
    <w:p w14:paraId="4F59D110" w14:textId="77777777" w:rsidR="001E37FD" w:rsidRDefault="001E37FD" w:rsidP="002C391C">
      <w:pPr>
        <w:widowControl w:val="0"/>
        <w:autoSpaceDE w:val="0"/>
        <w:autoSpaceDN w:val="0"/>
        <w:adjustRightInd w:val="0"/>
        <w:spacing w:line="480" w:lineRule="auto"/>
        <w:ind w:left="480" w:hanging="480"/>
        <w:sectPr w:rsidR="001E37FD" w:rsidSect="003449F8">
          <w:footerReference w:type="even" r:id="rId11"/>
          <w:footerReference w:type="default" r:id="rId12"/>
          <w:pgSz w:w="11901" w:h="16817"/>
          <w:pgMar w:top="1440" w:right="1440" w:bottom="1440" w:left="1440" w:header="709" w:footer="709" w:gutter="0"/>
          <w:cols w:space="708"/>
          <w:docGrid w:linePitch="360"/>
        </w:sectPr>
      </w:pPr>
    </w:p>
    <w:p w14:paraId="51B92891" w14:textId="1E49DB0C" w:rsidR="001E37FD" w:rsidRPr="005C7FF0" w:rsidRDefault="001E37FD" w:rsidP="002C391C">
      <w:pPr>
        <w:spacing w:line="480" w:lineRule="auto"/>
        <w:rPr>
          <w:noProof/>
        </w:rPr>
      </w:pPr>
      <w:r w:rsidRPr="005C7FF0">
        <w:rPr>
          <w:noProof/>
        </w:rPr>
        <w:lastRenderedPageBreak/>
        <w:t>REFERENCES</w:t>
      </w:r>
    </w:p>
    <w:p w14:paraId="62402430" w14:textId="77777777" w:rsidR="001E37FD" w:rsidRDefault="001E37FD" w:rsidP="002C391C">
      <w:pPr>
        <w:widowControl w:val="0"/>
        <w:autoSpaceDE w:val="0"/>
        <w:autoSpaceDN w:val="0"/>
        <w:adjustRightInd w:val="0"/>
        <w:spacing w:line="480" w:lineRule="auto"/>
        <w:ind w:left="480" w:hanging="480"/>
      </w:pPr>
    </w:p>
    <w:p w14:paraId="1F2F38FA"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fldChar w:fldCharType="begin" w:fldLock="1"/>
      </w:r>
      <w:r w:rsidRPr="00F958AD">
        <w:instrText xml:space="preserve">ADDIN Mendeley Bibliography CSL_BIBLIOGRAPHY </w:instrText>
      </w:r>
      <w:r w:rsidRPr="00F958AD">
        <w:fldChar w:fldCharType="separate"/>
      </w:r>
      <w:r w:rsidRPr="00F958AD">
        <w:rPr>
          <w:noProof/>
          <w:lang w:val="en-GB"/>
        </w:rPr>
        <w:t>Abascal F., Zardoya R., Telford M.J. 2010. TranslatorX: Multiple alignment of nucleotide sequences guided by amino acid translations. Nucleic Acids Res. 38:7–13.</w:t>
      </w:r>
    </w:p>
    <w:p w14:paraId="71A981B2"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Aberer A.J., Kobert K., Stamatakis A. 2014. Exabayes: Massively parallel bayesian tree inference for the whole-genome era. Mol. Biol. Evol. 31:2553–2556.</w:t>
      </w:r>
    </w:p>
    <w:p w14:paraId="0EE17052"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Andersen T., Kjaerandsen J. 1995. Three new species of Nocticola Bolivar from Ghana, West Africa (Blattaria: Nocticolidae). J. African Zool. 109:377–385.</w:t>
      </w:r>
    </w:p>
    <w:p w14:paraId="799EA791"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Asahina S. 1974. The Cavernicolous Cockroaches of the Ryukyu Islands. Mem. Natl. Sci. Museum Tokyo. 7:145–156.</w:t>
      </w:r>
    </w:p>
    <w:p w14:paraId="568F6534"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Beasley-Hall P.G., Rose H.A., Walker J., Kinjo Y., Bourguignon T., Lo N. 2021. Digging deep: a revised phylogeny of Australian burrowing cockroaches (Blaberidae: Panesthiinae, Geoscapheinae) confirms extensive nonmonophyly and provides insights into biogeography and evolution of burrowing. Syst. Entomol.</w:t>
      </w:r>
    </w:p>
    <w:p w14:paraId="562A5BB9"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Bernt M., Donath A., Jühling F., Externbrink F., Florentz C., Fritzsch G., Pütz J., Middendorf M., Stadler P.F. 2013. MITOS: Improved de novo metazoan mitochondrial genome annotation. Mol. Phylogenet. Evol. 69:313–319.</w:t>
      </w:r>
    </w:p>
    <w:p w14:paraId="320DAE43"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Bolivar I. 1892. Voyage de M. E. Simno aux iles Philippines (mars et avril 1890). Etudes sur les Arthropodes cavernicoles de l’ile de Luzon. Orthopteres. Ann. la Société Entomol. Fr. 61:29–34.</w:t>
      </w:r>
    </w:p>
    <w:p w14:paraId="51E302F3"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Bolivar I. 1897. Nouvelle espèce cavernicole de la famille des blattaires. Viaggio di Leonardo Fea in Birmania e regioni vicine, LXXVIII. Annali Mus. civ. Stor. nat. “Giacomo Doria.” p. 32–36.</w:t>
      </w:r>
    </w:p>
    <w:p w14:paraId="0CF5107A"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 xml:space="preserve">Bouckaert R., Vaughan T.G., Barido-Sottani J., Duchêne S., Fourment M., Gavryushkina A., Heled J., Jones G., Kühnert D., De Maio N., Matschiner M., Mendes F.K., Müller N.F., </w:t>
      </w:r>
      <w:r w:rsidRPr="00F958AD">
        <w:rPr>
          <w:noProof/>
          <w:lang w:val="en-GB"/>
        </w:rPr>
        <w:lastRenderedPageBreak/>
        <w:t>Ogilvie H.A., Du Plessis L., Popinga A., Rambaut A., Rasmussen D., Siveroni I., Suchard M.A., Wu C.H., Xie D., Zhang C., Stadler T., Drummond A.J. 2019. BEAST 2.5: An advanced software platform for Bayesian evolutionary analysis. PLoS Comput. Biol. 15:1–28.</w:t>
      </w:r>
    </w:p>
    <w:p w14:paraId="3085D6E3"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Bourguignon T., Tang Q., Ho S.Y.W., Juna F., Wang Z., Arab D.A., Cameron S.L., Walker J., Rentz D., Evans T.A., Lo N. 2018. Transoceanic dispersal and plate tectonics shaped global cockroach distributions: Evidence from mitochondrial phylogenomics. Mol. Biol. Evol. 35:970–983.</w:t>
      </w:r>
    </w:p>
    <w:p w14:paraId="19918FA5"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Boussau B., Walton Z., Delgado J.A., Collantes F., Beani L., Stewart I.J., Cameron S.A., Whitfield J.B., Johnston J.S., Holland P.W.H., Bachtrog D., Kathirithamby J., Huelsenbeck J.P. 2014. Strepsiptera, phylogenomics and the long branch attraction problem. PLoS One. 9:e107709.</w:t>
      </w:r>
    </w:p>
    <w:p w14:paraId="004063DE"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Brand P., Lin W., Johnson B.R. 2018. The draft genome of the invasive walking stick, Medauroidea extradendata, reveals extensive lineage-specific gene family expansions of cell wall degrading Enzymes in Phasmatodea. G3 Genes, Genomes, Genet. 8:1403–1408.</w:t>
      </w:r>
    </w:p>
    <w:p w14:paraId="4143F498"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Bui Q.M., Schmidt H.A., Chernomor O., Schrempf D., Woodhams M.D., Von Haeseler A., Lanfear R. 2020. IQ-TREE 2: New Models and Efficient Methods for Phylogenetic Inference in the Genomic Era. Mol. Biol. Evol. 37:1530–1534.</w:t>
      </w:r>
    </w:p>
    <w:p w14:paraId="670B46DB"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Cameron S.L., Lo N., Bourguignon T., Svenson G.J., Evans T.A. 2012. A mitochondrial genome phylogeny of termites (Blattodea: Termitoidae): Robust support for interfamilial relationships and molecular synapomorphies define major clades. Mol. Phylogenet. Evol. 65:163–173.</w:t>
      </w:r>
    </w:p>
    <w:p w14:paraId="36AA2D68"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 xml:space="preserve">Cameron S.L., Whiting M.F. 2007. Mitochondrial genomic comparisons of the subterranean termites from the genus Reticulitermes (Insecta: Isoptera: Rhinotermitidae). Genome. </w:t>
      </w:r>
      <w:r w:rsidRPr="00F958AD">
        <w:rPr>
          <w:noProof/>
          <w:lang w:val="en-GB"/>
        </w:rPr>
        <w:lastRenderedPageBreak/>
        <w:t>50:188–202.</w:t>
      </w:r>
    </w:p>
    <w:p w14:paraId="399CAD32"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Castresana J. 2000. Selection of conserved blocks from multiple alignments for their use in phylogenetic analysis. Mol. Biol. Evol. 17:540–552.</w:t>
      </w:r>
    </w:p>
    <w:p w14:paraId="4AAD3CC4"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Chen S., Zhou Y., Chen Y., Gu J. 2018. Fastp: an ultra-fast all-in-one FASTQ preprocessor. Bioinformatics. 34:i884–i890.</w:t>
      </w:r>
    </w:p>
    <w:p w14:paraId="730110BA"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Chopard L. 1921. XXVII On some cavernicolous Dermaptera and Orthoptera from Assam. Rec. Indian Museum. 22:511–527.</w:t>
      </w:r>
    </w:p>
    <w:p w14:paraId="0AEBB47F"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Chopard L. 1924. On some cavernicolous Orthoptera and Dermaptera from Assam and Burma. Rec. Indian Museum. 206:383–399.</w:t>
      </w:r>
    </w:p>
    <w:p w14:paraId="0F78289B"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Chopard L. 1932. Un cas de microphtalmie liée à l’atrophie des ailes chez une blatte cavernicole. Livre du Centen. la Société Entomol. Fr. 485:485–496.</w:t>
      </w:r>
    </w:p>
    <w:p w14:paraId="0FBA8C31"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Chopard L. 1945. Note sur quelques Orthopteres cavernicoles de Madagascar. Rev. Fr. d’entomologie. 12:146–155.</w:t>
      </w:r>
    </w:p>
    <w:p w14:paraId="02A0EB07" w14:textId="1E768B04"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Chopard L. 1950. Les blattes cavernicoles du genre Nocticola Bol. Eos, Tomo extraordinaire. 301–310.</w:t>
      </w:r>
    </w:p>
    <w:p w14:paraId="726519FF"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Chopard L. 1966. Une espèce nouvelle de Nocticola provenant d’une grotte du Transvaal (Dictyoptères, Nocticolidae). Bull. la Société Entomol. Fr. 71:307–310.</w:t>
      </w:r>
    </w:p>
    <w:p w14:paraId="2BA33D28"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Cognato A.I., Vogler A.P. 2001. Exploring data interaction and nucleotide alignment in a multiple gene analysis of Ips (Coleoptera: Scolytinae). Syst. Biol. 50:758–780.</w:t>
      </w:r>
    </w:p>
    <w:p w14:paraId="306DF921"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Dierckxsens N., Mardulyn P., Smits G. 2017. NOVOPlasty: De novo assembly of organelle genomes from whole genome data. Nucleic Acids Res. 45:e18.</w:t>
      </w:r>
    </w:p>
    <w:p w14:paraId="05FB396A"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Djernæs M., Klass K.D., Eggleton P. 2015. Identifying possible sister groups of Cryptocercidae+Isoptera: A combined molecular and morphological phylogeny of Dictyoptera. Mol. Phylogenet. Evol. 84:284–303.</w:t>
      </w:r>
    </w:p>
    <w:p w14:paraId="11D6437E"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 xml:space="preserve">Djernæs M., Klass K.D., Picker M.D., Damgaard J. 2012. Phylogeny of cockroaches (Insecta, </w:t>
      </w:r>
      <w:r w:rsidRPr="00F958AD">
        <w:rPr>
          <w:noProof/>
          <w:lang w:val="en-GB"/>
        </w:rPr>
        <w:lastRenderedPageBreak/>
        <w:t>Dictyoptera, Blattodea), with placement of aberrant taxa and exploration of out-group sampling. Syst. Entomol. 37:65–83.</w:t>
      </w:r>
    </w:p>
    <w:p w14:paraId="63E80426"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Djernæs M., Varadínova Z.K., Kotyk M., Eulitz U., Klass K.-D. 2020. Phylogeny and Life History Evolution of Blaberoidea (Blattodea). 78:29–67.</w:t>
      </w:r>
    </w:p>
    <w:p w14:paraId="56F41BAA"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Donath A., Jühling F., Al-Arab M., Bernhart S.H., Reinhardt F., Stadler P.F., Middendorf M., Bernt M. 2019. Improved annotation of protein-coding genes boundaries in metazoan mitochondrial genomes. Nucleic Acids Res. 47:10543–10552.</w:t>
      </w:r>
    </w:p>
    <w:p w14:paraId="6DD63E3E"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Drummond A.J., Ho S.Y.W., Phillips M.J., Rambaut A. 2006. Relaxed phylogenetics and dating with confidence. PLoS Biol. 4:e88.</w:t>
      </w:r>
    </w:p>
    <w:p w14:paraId="4F1EC988"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Drummond A.J., Suchard M.A. 2010. Bayesian random local clocks, or one rate to rule them all. BMC Biol. 8:114.</w:t>
      </w:r>
    </w:p>
    <w:p w14:paraId="6B264DBB"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Duchêne D.A., Mather N., Van Der Wal C., Ho S.Y.W. 2022. Excluding Loci with Substitution Saturation Improves Inferences from Phylogenomic Data. Syst. Biol. 71:676–689.</w:t>
      </w:r>
    </w:p>
    <w:p w14:paraId="3780EB48"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Duchêne D.A., Tong K.J., Foster C.S.P., Duchêne S., Lanfear R., Ho S.Y.W. 2020. Linking branch lengths across sets of loci provides the highest statistical support for phylogenetic inference. Mol. Biol. Evol. 37:1202–1210.</w:t>
      </w:r>
    </w:p>
    <w:p w14:paraId="67CEF5CE"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Eberhard S.M., Howarth F.G. 2021. Undara Lava Cave Fauna in Tropical Queensland with an Annotated List of Australian Subterranean Biodiversity Hotspots. Diversity. 13:1–25.</w:t>
      </w:r>
    </w:p>
    <w:p w14:paraId="09B8D913"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Evangelista D.A., Djernæs M., Kohli M.K. 2017. Fossil calibrations for the cockroach phylogeny (Insecta, Dictyoptera, Blattodea), comments on the use of wings for their identification, and a redescription of the oldest Blaberidae. Palaeontol. Electron. 20.</w:t>
      </w:r>
    </w:p>
    <w:p w14:paraId="136C5D56"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 xml:space="preserve">Evangelista D.A., Wipfler B., Béthoux O., Donath A., Fujita M., Kohli M.K., Legendre F., Liu S., Machida R., Misof B., Peters R.S., Podsiadlowski L., Rust J., Schuette K., Tollenaar W., Ware J.L., Wappler T., Zhou X., Meusemann K., Simon S. 2019. An </w:t>
      </w:r>
      <w:r w:rsidRPr="00F958AD">
        <w:rPr>
          <w:noProof/>
          <w:lang w:val="en-GB"/>
        </w:rPr>
        <w:lastRenderedPageBreak/>
        <w:t>integrative phylogenomic approach illuminates the evolutionary history of cockroaches and termites (Blattodea). Proc. R. Soc. B Biol. Sci. 286:20182076.</w:t>
      </w:r>
    </w:p>
    <w:p w14:paraId="3F455EE5"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Faircloth B.C. 2016. PHYLUCE is a software package for the analysis of conserved genomic loci. Bioinformatics. 32:786–788.</w:t>
      </w:r>
    </w:p>
    <w:p w14:paraId="635648F0"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Faircloth B.C. 2017. Identifying conserved genomic elements and designing universal bait sets to enrich them. Methods Ecol. Evol. 8:1103–1112.</w:t>
      </w:r>
    </w:p>
    <w:p w14:paraId="0038FF8D"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Fernando W. 1962. The gastric caeca and proventriculus in the Blattidae. Ceylon J. Sci. Biol. Sci. 4:88–95.</w:t>
      </w:r>
    </w:p>
    <w:p w14:paraId="25B067F7"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Fourment M., Darling A.E. 2018. Local and relaxed clocks: The best of both worlds. PeerJ. 2018:e5140.</w:t>
      </w:r>
    </w:p>
    <w:p w14:paraId="7B913ADB"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Graverley F.H. 1910. XXIX. Alluaudella himalayensis, a new species of degenerate cockroach. Rec. Indian Museum. 3:307–311.</w:t>
      </w:r>
    </w:p>
    <w:p w14:paraId="0D8BE0C4"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Graverley F.H. 1920. The female of the cockroach Alluaudella. 19:17–18.</w:t>
      </w:r>
    </w:p>
    <w:p w14:paraId="4A3A86C2"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Guindon S., Dufayard J.F., Lefort V., Anisimova M., Hordijk W., Gascuel O. 2010. New algorithms and methods to estimate maximum-likelihood phylogenies: Assessing the performance of PhyML 3.0. Syst. Biol. 59:307–321.</w:t>
      </w:r>
    </w:p>
    <w:p w14:paraId="4250AC39"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Harrison M.C., Jongepier E., Robertson H.M., Arning N., Bitard-Feildel T., Chao H., Childers C.P., Dinh H., Doddapaneni H., Dugan S., Gowin J., Greiner C., Han Y., Hu H., Hughes D.S.T., Huylmans A.K., Kemena C., Kremer L.P.M., Lee S.L., Lopez-Ezquerra A., Mallet L., Monroy-Kuhn J.M., Moser A., Murali S.C., Muzny D.M., Otani S., Piulachs M.D., Poelchau M., Qu J., Schaub F., Wada-Katsumata A., Worley K.C., Xie Q., Ylla G., Poulsen M., Gibbs R.A., Schal C., Richards S., Belles X., Korb J., Bornberg-Bauer E. 2018. Hemimetabolous genomes reveal molecular basis of termite eusociality. Nat. Ecol. Evol. 2:557–566.</w:t>
      </w:r>
    </w:p>
    <w:p w14:paraId="2BEBE831"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 xml:space="preserve">Hellemans S., Wang M., Hasegawa N., Šobotník J., Scheffrahn R.H., Bourguignon T. 2022. </w:t>
      </w:r>
      <w:r w:rsidRPr="00F958AD">
        <w:rPr>
          <w:noProof/>
          <w:lang w:val="en-GB"/>
        </w:rPr>
        <w:lastRenderedPageBreak/>
        <w:t>Using ultraconserved elements to reconstruct the termite tree of life. Mol. Phylogenet. Evol. 173:107520.</w:t>
      </w:r>
    </w:p>
    <w:p w14:paraId="14375F58"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Hoang D.T., Chernomor O., Von Haeseler A., Minh B.Q., Vinh L.S. 2018. UFBoot2: Improving the ultrafast bootstrap approximation. Mol. Biol. Evol. 35:518–522.</w:t>
      </w:r>
    </w:p>
    <w:p w14:paraId="2B5167A5"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Huang D.Y., Nel A., Zompro O., Waller A. 2008. Mantophasmatodea now in the Jurassic. Naturwissenschaften. 95:947–952.</w:t>
      </w:r>
    </w:p>
    <w:p w14:paraId="6D01F304"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Huang M., Wang Y., Liu X., Li W., Kang Z., Wang K., Li X., Yang D. 2015. The complete mitochondrial genome and its remarkable secondary structure for a stonefly Acroneuria hainana Wu (Insecta: Plecoptera, Perlidae). Gene. 557:52–60.</w:t>
      </w:r>
    </w:p>
    <w:p w14:paraId="7ED4C4A1"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Jarzembowski E.A. 1981. An early Cretaceous termite from southern England (Isoptera: Hodotermitidae). Syst. Entomol. 6:91–96.</w:t>
      </w:r>
    </w:p>
    <w:p w14:paraId="43884F25"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Jeffreys H. 1961. The Theory of Probability. Oxford: Oxford University Press.</w:t>
      </w:r>
    </w:p>
    <w:p w14:paraId="5F51259E"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Jia Y.Y., Zhang L.P., Xu X.D., Dai X.Y., Yu D.N., Storey K.B., Zhang J.Y. 2019. The complete mitochondrial genome of Mantis religiosa (Mantodea: Mantidae) from Canada and its phylogeny. Mitochondrial DNA Part B Resour. 4:3797–3799.</w:t>
      </w:r>
    </w:p>
    <w:p w14:paraId="471CFCCF"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Junier T., Zdobnov E.M. 2010. The Newick utilities: high-throughput phylogenetic tree processing in the UNIX shell. Bioinformatics. 26:1669–1670.</w:t>
      </w:r>
    </w:p>
    <w:p w14:paraId="3E1B65F2"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Kalyaanamoorthy S., Minh B.Q., Wong T.K.F., Von Haeseler A., Jermiin L.S. 2017. ModelFinder: Fast model selection for accurate phylogenetic estimates. Nat. Methods. 14:587–589.</w:t>
      </w:r>
    </w:p>
    <w:p w14:paraId="3C22B919"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Karny. 1924. Beiträge zur Malayischen Orthopteren fauna. Treubia. 5:12–19.</w:t>
      </w:r>
    </w:p>
    <w:p w14:paraId="1B23D92A"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Katoh K., Kuma K.I., Toh H., Miyata T. 2005. MAFFT version 5: Improvement in accuracy of multiple sequence alignment. Nucleic Acids Res. 33:511–518.</w:t>
      </w:r>
    </w:p>
    <w:p w14:paraId="494ED502"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Katoh K., Standley D.M. 2013. MAFFT multiple sequence alignment software version 7: improvements in performance and usability. Mol. Biol. Evol. 30:772–780.</w:t>
      </w:r>
    </w:p>
    <w:p w14:paraId="704E82C4"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lastRenderedPageBreak/>
        <w:t>Katoh K., Toh H. 2008. Recent developments in the MAFFT multiple sequence alignment program. Brief. Bioinform. 9:286–298.</w:t>
      </w:r>
    </w:p>
    <w:p w14:paraId="0EFB9FA1"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Kômoto N., Yukuhiro K., Ueda K., Tomita S. 2011. Exploring the molecular phylogeny of phasmids with whole mitochondrial genome sequences. Mol. Phylogenet. Evol. 58:43–52.</w:t>
      </w:r>
    </w:p>
    <w:p w14:paraId="662791DE"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Krishna K., Grimaldi D.A. 2003. The First Cretaceous Rhinotermitidae (Isoptera): A New Species, Genus, and Subfamily in Burmese Amber. Am. Museum Novit. 3390:1–10.</w:t>
      </w:r>
    </w:p>
    <w:p w14:paraId="1713DC33"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Legendre F., Nel A., Svenson G.J., Robillard T., Pellens R., Grandcolas P. 2015. Phylogeny of dictyoptera: Dating the origin of cockroaches, praying mantises and termites with molecular data and controlled fossil evidence. PLoS One. 10:1–27.</w:t>
      </w:r>
    </w:p>
    <w:p w14:paraId="6FF34F3D"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Legendre F., Whiting M.F., Bordereau C., Cancello E.M., Evans T.A., Grandcolas P. 2008. The phylogeny of termites (Dictyoptera: Isoptera) based on mitochondrial and nuclear markers: Implications for the evolution of the worker and pseudergate castes, and foraging behaviors. Mol. Phylogenet. Evol. 48:615–627.</w:t>
      </w:r>
    </w:p>
    <w:p w14:paraId="6433D8A2"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Li S., Zhu S., Jia Q., Yuan D., Ren C., Li K., Liu S., Cui Y., Zhao H., Cao Y., Fang G., Li D., Zhao X., Zhang J., Yue Q., Fan Y., Yu X., Feng Q., Zhan S. 2018. The genomic and functional landscapes of developmental plasticity in the American cockroach. Nat. Commun. 9:1008.</w:t>
      </w:r>
    </w:p>
    <w:p w14:paraId="340ABA42"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Li X.R., Huang D. 2020. A new mid-Cretaceous cockroach of stem Nocticolidae and reestimating the age of Corydioidea (Dictyoptera: Blattodea). Cretac. Res. 106:104202.</w:t>
      </w:r>
    </w:p>
    <w:p w14:paraId="1A98560A"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Liu X.W., Zhu W.B., Dai L., Wang H.Q. 2017. Cockroaches of Southeastern China. Zhengzhou: Henan Science and Technology Press.</w:t>
      </w:r>
    </w:p>
    <w:p w14:paraId="61296BDD"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Lucañas C.C., Bláha M., Rahmadi C., Patoka J. 2021. The first Nocticola Bolivar 1892 (Blattodea: Nocticolidae) from New Guinea. Zootaxa. 5082:294–300.</w:t>
      </w:r>
    </w:p>
    <w:p w14:paraId="0D1BD9E6"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 xml:space="preserve">Lucañas C.C., Lit I.L. 2016. Cockroaches (Insecta, Blattodea) from caves of Polillo Island </w:t>
      </w:r>
      <w:r w:rsidRPr="00F958AD">
        <w:rPr>
          <w:noProof/>
          <w:lang w:val="en-GB"/>
        </w:rPr>
        <w:lastRenderedPageBreak/>
        <w:t>(Philippines), with description of a new species. Subterr. Biol. 19:51–64.</w:t>
      </w:r>
    </w:p>
    <w:p w14:paraId="00831384"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Maturana Russel P., Brewer B.J., Klaere S., Bouckaert R.R. 2019. Model Selection and Parameter Inference in Phylogenetics Using Nested Sampling. Syst. Biol. 68:219–233.</w:t>
      </w:r>
    </w:p>
    <w:p w14:paraId="3F9062F4"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Misof B., Liu S., Meusemann K., Peters R.S., Donath A., Mayer C., Frandsen P.B., Ware J., Flouri T., Beutel R.G., Niehuis O., Petersen M., Izquierdo-Carrasco F., Wappler T., Rust J., Aberer A.J., Aspöck U., Aspöck H., Bartel D., Blanke A., Berger S., Böhm A., Buckley T.R., Calcott B., Chen J., Friedrich F., Fukui M., Fujita M., Greve C., Grobe P., Gu S., Huang Y., Jermiin L.S., Kawahara A.Y., Krogmann L., Kubiak M., Lanfear R., Letsch H., Li Y., Li Z., Li J., Lu H., Machida R., Mashimo Y., Kapli P., McKenna D.D., Meng G., Nakagaki Y., Navarrete-Heredia J.L., Ott M., Ou Y., Pass G., Podsiadlowski L., Pohl H., Von Reumont B.M., Schütte K., Sekiya K., Shimizu S., Slipinski A., Stamatakis A., Song W., Su X., Szucsich N.U., Tan M., Tan X., Tang M., Tang J., Timelthaler G., Tomizuka S., Trautwein M., Tong X., Uchifune T., Walzl M.G., Wiegmann B.M., Wilbrandt J., Wipfler B., Wong T.K.F., Wu Q., Wu G., Xie Y., Yang S., Yang Q., Yeates D.K., Yoshizawa K., Zhang Q., Zhang R., Zhang W., Zhang Y., Zhao J., Zhou C., Zhou L., Ziesmann T., Zou S., Li Y., Xu X., Zhang Y., Yang H., Wang J., Wang J., Kjer K.M., Zhou X. 2014. Phylogenomics resolves the timing and pattern of insect evolution. Science. 346:763–767.</w:t>
      </w:r>
    </w:p>
    <w:p w14:paraId="213106BB"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Nurk S., Meleshko D., Korobeynikov A., Pevzner P.A. 2017. metaSPAdes: a new versatile metagenomic assembler. Genome Res. 27:824–834.</w:t>
      </w:r>
    </w:p>
    <w:p w14:paraId="70DBFBF0"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Paradis E., Schliep K. 2019. Ape 5.0: An environment for modern phylogenetics and evolutionary analyses in R. Bioinformatics. 35:526–528.</w:t>
      </w:r>
    </w:p>
    <w:p w14:paraId="425D1562"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 xml:space="preserve">Parham J.F., Donoghue P.C.J., Bell C.J., Calway T.D., Head J.J., Holroyd P.A., Inoue J.G., Irmis R.B., Joyce W.G., Ksepka D.T., Patané J.S.L., Smith N.D., Tarver J.E., Van Tuinen M., Yang Z., Angielczyk K.D., Greenwood J.M., Hipsley C.A., Jacobs L., </w:t>
      </w:r>
      <w:r w:rsidRPr="00F958AD">
        <w:rPr>
          <w:noProof/>
          <w:lang w:val="en-GB"/>
        </w:rPr>
        <w:lastRenderedPageBreak/>
        <w:t>Makovicky P.J., Müller J., Smith K.T., Theodor J.M., Warnock R.C.M., Benton M.J. 2012. Best practices for justifying fossil calibrations. Syst. Biol. 61:346–359.</w:t>
      </w:r>
    </w:p>
    <w:p w14:paraId="080A195C"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Pellens R., D’Haese C.A., Bellés X., Piulachs M.D., Legendre F., Wheeler W.C., Grandcolas P. 2007. The evolutionary transition from subsocial to eusocial behaviour in Dictyoptera: Phylogenetic evidence for modification of the “shift-in-dependent-care” hypothesis with a new subsocial cockroach. Mol. Phylogenet. Evol. 43:616–626.</w:t>
      </w:r>
    </w:p>
    <w:p w14:paraId="067BA036"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Piton E. 1940. Paléontologie du gisement éocène de Menat 1235 (Puy-de-Dôme) (flore et faune). Мémoires la Société d’Нistoire Nat. d’Auvergпe. 1:1–303.</w:t>
      </w:r>
    </w:p>
    <w:p w14:paraId="4FBDFD86"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Rambaut A., Drummond A.J., Xie D., Baele G., Suchard M.A. 2018. Posterior summarization in Bayesian phylogenetics using Tracer 1.7. Syst. Biol. 67:901–904.</w:t>
      </w:r>
    </w:p>
    <w:p w14:paraId="46B3E994"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Ritchie A.M., Lo N., Ho S.Y.W. 2017. The impact of the tree prior on molecular dating of data sets containing a mixture of inter- and intraspecies sampling. Syst. Biol. 66:413–425.</w:t>
      </w:r>
    </w:p>
    <w:p w14:paraId="7F149BD1"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Roth L.M. 1988. Some cavernicolous and epigean cockroaches with six new species, and a discussion of the Nocticolidae (Dictyoptera: Blattaria). Rev. suisse Zool. 95:297–321.</w:t>
      </w:r>
    </w:p>
    <w:p w14:paraId="54AAA4F3"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Roth L.M. 1991. A new cave-dwelling cockroach from Western Australia (Blattaria: Nocticolidae). Rec. West. Aust. Museum. 15:17–21.</w:t>
      </w:r>
    </w:p>
    <w:p w14:paraId="3186DA37"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Roth L.M. 1995. New Species and Records of Cockroaches From Western Australia (Blattaria). Rec. West. Aust. Museum. 17:153–161.</w:t>
      </w:r>
    </w:p>
    <w:p w14:paraId="1D6E44F4"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Roth L.M. 1999. New cockroach species, redescriptions, and records, mostly from Australia, and a description of Metanocticola christmasensis gen. nov., sp. nov., from Christmas Island (Blattaria). Rec. West. Aust. Museum. 19:327–364.</w:t>
      </w:r>
    </w:p>
    <w:p w14:paraId="2A57F75E"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Roth L.M. 2003. Some Cockroaches from Africa and Islands of the Indian Ocean , with Descriptions of Three New Species (Blattaria). Trans. Am. Entomol. Soc. 129:163–182.</w:t>
      </w:r>
    </w:p>
    <w:p w14:paraId="0BB9A9DE"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 xml:space="preserve">Roth L.M., McGavin G.C. 1994. Two new species of nocticolidae (Dictyoptera: Blattaria) </w:t>
      </w:r>
      <w:r w:rsidRPr="00F958AD">
        <w:rPr>
          <w:noProof/>
          <w:lang w:val="en-GB"/>
        </w:rPr>
        <w:lastRenderedPageBreak/>
        <w:t>and a rediagnosis of the cavernicolous genus spelaeoblatta bolivar. J. Nat. Hist. 28:1319–1326.</w:t>
      </w:r>
    </w:p>
    <w:p w14:paraId="6CB65F85"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Schliep K.P. 2011. phangorn: Phylogenetic analysis in R. Bioinformatics. 27:592–593.</w:t>
      </w:r>
    </w:p>
    <w:p w14:paraId="2B7B6229"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Shelford R. 1908. XXVI. Some new Genera and Species of Blattidae, with Notes on the Form and the Pronotum in the Subfamily Perisphaeriinae. Ann. Mag. Nat. Hist. 8:157–177.</w:t>
      </w:r>
    </w:p>
    <w:p w14:paraId="377187A7"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Shelford R. 1910. XIII. A new Cavernicolous Cockroach. Ann. Mag. Nat. Hist. 8:114–116.</w:t>
      </w:r>
    </w:p>
    <w:p w14:paraId="196DD375"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Silvestri F. 1946. Prima nota su alcuni termitofili dell’Indocina. Boll. del Lab. di Entomol. Afraria Filippo. 6:313–330.</w:t>
      </w:r>
    </w:p>
    <w:p w14:paraId="2555F56A"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Silvestri F. 1947. Seconda nota su alcuni termitofili dell’Indocina con una appendice sul Macrotermes Barneyi Light. Boll. Lab. Ent. agr. 7:13–40.</w:t>
      </w:r>
    </w:p>
    <w:p w14:paraId="6DB4A90A"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Simon C., Frati F., Beckenbach A., Crespi B., Liu H., Flook P. 1994. Evolution, weighting, and phylogenetic utility of mitochondrial gene sequences and a compilation of conserved polymerase chain reaction primers. Ann. Entomol. Soc. Am. 87:651–701.</w:t>
      </w:r>
    </w:p>
    <w:p w14:paraId="46C5D40D"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Song H., Moulton M.J., Whiting M.F. 2014. Rampant nuclear insertion of mtDNA across diverse lineages with in Orthoptera (Insecta). PLoS One. 9:41–43.</w:t>
      </w:r>
    </w:p>
    <w:p w14:paraId="2E64D476"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Strand E. 1928. Miscellanea nomenclatoria zoological et Paleontologica, I-II. Arch. für Naturgeschichte. 92:30–75.</w:t>
      </w:r>
    </w:p>
    <w:p w14:paraId="6D376F42"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Talavera G., Castresana J. 2007. Improvement of phylogenies after removing divergent and ambiguously aligned blocks from protein sequence alignments. Syst. Biol. 56:564–577.</w:t>
      </w:r>
    </w:p>
    <w:p w14:paraId="02B42041"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Tamura K., Nei M. 1993. Estimation of the number of nucleotide substitutions in the control region of mitochondrial DNA in humans and chimpanzees. Mol. Biol. Evol. 10:512–526.</w:t>
      </w:r>
    </w:p>
    <w:p w14:paraId="53461908"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 xml:space="preserve">Terrapon N., Li C., Robertson H.M., Ji L., Meng X., Booth W., Chen Z., Childers C.P., Glastad K.M., Gokhale K., Gowin J., Gronenberg W., Hermansen R.A., Hu H., Hunt </w:t>
      </w:r>
      <w:r w:rsidRPr="00F958AD">
        <w:rPr>
          <w:noProof/>
          <w:lang w:val="en-GB"/>
        </w:rPr>
        <w:lastRenderedPageBreak/>
        <w:t>B.G., Huylmans A.K., Khalil S.M.S., Mitchell R.D., Munoz-Torres M.C., Mustard J.A., Pan H., Reese J.T., Scharf M.E., Sun F., Vogel H., Xiao J., Yang W., Yang Z., Yang Z., Zhou J., Zhu J., Brent C.S., Elsik C.G., Goodisman M.A.D., Liberles D.A., Roe R.M., Vargo E.L., Vilcinskas A., Wang J., Bornberg-Bauer E., Korb J., Zhang G., Liebig J. 2014. Molecular traces of alternative social organization in a termite genome. Nat. Commun. 5:3636.</w:t>
      </w:r>
    </w:p>
    <w:p w14:paraId="433B2352"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Tokuda G., Isagawa H., Sugio K. 2012. The complete mitogenome of the Formosan termite, Coptotermes formosanus Shiraki. Insectes Soc. 59:17–24.</w:t>
      </w:r>
    </w:p>
    <w:p w14:paraId="4EC6E258"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Trotter A.J., McRae J.M., Main D.C., Finston T.L. 2017. Speciation in fractured rock landforms: Towards understanding the diversity of subterranean cockroaches (Dictyoptera: Nocticolidae: Nocticola) in Western Australia. Zootaxa. 4250:143–170.</w:t>
      </w:r>
    </w:p>
    <w:p w14:paraId="3EE636D7"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Vidlička L., Vršanský P., Kúdelová T., Kúdela M., Deharveng L., Hain M. 2017. New genus and species of cavernicolous cockroach (Blattaria, Nocticolidae) from Vietnam. Zootaxa. 4232:361–375.</w:t>
      </w:r>
    </w:p>
    <w:p w14:paraId="20D2AD06"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Vidlička Ľ., Vršanský P., Shcherbakov D.E. 2003. Two new troglobitic cockroach species of the genus spelaeoblatta (blattaria: Nocticolidae) from North Thailand. J. Nat. Hist. 37:107–114.</w:t>
      </w:r>
    </w:p>
    <w:p w14:paraId="4D448DA1"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Wang Z., Shi Y., Qiu Z., Che Y., Lo N. 2017. Reconstructing the phylogeny of Blattodea: Robust support for interfamilial relationships and major clades. Sci. Rep. 7:1–8.</w:t>
      </w:r>
    </w:p>
    <w:p w14:paraId="59FA3A25"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Xiao B., Chen A.H., Zhang Y.Y., Jiang G.F., Hu C.C., Zhu C.D. 2012. Complete mitochondrial genomes of two cockroaches, Blattella germanica and Periplaneta americana, and the phylogenetic position of termites. Curr. Genet. 58:65–77.</w:t>
      </w:r>
    </w:p>
    <w:p w14:paraId="6F95836B"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Yang Z. 2007. PAML 4: Phylogenetic analysis by maximum likelihood. Mol. Biol. Evol. 24:1586–1591.</w:t>
      </w:r>
    </w:p>
    <w:p w14:paraId="55DF81E0"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 xml:space="preserve">Ye F., Lan X.E., Zhu W.B., You P. 2016. Mitochondrial genomes of praying mantises </w:t>
      </w:r>
      <w:r w:rsidRPr="00F958AD">
        <w:rPr>
          <w:noProof/>
          <w:lang w:val="en-GB"/>
        </w:rPr>
        <w:lastRenderedPageBreak/>
        <w:t>(Dictyoptera, Mantodea): Rearrangement, duplication, and reassignment of tRNA genes. Sci. Rep. 6:1–9.</w:t>
      </w:r>
    </w:p>
    <w:p w14:paraId="7A865EB0"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Zhang C., Rabiee M., Sayyari E., Mirarab S. 2018. ASTRAL-III: Polynomial time species tree reconstruction from partially resolved gene trees. BMC Bioinformatics. 19:15–30.</w:t>
      </w:r>
    </w:p>
    <w:p w14:paraId="0FEB90DC" w14:textId="77777777" w:rsidR="00A42E98" w:rsidRPr="00F958AD" w:rsidRDefault="00A42E98" w:rsidP="002C391C">
      <w:pPr>
        <w:widowControl w:val="0"/>
        <w:autoSpaceDE w:val="0"/>
        <w:autoSpaceDN w:val="0"/>
        <w:adjustRightInd w:val="0"/>
        <w:spacing w:line="480" w:lineRule="auto"/>
        <w:ind w:left="480" w:hanging="480"/>
        <w:rPr>
          <w:noProof/>
          <w:lang w:val="en-GB"/>
        </w:rPr>
      </w:pPr>
      <w:r w:rsidRPr="00F958AD">
        <w:rPr>
          <w:noProof/>
          <w:lang w:val="en-GB"/>
        </w:rPr>
        <w:t>Zhang C., Sayyari E., Mirarab S. 2017. ASTRAL-III: Increased Scalability and Impacts of Contracting Low Support Branches. In: Meidanis J., Nakhleh L., editors. Lecture Notes in Computer Science. Springer. p. 53–75.</w:t>
      </w:r>
    </w:p>
    <w:p w14:paraId="5B20F268" w14:textId="77777777" w:rsidR="00A42E98" w:rsidRPr="00F958AD" w:rsidRDefault="00A42E98" w:rsidP="002C391C">
      <w:pPr>
        <w:widowControl w:val="0"/>
        <w:autoSpaceDE w:val="0"/>
        <w:autoSpaceDN w:val="0"/>
        <w:adjustRightInd w:val="0"/>
        <w:spacing w:line="480" w:lineRule="auto"/>
        <w:ind w:left="480" w:hanging="480"/>
        <w:rPr>
          <w:noProof/>
        </w:rPr>
      </w:pPr>
      <w:r w:rsidRPr="00F958AD">
        <w:rPr>
          <w:noProof/>
          <w:lang w:val="en-GB"/>
        </w:rPr>
        <w:t>Zhang Z., Schneider J.W., Hong Y. 2013. The most ancient roach (Blattodea): A new genus and species from the earliest Late Carboniferous (Namurian) of China, with a discussion of the phylomorphogeny of early blattids. J. Syst. Palaeontol. 11:27–40.</w:t>
      </w:r>
    </w:p>
    <w:p w14:paraId="7477EAD5" w14:textId="1A005940" w:rsidR="009A4283" w:rsidRPr="00F958AD" w:rsidRDefault="00A42E98" w:rsidP="002C391C">
      <w:pPr>
        <w:spacing w:line="480" w:lineRule="auto"/>
      </w:pPr>
      <w:r w:rsidRPr="00F958AD">
        <w:fldChar w:fldCharType="end"/>
      </w:r>
    </w:p>
    <w:sectPr w:rsidR="009A4283" w:rsidRPr="00F958AD" w:rsidSect="001E37FD">
      <w:pgSz w:w="11901" w:h="16817"/>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3995F" w14:textId="77777777" w:rsidR="007325F3" w:rsidRDefault="007325F3" w:rsidP="004C4514">
      <w:r>
        <w:separator/>
      </w:r>
    </w:p>
  </w:endnote>
  <w:endnote w:type="continuationSeparator" w:id="0">
    <w:p w14:paraId="1EF5B202" w14:textId="77777777" w:rsidR="007325F3" w:rsidRDefault="007325F3" w:rsidP="004C4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ymbol">
    <w:panose1 w:val="05050102010706020507"/>
    <w:charset w:val="02"/>
    <w:family w:val="decorative"/>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6364039"/>
      <w:docPartObj>
        <w:docPartGallery w:val="Page Numbers (Bottom of Page)"/>
        <w:docPartUnique/>
      </w:docPartObj>
    </w:sdtPr>
    <w:sdtContent>
      <w:p w14:paraId="31883810" w14:textId="14F045B0" w:rsidR="004C4514" w:rsidRDefault="004C4514" w:rsidP="00294D2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1010E7">
          <w:rPr>
            <w:rStyle w:val="PageNumber"/>
            <w:noProof/>
          </w:rPr>
          <w:t>18</w:t>
        </w:r>
        <w:r>
          <w:rPr>
            <w:rStyle w:val="PageNumber"/>
          </w:rPr>
          <w:fldChar w:fldCharType="end"/>
        </w:r>
      </w:p>
    </w:sdtContent>
  </w:sdt>
  <w:p w14:paraId="2439816C" w14:textId="42411800" w:rsidR="00E01387" w:rsidRDefault="00E01387" w:rsidP="00294D20">
    <w:pPr>
      <w:pStyle w:val="paragraph"/>
      <w:ind w:right="360"/>
      <w:rPr>
        <w:rStyle w:val="PageNumber"/>
      </w:rPr>
    </w:pPr>
  </w:p>
  <w:p w14:paraId="4D26C661" w14:textId="77777777" w:rsidR="00E01387" w:rsidRDefault="00E01387" w:rsidP="00E01387">
    <w:pPr>
      <w:pStyle w:val="paragrap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BED4E" w14:textId="77777777" w:rsidR="00294D20" w:rsidRDefault="00294D20" w:rsidP="00294D2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75547" w14:textId="77777777" w:rsidR="007325F3" w:rsidRDefault="007325F3" w:rsidP="004C4514">
      <w:r>
        <w:separator/>
      </w:r>
    </w:p>
  </w:footnote>
  <w:footnote w:type="continuationSeparator" w:id="0">
    <w:p w14:paraId="3D871A33" w14:textId="77777777" w:rsidR="007325F3" w:rsidRDefault="007325F3" w:rsidP="004C45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452690"/>
    <w:multiLevelType w:val="hybridMultilevel"/>
    <w:tmpl w:val="D284B7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624014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594"/>
    <w:rsid w:val="00006D15"/>
    <w:rsid w:val="00007813"/>
    <w:rsid w:val="0002025B"/>
    <w:rsid w:val="00031684"/>
    <w:rsid w:val="00034FAE"/>
    <w:rsid w:val="00035812"/>
    <w:rsid w:val="00040161"/>
    <w:rsid w:val="00051002"/>
    <w:rsid w:val="00053841"/>
    <w:rsid w:val="000558EC"/>
    <w:rsid w:val="00062429"/>
    <w:rsid w:val="00065982"/>
    <w:rsid w:val="00075805"/>
    <w:rsid w:val="00082197"/>
    <w:rsid w:val="00083464"/>
    <w:rsid w:val="000A3BCB"/>
    <w:rsid w:val="000C5BA4"/>
    <w:rsid w:val="000D15D9"/>
    <w:rsid w:val="000D6F81"/>
    <w:rsid w:val="000E0CC2"/>
    <w:rsid w:val="000F31A2"/>
    <w:rsid w:val="000F4A68"/>
    <w:rsid w:val="000F6595"/>
    <w:rsid w:val="001010E7"/>
    <w:rsid w:val="00103901"/>
    <w:rsid w:val="001052B0"/>
    <w:rsid w:val="00112625"/>
    <w:rsid w:val="00124A84"/>
    <w:rsid w:val="00125A99"/>
    <w:rsid w:val="00131D86"/>
    <w:rsid w:val="00131DC7"/>
    <w:rsid w:val="001431EC"/>
    <w:rsid w:val="00146399"/>
    <w:rsid w:val="00153D94"/>
    <w:rsid w:val="00160426"/>
    <w:rsid w:val="00160AF5"/>
    <w:rsid w:val="0016172B"/>
    <w:rsid w:val="00165C2C"/>
    <w:rsid w:val="001730E9"/>
    <w:rsid w:val="00175CE7"/>
    <w:rsid w:val="00177538"/>
    <w:rsid w:val="00181DB8"/>
    <w:rsid w:val="0018647C"/>
    <w:rsid w:val="00190908"/>
    <w:rsid w:val="00192402"/>
    <w:rsid w:val="0019413E"/>
    <w:rsid w:val="0019493C"/>
    <w:rsid w:val="001A7020"/>
    <w:rsid w:val="001B450E"/>
    <w:rsid w:val="001C1E8A"/>
    <w:rsid w:val="001C34E4"/>
    <w:rsid w:val="001C355D"/>
    <w:rsid w:val="001D6A91"/>
    <w:rsid w:val="001E0B42"/>
    <w:rsid w:val="001E190E"/>
    <w:rsid w:val="001E27B9"/>
    <w:rsid w:val="001E37FD"/>
    <w:rsid w:val="001E55F7"/>
    <w:rsid w:val="00210F07"/>
    <w:rsid w:val="00215B89"/>
    <w:rsid w:val="002169E5"/>
    <w:rsid w:val="00226AEF"/>
    <w:rsid w:val="00231007"/>
    <w:rsid w:val="00233793"/>
    <w:rsid w:val="002450DE"/>
    <w:rsid w:val="002472A9"/>
    <w:rsid w:val="00250600"/>
    <w:rsid w:val="00263059"/>
    <w:rsid w:val="00276C0E"/>
    <w:rsid w:val="00276F4F"/>
    <w:rsid w:val="002838C0"/>
    <w:rsid w:val="00286D43"/>
    <w:rsid w:val="00292D6B"/>
    <w:rsid w:val="00294D20"/>
    <w:rsid w:val="002A4C71"/>
    <w:rsid w:val="002B437E"/>
    <w:rsid w:val="002C178C"/>
    <w:rsid w:val="002C391C"/>
    <w:rsid w:val="002C4EE3"/>
    <w:rsid w:val="002D63CE"/>
    <w:rsid w:val="002E3DFA"/>
    <w:rsid w:val="002F01CC"/>
    <w:rsid w:val="002F047C"/>
    <w:rsid w:val="002F564C"/>
    <w:rsid w:val="00304378"/>
    <w:rsid w:val="00312A47"/>
    <w:rsid w:val="00314FB9"/>
    <w:rsid w:val="00315B09"/>
    <w:rsid w:val="00320502"/>
    <w:rsid w:val="00320BCA"/>
    <w:rsid w:val="00325886"/>
    <w:rsid w:val="00330817"/>
    <w:rsid w:val="00332293"/>
    <w:rsid w:val="003344A5"/>
    <w:rsid w:val="00336C4C"/>
    <w:rsid w:val="00342228"/>
    <w:rsid w:val="003449F8"/>
    <w:rsid w:val="003451FA"/>
    <w:rsid w:val="00346696"/>
    <w:rsid w:val="00360462"/>
    <w:rsid w:val="00363F07"/>
    <w:rsid w:val="00364021"/>
    <w:rsid w:val="003847A8"/>
    <w:rsid w:val="00385184"/>
    <w:rsid w:val="00396661"/>
    <w:rsid w:val="00396A8C"/>
    <w:rsid w:val="003A0D6E"/>
    <w:rsid w:val="003A201D"/>
    <w:rsid w:val="003A25AE"/>
    <w:rsid w:val="003A4809"/>
    <w:rsid w:val="003B11E2"/>
    <w:rsid w:val="003B3A2D"/>
    <w:rsid w:val="003B77D1"/>
    <w:rsid w:val="003C6746"/>
    <w:rsid w:val="003D4590"/>
    <w:rsid w:val="003D4D8D"/>
    <w:rsid w:val="003E66DD"/>
    <w:rsid w:val="003E7D38"/>
    <w:rsid w:val="003F48D7"/>
    <w:rsid w:val="0041152B"/>
    <w:rsid w:val="00412F23"/>
    <w:rsid w:val="00416BD6"/>
    <w:rsid w:val="00425E7C"/>
    <w:rsid w:val="00430309"/>
    <w:rsid w:val="004307D3"/>
    <w:rsid w:val="0043328C"/>
    <w:rsid w:val="00440B34"/>
    <w:rsid w:val="00441512"/>
    <w:rsid w:val="00454C14"/>
    <w:rsid w:val="00457357"/>
    <w:rsid w:val="00465574"/>
    <w:rsid w:val="004666F0"/>
    <w:rsid w:val="00467CD8"/>
    <w:rsid w:val="00480D1C"/>
    <w:rsid w:val="00481DFA"/>
    <w:rsid w:val="00486546"/>
    <w:rsid w:val="004A3EA4"/>
    <w:rsid w:val="004A7045"/>
    <w:rsid w:val="004B27A6"/>
    <w:rsid w:val="004C1930"/>
    <w:rsid w:val="004C4514"/>
    <w:rsid w:val="004D28E8"/>
    <w:rsid w:val="004D62A6"/>
    <w:rsid w:val="004D63E8"/>
    <w:rsid w:val="004E391C"/>
    <w:rsid w:val="004E6712"/>
    <w:rsid w:val="004F2CD7"/>
    <w:rsid w:val="004F55D3"/>
    <w:rsid w:val="005028A0"/>
    <w:rsid w:val="00502B1D"/>
    <w:rsid w:val="005079A0"/>
    <w:rsid w:val="00516301"/>
    <w:rsid w:val="005300B7"/>
    <w:rsid w:val="00530304"/>
    <w:rsid w:val="0054210E"/>
    <w:rsid w:val="00543215"/>
    <w:rsid w:val="005438CF"/>
    <w:rsid w:val="00543C61"/>
    <w:rsid w:val="00551F2D"/>
    <w:rsid w:val="0055600B"/>
    <w:rsid w:val="005574A2"/>
    <w:rsid w:val="00560227"/>
    <w:rsid w:val="00562C3D"/>
    <w:rsid w:val="00564BB8"/>
    <w:rsid w:val="00566DB4"/>
    <w:rsid w:val="00573C9E"/>
    <w:rsid w:val="00583612"/>
    <w:rsid w:val="0058593D"/>
    <w:rsid w:val="00596517"/>
    <w:rsid w:val="005A00FE"/>
    <w:rsid w:val="005A7088"/>
    <w:rsid w:val="005B01F3"/>
    <w:rsid w:val="005B4686"/>
    <w:rsid w:val="005B4EE0"/>
    <w:rsid w:val="005C07A1"/>
    <w:rsid w:val="005C1C73"/>
    <w:rsid w:val="005C4E51"/>
    <w:rsid w:val="005C5734"/>
    <w:rsid w:val="005C7FF0"/>
    <w:rsid w:val="005D4910"/>
    <w:rsid w:val="005E0E68"/>
    <w:rsid w:val="005E1115"/>
    <w:rsid w:val="005E7448"/>
    <w:rsid w:val="005F1934"/>
    <w:rsid w:val="005F29A7"/>
    <w:rsid w:val="005F7594"/>
    <w:rsid w:val="00603180"/>
    <w:rsid w:val="006058AE"/>
    <w:rsid w:val="00612FD7"/>
    <w:rsid w:val="00621238"/>
    <w:rsid w:val="006236BA"/>
    <w:rsid w:val="00624230"/>
    <w:rsid w:val="006351EF"/>
    <w:rsid w:val="0063688E"/>
    <w:rsid w:val="00646A9D"/>
    <w:rsid w:val="00646CD5"/>
    <w:rsid w:val="00656478"/>
    <w:rsid w:val="006579E2"/>
    <w:rsid w:val="00657FAA"/>
    <w:rsid w:val="00664FC1"/>
    <w:rsid w:val="00676AB1"/>
    <w:rsid w:val="0068189B"/>
    <w:rsid w:val="00692E83"/>
    <w:rsid w:val="00693194"/>
    <w:rsid w:val="00693E19"/>
    <w:rsid w:val="006B14DA"/>
    <w:rsid w:val="006B6DB2"/>
    <w:rsid w:val="006D4694"/>
    <w:rsid w:val="006E6233"/>
    <w:rsid w:val="007058B6"/>
    <w:rsid w:val="00706694"/>
    <w:rsid w:val="00707D41"/>
    <w:rsid w:val="00710601"/>
    <w:rsid w:val="00725C2C"/>
    <w:rsid w:val="007325F3"/>
    <w:rsid w:val="007404EE"/>
    <w:rsid w:val="00744CAF"/>
    <w:rsid w:val="007509FF"/>
    <w:rsid w:val="0075119B"/>
    <w:rsid w:val="007550EA"/>
    <w:rsid w:val="007559DF"/>
    <w:rsid w:val="00755ED9"/>
    <w:rsid w:val="00760590"/>
    <w:rsid w:val="00762659"/>
    <w:rsid w:val="00773E33"/>
    <w:rsid w:val="00776B4E"/>
    <w:rsid w:val="007807D3"/>
    <w:rsid w:val="00781CF8"/>
    <w:rsid w:val="007909C6"/>
    <w:rsid w:val="007A1557"/>
    <w:rsid w:val="007A221A"/>
    <w:rsid w:val="007A2235"/>
    <w:rsid w:val="007B073F"/>
    <w:rsid w:val="007B1EC9"/>
    <w:rsid w:val="007B30C4"/>
    <w:rsid w:val="007B3BFA"/>
    <w:rsid w:val="007C3AB8"/>
    <w:rsid w:val="007C3AF5"/>
    <w:rsid w:val="007C4711"/>
    <w:rsid w:val="007C6ADD"/>
    <w:rsid w:val="007C7F60"/>
    <w:rsid w:val="007D25CB"/>
    <w:rsid w:val="007E2B56"/>
    <w:rsid w:val="007F14C8"/>
    <w:rsid w:val="007F38CF"/>
    <w:rsid w:val="007F3CC5"/>
    <w:rsid w:val="007F59A6"/>
    <w:rsid w:val="0081753E"/>
    <w:rsid w:val="00822135"/>
    <w:rsid w:val="008228DA"/>
    <w:rsid w:val="00834FC7"/>
    <w:rsid w:val="00836A01"/>
    <w:rsid w:val="00837BB0"/>
    <w:rsid w:val="0084276B"/>
    <w:rsid w:val="0084337C"/>
    <w:rsid w:val="00846B93"/>
    <w:rsid w:val="00853FB0"/>
    <w:rsid w:val="008549A2"/>
    <w:rsid w:val="00867A4D"/>
    <w:rsid w:val="0087014C"/>
    <w:rsid w:val="008701D7"/>
    <w:rsid w:val="00873D51"/>
    <w:rsid w:val="00877016"/>
    <w:rsid w:val="00882ADC"/>
    <w:rsid w:val="00887FF5"/>
    <w:rsid w:val="00890736"/>
    <w:rsid w:val="008A1DC1"/>
    <w:rsid w:val="008A7FD0"/>
    <w:rsid w:val="008C68D3"/>
    <w:rsid w:val="008C7788"/>
    <w:rsid w:val="008D5725"/>
    <w:rsid w:val="008E46CD"/>
    <w:rsid w:val="008E501F"/>
    <w:rsid w:val="008F32A5"/>
    <w:rsid w:val="008F3A2E"/>
    <w:rsid w:val="00900F9D"/>
    <w:rsid w:val="00904545"/>
    <w:rsid w:val="00907D6F"/>
    <w:rsid w:val="0092331B"/>
    <w:rsid w:val="00930872"/>
    <w:rsid w:val="0093726E"/>
    <w:rsid w:val="00940F07"/>
    <w:rsid w:val="00943228"/>
    <w:rsid w:val="0094324D"/>
    <w:rsid w:val="00945F75"/>
    <w:rsid w:val="00947A8F"/>
    <w:rsid w:val="00951491"/>
    <w:rsid w:val="00951F08"/>
    <w:rsid w:val="00957DE3"/>
    <w:rsid w:val="00970128"/>
    <w:rsid w:val="009713E5"/>
    <w:rsid w:val="00981A31"/>
    <w:rsid w:val="00990815"/>
    <w:rsid w:val="0099433E"/>
    <w:rsid w:val="00997D63"/>
    <w:rsid w:val="009A2E0B"/>
    <w:rsid w:val="009A4283"/>
    <w:rsid w:val="009B5BD3"/>
    <w:rsid w:val="009D065A"/>
    <w:rsid w:val="009F273F"/>
    <w:rsid w:val="00A0318D"/>
    <w:rsid w:val="00A0727C"/>
    <w:rsid w:val="00A138CC"/>
    <w:rsid w:val="00A17B55"/>
    <w:rsid w:val="00A2056C"/>
    <w:rsid w:val="00A23B5F"/>
    <w:rsid w:val="00A304EC"/>
    <w:rsid w:val="00A3138F"/>
    <w:rsid w:val="00A34FBD"/>
    <w:rsid w:val="00A42E98"/>
    <w:rsid w:val="00A460DD"/>
    <w:rsid w:val="00A52AAA"/>
    <w:rsid w:val="00A52FD4"/>
    <w:rsid w:val="00A60CDD"/>
    <w:rsid w:val="00A649B9"/>
    <w:rsid w:val="00A64D00"/>
    <w:rsid w:val="00A6579D"/>
    <w:rsid w:val="00A66753"/>
    <w:rsid w:val="00A845AC"/>
    <w:rsid w:val="00A86529"/>
    <w:rsid w:val="00A90DA5"/>
    <w:rsid w:val="00A96D6B"/>
    <w:rsid w:val="00A97ED0"/>
    <w:rsid w:val="00AA29F7"/>
    <w:rsid w:val="00AA5C49"/>
    <w:rsid w:val="00AC050A"/>
    <w:rsid w:val="00AC2F54"/>
    <w:rsid w:val="00AC4BF6"/>
    <w:rsid w:val="00AC76C6"/>
    <w:rsid w:val="00AD1219"/>
    <w:rsid w:val="00AD4B48"/>
    <w:rsid w:val="00AE04D0"/>
    <w:rsid w:val="00AE0B09"/>
    <w:rsid w:val="00AE353A"/>
    <w:rsid w:val="00AE4572"/>
    <w:rsid w:val="00AE45C9"/>
    <w:rsid w:val="00B04E69"/>
    <w:rsid w:val="00B1019E"/>
    <w:rsid w:val="00B24A40"/>
    <w:rsid w:val="00B26180"/>
    <w:rsid w:val="00B32DB2"/>
    <w:rsid w:val="00B33E40"/>
    <w:rsid w:val="00B35F96"/>
    <w:rsid w:val="00B367CC"/>
    <w:rsid w:val="00B41C2E"/>
    <w:rsid w:val="00B4266A"/>
    <w:rsid w:val="00B44066"/>
    <w:rsid w:val="00B44067"/>
    <w:rsid w:val="00B56F70"/>
    <w:rsid w:val="00B6592F"/>
    <w:rsid w:val="00B75ADA"/>
    <w:rsid w:val="00B8099B"/>
    <w:rsid w:val="00B837E1"/>
    <w:rsid w:val="00B90944"/>
    <w:rsid w:val="00B96F83"/>
    <w:rsid w:val="00BA159C"/>
    <w:rsid w:val="00BA5AA4"/>
    <w:rsid w:val="00BB04FA"/>
    <w:rsid w:val="00BB2C23"/>
    <w:rsid w:val="00BB494B"/>
    <w:rsid w:val="00BD0C83"/>
    <w:rsid w:val="00BE3982"/>
    <w:rsid w:val="00BF2339"/>
    <w:rsid w:val="00C02BA0"/>
    <w:rsid w:val="00C0485D"/>
    <w:rsid w:val="00C07A4E"/>
    <w:rsid w:val="00C1672B"/>
    <w:rsid w:val="00C208A6"/>
    <w:rsid w:val="00C219AF"/>
    <w:rsid w:val="00C25065"/>
    <w:rsid w:val="00C27DE8"/>
    <w:rsid w:val="00C314A1"/>
    <w:rsid w:val="00C3541F"/>
    <w:rsid w:val="00C355C8"/>
    <w:rsid w:val="00C412D9"/>
    <w:rsid w:val="00C43874"/>
    <w:rsid w:val="00C44792"/>
    <w:rsid w:val="00C516F1"/>
    <w:rsid w:val="00C5203D"/>
    <w:rsid w:val="00C57621"/>
    <w:rsid w:val="00C57B78"/>
    <w:rsid w:val="00C62D56"/>
    <w:rsid w:val="00C74D89"/>
    <w:rsid w:val="00C7647A"/>
    <w:rsid w:val="00C76DDD"/>
    <w:rsid w:val="00C77065"/>
    <w:rsid w:val="00C77516"/>
    <w:rsid w:val="00C81642"/>
    <w:rsid w:val="00C8619E"/>
    <w:rsid w:val="00CB2BDB"/>
    <w:rsid w:val="00CC2019"/>
    <w:rsid w:val="00CD4168"/>
    <w:rsid w:val="00CD5B19"/>
    <w:rsid w:val="00CD67DC"/>
    <w:rsid w:val="00CD6A3F"/>
    <w:rsid w:val="00CE0DDD"/>
    <w:rsid w:val="00CE5D03"/>
    <w:rsid w:val="00CE6647"/>
    <w:rsid w:val="00CF0BE8"/>
    <w:rsid w:val="00D108E9"/>
    <w:rsid w:val="00D1748F"/>
    <w:rsid w:val="00D22E95"/>
    <w:rsid w:val="00D272C5"/>
    <w:rsid w:val="00D33B6B"/>
    <w:rsid w:val="00D3689C"/>
    <w:rsid w:val="00D40067"/>
    <w:rsid w:val="00D507FD"/>
    <w:rsid w:val="00D5265C"/>
    <w:rsid w:val="00D53042"/>
    <w:rsid w:val="00D549EC"/>
    <w:rsid w:val="00D6310F"/>
    <w:rsid w:val="00D8310C"/>
    <w:rsid w:val="00DA1817"/>
    <w:rsid w:val="00DB3599"/>
    <w:rsid w:val="00DC4E33"/>
    <w:rsid w:val="00DC5B1D"/>
    <w:rsid w:val="00DD041B"/>
    <w:rsid w:val="00DD4E8B"/>
    <w:rsid w:val="00DF62EF"/>
    <w:rsid w:val="00E01387"/>
    <w:rsid w:val="00E02387"/>
    <w:rsid w:val="00E045FF"/>
    <w:rsid w:val="00E077DF"/>
    <w:rsid w:val="00E131DF"/>
    <w:rsid w:val="00E13366"/>
    <w:rsid w:val="00E1397D"/>
    <w:rsid w:val="00E1608C"/>
    <w:rsid w:val="00E25FA9"/>
    <w:rsid w:val="00E2788C"/>
    <w:rsid w:val="00E37DE4"/>
    <w:rsid w:val="00E449EE"/>
    <w:rsid w:val="00E46C5B"/>
    <w:rsid w:val="00E703A9"/>
    <w:rsid w:val="00E75DD0"/>
    <w:rsid w:val="00E82A13"/>
    <w:rsid w:val="00E877EE"/>
    <w:rsid w:val="00E91898"/>
    <w:rsid w:val="00E93C9F"/>
    <w:rsid w:val="00E97BBC"/>
    <w:rsid w:val="00EB0FE7"/>
    <w:rsid w:val="00EB67A8"/>
    <w:rsid w:val="00EC243B"/>
    <w:rsid w:val="00ED3D4C"/>
    <w:rsid w:val="00ED7985"/>
    <w:rsid w:val="00EE14EF"/>
    <w:rsid w:val="00EF0559"/>
    <w:rsid w:val="00EF33BA"/>
    <w:rsid w:val="00EF73A4"/>
    <w:rsid w:val="00F10750"/>
    <w:rsid w:val="00F10783"/>
    <w:rsid w:val="00F1168D"/>
    <w:rsid w:val="00F12F45"/>
    <w:rsid w:val="00F14B4A"/>
    <w:rsid w:val="00F25DEC"/>
    <w:rsid w:val="00F35C05"/>
    <w:rsid w:val="00F3648B"/>
    <w:rsid w:val="00F41A8C"/>
    <w:rsid w:val="00F446DE"/>
    <w:rsid w:val="00F657F4"/>
    <w:rsid w:val="00F663AE"/>
    <w:rsid w:val="00F846FD"/>
    <w:rsid w:val="00F85C45"/>
    <w:rsid w:val="00F87926"/>
    <w:rsid w:val="00F93084"/>
    <w:rsid w:val="00F95148"/>
    <w:rsid w:val="00F958AD"/>
    <w:rsid w:val="00FA1AF0"/>
    <w:rsid w:val="00FA1CE1"/>
    <w:rsid w:val="00FA6F0C"/>
    <w:rsid w:val="00FA7371"/>
    <w:rsid w:val="00FA7855"/>
    <w:rsid w:val="00FC31E1"/>
    <w:rsid w:val="00FC7F63"/>
    <w:rsid w:val="00FD1485"/>
    <w:rsid w:val="00FD17B4"/>
    <w:rsid w:val="00FD3D9D"/>
    <w:rsid w:val="00FD41FB"/>
    <w:rsid w:val="00FE0820"/>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11B96"/>
  <w15:chartTrackingRefBased/>
  <w15:docId w15:val="{FAE5D2E3-E9A5-7245-903E-286D5B612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1D86"/>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rsid w:val="005F7594"/>
    <w:pPr>
      <w:spacing w:before="240" w:after="240" w:line="360" w:lineRule="auto"/>
      <w:jc w:val="both"/>
      <w:outlineLvl w:val="0"/>
    </w:pPr>
    <w:rPr>
      <w:rFonts w:eastAsiaTheme="minorEastAsia"/>
      <w:b/>
      <w:bCs/>
      <w:color w:val="000000" w:themeColor="text1"/>
      <w:sz w:val="28"/>
      <w:szCs w:val="28"/>
      <w:shd w:val="clear" w:color="auto" w:fill="FFFFFF"/>
      <w:lang w:eastAsia="ja-JP"/>
    </w:rPr>
  </w:style>
  <w:style w:type="paragraph" w:styleId="Heading2">
    <w:name w:val="heading 2"/>
    <w:basedOn w:val="Normal"/>
    <w:next w:val="Normal"/>
    <w:link w:val="Heading2Char"/>
    <w:uiPriority w:val="9"/>
    <w:unhideWhenUsed/>
    <w:qFormat/>
    <w:rsid w:val="008C68D3"/>
    <w:pPr>
      <w:spacing w:before="120" w:after="120" w:line="360" w:lineRule="auto"/>
      <w:jc w:val="both"/>
      <w:outlineLvl w:val="1"/>
    </w:pPr>
    <w:rPr>
      <w:rFonts w:eastAsiaTheme="minorHAnsi"/>
      <w:smallCaps/>
      <w:lang w:eastAsia="en-US"/>
    </w:rPr>
  </w:style>
  <w:style w:type="paragraph" w:styleId="Heading3">
    <w:name w:val="heading 3"/>
    <w:basedOn w:val="Normal"/>
    <w:next w:val="Normal"/>
    <w:link w:val="Heading3Char"/>
    <w:uiPriority w:val="9"/>
    <w:unhideWhenUsed/>
    <w:qFormat/>
    <w:rsid w:val="008C68D3"/>
    <w:pPr>
      <w:spacing w:before="120" w:after="120" w:line="360" w:lineRule="auto"/>
      <w:jc w:val="both"/>
      <w:outlineLvl w:val="2"/>
    </w:pPr>
    <w:rPr>
      <w:rFonts w:eastAsiaTheme="minorHAnsi"/>
      <w:i/>
      <w:i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7594"/>
    <w:rPr>
      <w:rFonts w:ascii="Times New Roman" w:eastAsiaTheme="minorEastAsia" w:hAnsi="Times New Roman" w:cs="Times New Roman"/>
      <w:b/>
      <w:bCs/>
      <w:color w:val="000000" w:themeColor="text1"/>
      <w:sz w:val="28"/>
      <w:szCs w:val="28"/>
      <w:lang w:eastAsia="ja-JP"/>
    </w:rPr>
  </w:style>
  <w:style w:type="character" w:styleId="CommentReference">
    <w:name w:val="annotation reference"/>
    <w:basedOn w:val="DefaultParagraphFont"/>
    <w:uiPriority w:val="99"/>
    <w:semiHidden/>
    <w:unhideWhenUsed/>
    <w:rsid w:val="005F7594"/>
    <w:rPr>
      <w:sz w:val="16"/>
      <w:szCs w:val="16"/>
    </w:rPr>
  </w:style>
  <w:style w:type="paragraph" w:styleId="CommentText">
    <w:name w:val="annotation text"/>
    <w:basedOn w:val="Normal"/>
    <w:link w:val="CommentTextChar"/>
    <w:uiPriority w:val="99"/>
    <w:unhideWhenUsed/>
    <w:rsid w:val="005F7594"/>
    <w:pPr>
      <w:spacing w:line="360" w:lineRule="auto"/>
      <w:jc w:val="both"/>
    </w:pPr>
    <w:rPr>
      <w:rFonts w:eastAsiaTheme="minorEastAsia"/>
      <w:color w:val="000000" w:themeColor="text1"/>
      <w:sz w:val="20"/>
      <w:szCs w:val="20"/>
      <w:lang w:eastAsia="ja-JP"/>
    </w:rPr>
  </w:style>
  <w:style w:type="character" w:customStyle="1" w:styleId="CommentTextChar">
    <w:name w:val="Comment Text Char"/>
    <w:basedOn w:val="DefaultParagraphFont"/>
    <w:link w:val="CommentText"/>
    <w:uiPriority w:val="99"/>
    <w:rsid w:val="005F7594"/>
    <w:rPr>
      <w:rFonts w:ascii="Times New Roman" w:eastAsiaTheme="minorEastAsia" w:hAnsi="Times New Roman" w:cs="Times New Roman"/>
      <w:color w:val="000000" w:themeColor="text1"/>
      <w:sz w:val="20"/>
      <w:szCs w:val="20"/>
      <w:lang w:eastAsia="ja-JP"/>
    </w:rPr>
  </w:style>
  <w:style w:type="character" w:styleId="Hyperlink">
    <w:name w:val="Hyperlink"/>
    <w:basedOn w:val="DefaultParagraphFont"/>
    <w:uiPriority w:val="99"/>
    <w:unhideWhenUsed/>
    <w:rsid w:val="005F7594"/>
    <w:rPr>
      <w:color w:val="0563C1" w:themeColor="hyperlink"/>
      <w:u w:val="single"/>
    </w:rPr>
  </w:style>
  <w:style w:type="paragraph" w:styleId="ListParagraph">
    <w:name w:val="List Paragraph"/>
    <w:basedOn w:val="Normal"/>
    <w:uiPriority w:val="34"/>
    <w:qFormat/>
    <w:rsid w:val="005F7594"/>
    <w:pPr>
      <w:spacing w:line="360" w:lineRule="auto"/>
      <w:ind w:left="720"/>
      <w:contextualSpacing/>
      <w:jc w:val="both"/>
    </w:pPr>
    <w:rPr>
      <w:rFonts w:eastAsiaTheme="minorEastAsia"/>
      <w:color w:val="000000" w:themeColor="text1"/>
      <w:lang w:eastAsia="ja-JP"/>
    </w:rPr>
  </w:style>
  <w:style w:type="paragraph" w:customStyle="1" w:styleId="paragraph">
    <w:name w:val="paragraph"/>
    <w:basedOn w:val="Normal"/>
    <w:rsid w:val="005F7594"/>
    <w:pPr>
      <w:spacing w:before="100" w:beforeAutospacing="1" w:after="100" w:afterAutospacing="1" w:line="360" w:lineRule="auto"/>
      <w:jc w:val="both"/>
    </w:pPr>
  </w:style>
  <w:style w:type="character" w:customStyle="1" w:styleId="normaltextrun">
    <w:name w:val="normaltextrun"/>
    <w:basedOn w:val="DefaultParagraphFont"/>
    <w:rsid w:val="005F7594"/>
  </w:style>
  <w:style w:type="character" w:customStyle="1" w:styleId="spellingerror">
    <w:name w:val="spellingerror"/>
    <w:basedOn w:val="DefaultParagraphFont"/>
    <w:rsid w:val="005F7594"/>
  </w:style>
  <w:style w:type="character" w:customStyle="1" w:styleId="eop">
    <w:name w:val="eop"/>
    <w:basedOn w:val="DefaultParagraphFont"/>
    <w:rsid w:val="005F7594"/>
  </w:style>
  <w:style w:type="paragraph" w:styleId="Revision">
    <w:name w:val="Revision"/>
    <w:hidden/>
    <w:uiPriority w:val="99"/>
    <w:semiHidden/>
    <w:rsid w:val="00A52AAA"/>
  </w:style>
  <w:style w:type="paragraph" w:styleId="CommentSubject">
    <w:name w:val="annotation subject"/>
    <w:basedOn w:val="CommentText"/>
    <w:next w:val="CommentText"/>
    <w:link w:val="CommentSubjectChar"/>
    <w:uiPriority w:val="99"/>
    <w:semiHidden/>
    <w:unhideWhenUsed/>
    <w:rsid w:val="00A52AAA"/>
    <w:pPr>
      <w:spacing w:line="240" w:lineRule="auto"/>
    </w:pPr>
    <w:rPr>
      <w:rFonts w:asciiTheme="minorHAnsi" w:eastAsiaTheme="minorHAnsi" w:hAnsiTheme="minorHAnsi" w:cstheme="minorBidi"/>
      <w:b/>
      <w:bCs/>
      <w:color w:val="auto"/>
      <w:lang w:eastAsia="en-US"/>
    </w:rPr>
  </w:style>
  <w:style w:type="character" w:customStyle="1" w:styleId="CommentSubjectChar">
    <w:name w:val="Comment Subject Char"/>
    <w:basedOn w:val="CommentTextChar"/>
    <w:link w:val="CommentSubject"/>
    <w:uiPriority w:val="99"/>
    <w:semiHidden/>
    <w:rsid w:val="00A52AAA"/>
    <w:rPr>
      <w:rFonts w:ascii="Times New Roman" w:eastAsiaTheme="minorEastAsia" w:hAnsi="Times New Roman" w:cs="Times New Roman"/>
      <w:b/>
      <w:bCs/>
      <w:color w:val="000000" w:themeColor="text1"/>
      <w:sz w:val="20"/>
      <w:szCs w:val="20"/>
      <w:lang w:eastAsia="ja-JP"/>
    </w:rPr>
  </w:style>
  <w:style w:type="paragraph" w:styleId="Footer">
    <w:name w:val="footer"/>
    <w:basedOn w:val="Normal"/>
    <w:link w:val="FooterChar"/>
    <w:uiPriority w:val="99"/>
    <w:unhideWhenUsed/>
    <w:rsid w:val="00E01387"/>
    <w:pPr>
      <w:tabs>
        <w:tab w:val="center" w:pos="4680"/>
        <w:tab w:val="right" w:pos="9360"/>
      </w:tabs>
      <w:spacing w:line="360" w:lineRule="auto"/>
      <w:jc w:val="both"/>
    </w:pPr>
    <w:rPr>
      <w:rFonts w:eastAsiaTheme="minorEastAsia"/>
      <w:color w:val="000000" w:themeColor="text1"/>
      <w:lang w:eastAsia="ja-JP"/>
    </w:rPr>
  </w:style>
  <w:style w:type="character" w:customStyle="1" w:styleId="FooterChar">
    <w:name w:val="Footer Char"/>
    <w:basedOn w:val="DefaultParagraphFont"/>
    <w:link w:val="Footer"/>
    <w:uiPriority w:val="99"/>
    <w:rsid w:val="00E01387"/>
    <w:rPr>
      <w:rFonts w:ascii="Times New Roman" w:eastAsiaTheme="minorEastAsia" w:hAnsi="Times New Roman" w:cs="Times New Roman"/>
      <w:color w:val="000000" w:themeColor="text1"/>
      <w:lang w:eastAsia="ja-JP"/>
    </w:rPr>
  </w:style>
  <w:style w:type="character" w:styleId="PageNumber">
    <w:name w:val="page number"/>
    <w:basedOn w:val="DefaultParagraphFont"/>
    <w:uiPriority w:val="99"/>
    <w:semiHidden/>
    <w:unhideWhenUsed/>
    <w:rsid w:val="00E01387"/>
  </w:style>
  <w:style w:type="paragraph" w:styleId="Header">
    <w:name w:val="header"/>
    <w:basedOn w:val="Normal"/>
    <w:link w:val="HeaderChar"/>
    <w:uiPriority w:val="99"/>
    <w:unhideWhenUsed/>
    <w:rsid w:val="004C4514"/>
    <w:pPr>
      <w:tabs>
        <w:tab w:val="center" w:pos="4680"/>
        <w:tab w:val="right" w:pos="9360"/>
      </w:tabs>
      <w:jc w:val="both"/>
    </w:pPr>
    <w:rPr>
      <w:rFonts w:eastAsiaTheme="minorHAnsi"/>
      <w:lang w:eastAsia="en-US"/>
    </w:rPr>
  </w:style>
  <w:style w:type="character" w:customStyle="1" w:styleId="HeaderChar">
    <w:name w:val="Header Char"/>
    <w:basedOn w:val="DefaultParagraphFont"/>
    <w:link w:val="Header"/>
    <w:uiPriority w:val="99"/>
    <w:rsid w:val="004C4514"/>
    <w:rPr>
      <w:rFonts w:ascii="Times New Roman" w:hAnsi="Times New Roman" w:cs="Times New Roman"/>
    </w:rPr>
  </w:style>
  <w:style w:type="character" w:customStyle="1" w:styleId="Heading2Char">
    <w:name w:val="Heading 2 Char"/>
    <w:basedOn w:val="DefaultParagraphFont"/>
    <w:link w:val="Heading2"/>
    <w:uiPriority w:val="9"/>
    <w:rsid w:val="008C68D3"/>
    <w:rPr>
      <w:rFonts w:ascii="Times New Roman" w:hAnsi="Times New Roman" w:cs="Times New Roman"/>
      <w:smallCaps/>
    </w:rPr>
  </w:style>
  <w:style w:type="character" w:customStyle="1" w:styleId="Heading3Char">
    <w:name w:val="Heading 3 Char"/>
    <w:basedOn w:val="DefaultParagraphFont"/>
    <w:link w:val="Heading3"/>
    <w:uiPriority w:val="9"/>
    <w:rsid w:val="008C68D3"/>
    <w:rPr>
      <w:rFonts w:ascii="Times New Roman" w:hAnsi="Times New Roman" w:cs="Times New Roman"/>
      <w:i/>
      <w:iCs/>
    </w:rPr>
  </w:style>
  <w:style w:type="character" w:styleId="FollowedHyperlink">
    <w:name w:val="FollowedHyperlink"/>
    <w:basedOn w:val="DefaultParagraphFont"/>
    <w:uiPriority w:val="99"/>
    <w:semiHidden/>
    <w:unhideWhenUsed/>
    <w:rsid w:val="00B837E1"/>
    <w:rPr>
      <w:color w:val="954F72"/>
      <w:u w:val="single"/>
    </w:rPr>
  </w:style>
  <w:style w:type="paragraph" w:customStyle="1" w:styleId="msonormal0">
    <w:name w:val="msonormal"/>
    <w:basedOn w:val="Normal"/>
    <w:rsid w:val="00B837E1"/>
    <w:pPr>
      <w:spacing w:before="100" w:beforeAutospacing="1" w:after="100" w:afterAutospacing="1"/>
    </w:pPr>
  </w:style>
  <w:style w:type="paragraph" w:customStyle="1" w:styleId="font5">
    <w:name w:val="font5"/>
    <w:basedOn w:val="Normal"/>
    <w:rsid w:val="00B837E1"/>
    <w:pPr>
      <w:spacing w:before="100" w:beforeAutospacing="1" w:after="100" w:afterAutospacing="1"/>
    </w:pPr>
    <w:rPr>
      <w:b/>
      <w:bCs/>
      <w:color w:val="000000"/>
      <w:sz w:val="20"/>
      <w:szCs w:val="20"/>
    </w:rPr>
  </w:style>
  <w:style w:type="paragraph" w:customStyle="1" w:styleId="font6">
    <w:name w:val="font6"/>
    <w:basedOn w:val="Normal"/>
    <w:rsid w:val="00B837E1"/>
    <w:pPr>
      <w:spacing w:before="100" w:beforeAutospacing="1" w:after="100" w:afterAutospacing="1"/>
    </w:pPr>
    <w:rPr>
      <w:color w:val="000000"/>
      <w:sz w:val="20"/>
      <w:szCs w:val="20"/>
    </w:rPr>
  </w:style>
  <w:style w:type="paragraph" w:customStyle="1" w:styleId="font7">
    <w:name w:val="font7"/>
    <w:basedOn w:val="Normal"/>
    <w:rsid w:val="00B837E1"/>
    <w:pPr>
      <w:spacing w:before="100" w:beforeAutospacing="1" w:after="100" w:afterAutospacing="1"/>
    </w:pPr>
    <w:rPr>
      <w:i/>
      <w:iCs/>
      <w:color w:val="000000"/>
      <w:sz w:val="20"/>
      <w:szCs w:val="20"/>
    </w:rPr>
  </w:style>
  <w:style w:type="paragraph" w:customStyle="1" w:styleId="xl67">
    <w:name w:val="xl67"/>
    <w:basedOn w:val="Normal"/>
    <w:rsid w:val="00B837E1"/>
    <w:pPr>
      <w:spacing w:before="100" w:beforeAutospacing="1" w:after="100" w:afterAutospacing="1"/>
    </w:pPr>
    <w:rPr>
      <w:sz w:val="20"/>
      <w:szCs w:val="20"/>
    </w:rPr>
  </w:style>
  <w:style w:type="paragraph" w:customStyle="1" w:styleId="xl68">
    <w:name w:val="xl68"/>
    <w:basedOn w:val="Normal"/>
    <w:rsid w:val="00B837E1"/>
    <w:pPr>
      <w:spacing w:before="100" w:beforeAutospacing="1" w:after="100" w:afterAutospacing="1"/>
    </w:pPr>
    <w:rPr>
      <w:i/>
      <w:iCs/>
      <w:sz w:val="20"/>
      <w:szCs w:val="20"/>
    </w:rPr>
  </w:style>
  <w:style w:type="paragraph" w:customStyle="1" w:styleId="xl69">
    <w:name w:val="xl69"/>
    <w:basedOn w:val="Normal"/>
    <w:rsid w:val="00B837E1"/>
    <w:pPr>
      <w:spacing w:before="100" w:beforeAutospacing="1" w:after="100" w:afterAutospacing="1"/>
    </w:pPr>
    <w:rPr>
      <w:sz w:val="20"/>
      <w:szCs w:val="20"/>
    </w:rPr>
  </w:style>
  <w:style w:type="paragraph" w:customStyle="1" w:styleId="xl70">
    <w:name w:val="xl70"/>
    <w:basedOn w:val="Normal"/>
    <w:rsid w:val="00B837E1"/>
    <w:pPr>
      <w:spacing w:before="100" w:beforeAutospacing="1" w:after="100" w:afterAutospacing="1"/>
    </w:pPr>
    <w:rPr>
      <w:sz w:val="20"/>
      <w:szCs w:val="20"/>
    </w:rPr>
  </w:style>
  <w:style w:type="paragraph" w:customStyle="1" w:styleId="xl71">
    <w:name w:val="xl71"/>
    <w:basedOn w:val="Normal"/>
    <w:rsid w:val="00B837E1"/>
    <w:pPr>
      <w:spacing w:before="100" w:beforeAutospacing="1" w:after="100" w:afterAutospacing="1"/>
    </w:pPr>
    <w:rPr>
      <w:sz w:val="20"/>
      <w:szCs w:val="20"/>
    </w:rPr>
  </w:style>
  <w:style w:type="paragraph" w:customStyle="1" w:styleId="xl72">
    <w:name w:val="xl72"/>
    <w:basedOn w:val="Normal"/>
    <w:rsid w:val="00B837E1"/>
    <w:pPr>
      <w:spacing w:before="100" w:beforeAutospacing="1" w:after="100" w:afterAutospacing="1"/>
    </w:pPr>
    <w:rPr>
      <w:sz w:val="20"/>
      <w:szCs w:val="20"/>
    </w:rPr>
  </w:style>
  <w:style w:type="paragraph" w:customStyle="1" w:styleId="xl73">
    <w:name w:val="xl73"/>
    <w:basedOn w:val="Normal"/>
    <w:rsid w:val="00B837E1"/>
    <w:pPr>
      <w:spacing w:before="100" w:beforeAutospacing="1" w:after="100" w:afterAutospacing="1"/>
      <w:jc w:val="center"/>
      <w:textAlignment w:val="center"/>
    </w:pPr>
    <w:rPr>
      <w:b/>
      <w:bCs/>
      <w:sz w:val="22"/>
      <w:szCs w:val="22"/>
    </w:rPr>
  </w:style>
  <w:style w:type="paragraph" w:customStyle="1" w:styleId="xl74">
    <w:name w:val="xl74"/>
    <w:basedOn w:val="Normal"/>
    <w:rsid w:val="00B837E1"/>
    <w:pPr>
      <w:pBdr>
        <w:right w:val="single" w:sz="4" w:space="0" w:color="auto"/>
      </w:pBdr>
      <w:spacing w:before="100" w:beforeAutospacing="1" w:after="100" w:afterAutospacing="1"/>
      <w:jc w:val="center"/>
      <w:textAlignment w:val="center"/>
    </w:pPr>
    <w:rPr>
      <w:b/>
      <w:bCs/>
      <w:sz w:val="22"/>
      <w:szCs w:val="22"/>
    </w:rPr>
  </w:style>
  <w:style w:type="paragraph" w:customStyle="1" w:styleId="xl75">
    <w:name w:val="xl75"/>
    <w:basedOn w:val="Normal"/>
    <w:rsid w:val="00B837E1"/>
    <w:pPr>
      <w:pBdr>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76">
    <w:name w:val="xl76"/>
    <w:basedOn w:val="Normal"/>
    <w:rsid w:val="00B837E1"/>
    <w:pPr>
      <w:pBdr>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77">
    <w:name w:val="xl77"/>
    <w:basedOn w:val="Normal"/>
    <w:rsid w:val="00B837E1"/>
    <w:pPr>
      <w:pBdr>
        <w:left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78">
    <w:name w:val="xl78"/>
    <w:basedOn w:val="Normal"/>
    <w:rsid w:val="00B837E1"/>
    <w:pPr>
      <w:pBdr>
        <w:left w:val="single" w:sz="4" w:space="0" w:color="auto"/>
      </w:pBdr>
      <w:spacing w:before="100" w:beforeAutospacing="1" w:after="100" w:afterAutospacing="1"/>
      <w:jc w:val="center"/>
      <w:textAlignment w:val="center"/>
    </w:pPr>
    <w:rPr>
      <w:b/>
      <w:bCs/>
      <w:sz w:val="22"/>
      <w:szCs w:val="22"/>
    </w:rPr>
  </w:style>
  <w:style w:type="paragraph" w:customStyle="1" w:styleId="xl79">
    <w:name w:val="xl79"/>
    <w:basedOn w:val="Normal"/>
    <w:rsid w:val="00B837E1"/>
    <w:pPr>
      <w:spacing w:before="100" w:beforeAutospacing="1" w:after="100" w:afterAutospacing="1"/>
    </w:pPr>
    <w:rPr>
      <w:sz w:val="20"/>
      <w:szCs w:val="20"/>
    </w:rPr>
  </w:style>
  <w:style w:type="paragraph" w:customStyle="1" w:styleId="xl80">
    <w:name w:val="xl80"/>
    <w:basedOn w:val="Normal"/>
    <w:rsid w:val="00B837E1"/>
    <w:pPr>
      <w:spacing w:before="100" w:beforeAutospacing="1" w:after="100" w:afterAutospacing="1"/>
    </w:pPr>
    <w:rPr>
      <w:sz w:val="20"/>
      <w:szCs w:val="20"/>
    </w:rPr>
  </w:style>
  <w:style w:type="paragraph" w:customStyle="1" w:styleId="xl81">
    <w:name w:val="xl81"/>
    <w:basedOn w:val="Normal"/>
    <w:rsid w:val="00B837E1"/>
    <w:pPr>
      <w:spacing w:before="100" w:beforeAutospacing="1" w:after="100" w:afterAutospacing="1"/>
    </w:pPr>
    <w:rPr>
      <w:sz w:val="20"/>
      <w:szCs w:val="20"/>
    </w:rPr>
  </w:style>
  <w:style w:type="paragraph" w:customStyle="1" w:styleId="xl82">
    <w:name w:val="xl82"/>
    <w:basedOn w:val="Normal"/>
    <w:rsid w:val="00B837E1"/>
    <w:pPr>
      <w:spacing w:before="100" w:beforeAutospacing="1" w:after="100" w:afterAutospacing="1"/>
    </w:pPr>
    <w:rPr>
      <w:sz w:val="20"/>
      <w:szCs w:val="20"/>
    </w:rPr>
  </w:style>
  <w:style w:type="paragraph" w:customStyle="1" w:styleId="xl83">
    <w:name w:val="xl83"/>
    <w:basedOn w:val="Normal"/>
    <w:rsid w:val="00B837E1"/>
    <w:pPr>
      <w:spacing w:before="100" w:beforeAutospacing="1" w:after="100" w:afterAutospacing="1"/>
    </w:pPr>
    <w:rPr>
      <w:sz w:val="20"/>
      <w:szCs w:val="20"/>
    </w:rPr>
  </w:style>
  <w:style w:type="paragraph" w:customStyle="1" w:styleId="xl84">
    <w:name w:val="xl84"/>
    <w:basedOn w:val="Normal"/>
    <w:rsid w:val="00B837E1"/>
    <w:pPr>
      <w:spacing w:before="100" w:beforeAutospacing="1" w:after="100" w:afterAutospacing="1"/>
    </w:pPr>
    <w:rPr>
      <w:sz w:val="20"/>
      <w:szCs w:val="20"/>
    </w:rPr>
  </w:style>
  <w:style w:type="paragraph" w:customStyle="1" w:styleId="xl85">
    <w:name w:val="xl85"/>
    <w:basedOn w:val="Normal"/>
    <w:rsid w:val="00B837E1"/>
    <w:pPr>
      <w:spacing w:before="100" w:beforeAutospacing="1" w:after="100" w:afterAutospacing="1"/>
    </w:pPr>
    <w:rPr>
      <w:sz w:val="20"/>
      <w:szCs w:val="20"/>
    </w:rPr>
  </w:style>
  <w:style w:type="paragraph" w:customStyle="1" w:styleId="xl86">
    <w:name w:val="xl86"/>
    <w:basedOn w:val="Normal"/>
    <w:rsid w:val="00B837E1"/>
    <w:pPr>
      <w:spacing w:before="100" w:beforeAutospacing="1" w:after="100" w:afterAutospacing="1"/>
    </w:pPr>
    <w:rPr>
      <w:sz w:val="20"/>
      <w:szCs w:val="20"/>
    </w:rPr>
  </w:style>
  <w:style w:type="paragraph" w:customStyle="1" w:styleId="xl87">
    <w:name w:val="xl87"/>
    <w:basedOn w:val="Normal"/>
    <w:rsid w:val="00B837E1"/>
    <w:pPr>
      <w:spacing w:before="100" w:beforeAutospacing="1" w:after="100" w:afterAutospacing="1"/>
    </w:pPr>
    <w:rPr>
      <w:sz w:val="20"/>
      <w:szCs w:val="20"/>
    </w:rPr>
  </w:style>
  <w:style w:type="paragraph" w:customStyle="1" w:styleId="xl88">
    <w:name w:val="xl88"/>
    <w:basedOn w:val="Normal"/>
    <w:rsid w:val="00B837E1"/>
    <w:pPr>
      <w:spacing w:before="100" w:beforeAutospacing="1" w:after="100" w:afterAutospacing="1"/>
    </w:pPr>
    <w:rPr>
      <w:color w:val="000000"/>
      <w:sz w:val="20"/>
      <w:szCs w:val="20"/>
    </w:rPr>
  </w:style>
  <w:style w:type="paragraph" w:customStyle="1" w:styleId="xl89">
    <w:name w:val="xl89"/>
    <w:basedOn w:val="Normal"/>
    <w:rsid w:val="00007813"/>
    <w:pPr>
      <w:spacing w:before="100" w:beforeAutospacing="1" w:after="100" w:afterAutospacing="1"/>
      <w:textAlignment w:val="center"/>
    </w:pPr>
    <w:rPr>
      <w:sz w:val="20"/>
      <w:szCs w:val="20"/>
    </w:rPr>
  </w:style>
  <w:style w:type="paragraph" w:styleId="NormalWeb">
    <w:name w:val="Normal (Web)"/>
    <w:basedOn w:val="Normal"/>
    <w:uiPriority w:val="99"/>
    <w:semiHidden/>
    <w:unhideWhenUsed/>
    <w:rsid w:val="00A60CDD"/>
    <w:pPr>
      <w:spacing w:before="100" w:beforeAutospacing="1" w:after="100" w:afterAutospacing="1"/>
    </w:pPr>
  </w:style>
  <w:style w:type="character" w:styleId="UnresolvedMention">
    <w:name w:val="Unresolved Mention"/>
    <w:basedOn w:val="DefaultParagraphFont"/>
    <w:uiPriority w:val="99"/>
    <w:semiHidden/>
    <w:unhideWhenUsed/>
    <w:rsid w:val="00566D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7385">
      <w:bodyDiv w:val="1"/>
      <w:marLeft w:val="0"/>
      <w:marRight w:val="0"/>
      <w:marTop w:val="0"/>
      <w:marBottom w:val="0"/>
      <w:divBdr>
        <w:top w:val="none" w:sz="0" w:space="0" w:color="auto"/>
        <w:left w:val="none" w:sz="0" w:space="0" w:color="auto"/>
        <w:bottom w:val="none" w:sz="0" w:space="0" w:color="auto"/>
        <w:right w:val="none" w:sz="0" w:space="0" w:color="auto"/>
      </w:divBdr>
      <w:divsChild>
        <w:div w:id="727538391">
          <w:marLeft w:val="0"/>
          <w:marRight w:val="0"/>
          <w:marTop w:val="0"/>
          <w:marBottom w:val="0"/>
          <w:divBdr>
            <w:top w:val="none" w:sz="0" w:space="0" w:color="auto"/>
            <w:left w:val="none" w:sz="0" w:space="0" w:color="auto"/>
            <w:bottom w:val="none" w:sz="0" w:space="0" w:color="auto"/>
            <w:right w:val="none" w:sz="0" w:space="0" w:color="auto"/>
          </w:divBdr>
          <w:divsChild>
            <w:div w:id="882181101">
              <w:marLeft w:val="0"/>
              <w:marRight w:val="0"/>
              <w:marTop w:val="0"/>
              <w:marBottom w:val="0"/>
              <w:divBdr>
                <w:top w:val="none" w:sz="0" w:space="0" w:color="auto"/>
                <w:left w:val="none" w:sz="0" w:space="0" w:color="auto"/>
                <w:bottom w:val="none" w:sz="0" w:space="0" w:color="auto"/>
                <w:right w:val="none" w:sz="0" w:space="0" w:color="auto"/>
              </w:divBdr>
              <w:divsChild>
                <w:div w:id="206656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2914">
      <w:bodyDiv w:val="1"/>
      <w:marLeft w:val="0"/>
      <w:marRight w:val="0"/>
      <w:marTop w:val="0"/>
      <w:marBottom w:val="0"/>
      <w:divBdr>
        <w:top w:val="none" w:sz="0" w:space="0" w:color="auto"/>
        <w:left w:val="none" w:sz="0" w:space="0" w:color="auto"/>
        <w:bottom w:val="none" w:sz="0" w:space="0" w:color="auto"/>
        <w:right w:val="none" w:sz="0" w:space="0" w:color="auto"/>
      </w:divBdr>
    </w:div>
    <w:div w:id="342823547">
      <w:bodyDiv w:val="1"/>
      <w:marLeft w:val="0"/>
      <w:marRight w:val="0"/>
      <w:marTop w:val="0"/>
      <w:marBottom w:val="0"/>
      <w:divBdr>
        <w:top w:val="none" w:sz="0" w:space="0" w:color="auto"/>
        <w:left w:val="none" w:sz="0" w:space="0" w:color="auto"/>
        <w:bottom w:val="none" w:sz="0" w:space="0" w:color="auto"/>
        <w:right w:val="none" w:sz="0" w:space="0" w:color="auto"/>
      </w:divBdr>
    </w:div>
    <w:div w:id="359934621">
      <w:bodyDiv w:val="1"/>
      <w:marLeft w:val="0"/>
      <w:marRight w:val="0"/>
      <w:marTop w:val="0"/>
      <w:marBottom w:val="0"/>
      <w:divBdr>
        <w:top w:val="none" w:sz="0" w:space="0" w:color="auto"/>
        <w:left w:val="none" w:sz="0" w:space="0" w:color="auto"/>
        <w:bottom w:val="none" w:sz="0" w:space="0" w:color="auto"/>
        <w:right w:val="none" w:sz="0" w:space="0" w:color="auto"/>
      </w:divBdr>
      <w:divsChild>
        <w:div w:id="1925986749">
          <w:marLeft w:val="0"/>
          <w:marRight w:val="0"/>
          <w:marTop w:val="0"/>
          <w:marBottom w:val="0"/>
          <w:divBdr>
            <w:top w:val="none" w:sz="0" w:space="0" w:color="auto"/>
            <w:left w:val="none" w:sz="0" w:space="0" w:color="auto"/>
            <w:bottom w:val="none" w:sz="0" w:space="0" w:color="auto"/>
            <w:right w:val="none" w:sz="0" w:space="0" w:color="auto"/>
          </w:divBdr>
          <w:divsChild>
            <w:div w:id="965699197">
              <w:marLeft w:val="0"/>
              <w:marRight w:val="0"/>
              <w:marTop w:val="0"/>
              <w:marBottom w:val="0"/>
              <w:divBdr>
                <w:top w:val="none" w:sz="0" w:space="0" w:color="auto"/>
                <w:left w:val="none" w:sz="0" w:space="0" w:color="auto"/>
                <w:bottom w:val="none" w:sz="0" w:space="0" w:color="auto"/>
                <w:right w:val="none" w:sz="0" w:space="0" w:color="auto"/>
              </w:divBdr>
              <w:divsChild>
                <w:div w:id="1898592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925040">
      <w:bodyDiv w:val="1"/>
      <w:marLeft w:val="0"/>
      <w:marRight w:val="0"/>
      <w:marTop w:val="0"/>
      <w:marBottom w:val="0"/>
      <w:divBdr>
        <w:top w:val="none" w:sz="0" w:space="0" w:color="auto"/>
        <w:left w:val="none" w:sz="0" w:space="0" w:color="auto"/>
        <w:bottom w:val="none" w:sz="0" w:space="0" w:color="auto"/>
        <w:right w:val="none" w:sz="0" w:space="0" w:color="auto"/>
      </w:divBdr>
      <w:divsChild>
        <w:div w:id="652411548">
          <w:marLeft w:val="0"/>
          <w:marRight w:val="0"/>
          <w:marTop w:val="0"/>
          <w:marBottom w:val="0"/>
          <w:divBdr>
            <w:top w:val="none" w:sz="0" w:space="0" w:color="auto"/>
            <w:left w:val="none" w:sz="0" w:space="0" w:color="auto"/>
            <w:bottom w:val="none" w:sz="0" w:space="0" w:color="auto"/>
            <w:right w:val="none" w:sz="0" w:space="0" w:color="auto"/>
          </w:divBdr>
          <w:divsChild>
            <w:div w:id="1182935244">
              <w:marLeft w:val="0"/>
              <w:marRight w:val="0"/>
              <w:marTop w:val="0"/>
              <w:marBottom w:val="0"/>
              <w:divBdr>
                <w:top w:val="none" w:sz="0" w:space="0" w:color="auto"/>
                <w:left w:val="none" w:sz="0" w:space="0" w:color="auto"/>
                <w:bottom w:val="none" w:sz="0" w:space="0" w:color="auto"/>
                <w:right w:val="none" w:sz="0" w:space="0" w:color="auto"/>
              </w:divBdr>
              <w:divsChild>
                <w:div w:id="190193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221659">
      <w:bodyDiv w:val="1"/>
      <w:marLeft w:val="0"/>
      <w:marRight w:val="0"/>
      <w:marTop w:val="0"/>
      <w:marBottom w:val="0"/>
      <w:divBdr>
        <w:top w:val="none" w:sz="0" w:space="0" w:color="auto"/>
        <w:left w:val="none" w:sz="0" w:space="0" w:color="auto"/>
        <w:bottom w:val="none" w:sz="0" w:space="0" w:color="auto"/>
        <w:right w:val="none" w:sz="0" w:space="0" w:color="auto"/>
      </w:divBdr>
      <w:divsChild>
        <w:div w:id="1286766211">
          <w:marLeft w:val="0"/>
          <w:marRight w:val="0"/>
          <w:marTop w:val="0"/>
          <w:marBottom w:val="0"/>
          <w:divBdr>
            <w:top w:val="none" w:sz="0" w:space="0" w:color="auto"/>
            <w:left w:val="none" w:sz="0" w:space="0" w:color="auto"/>
            <w:bottom w:val="none" w:sz="0" w:space="0" w:color="auto"/>
            <w:right w:val="none" w:sz="0" w:space="0" w:color="auto"/>
          </w:divBdr>
          <w:divsChild>
            <w:div w:id="2098405287">
              <w:marLeft w:val="0"/>
              <w:marRight w:val="0"/>
              <w:marTop w:val="0"/>
              <w:marBottom w:val="0"/>
              <w:divBdr>
                <w:top w:val="none" w:sz="0" w:space="0" w:color="auto"/>
                <w:left w:val="none" w:sz="0" w:space="0" w:color="auto"/>
                <w:bottom w:val="none" w:sz="0" w:space="0" w:color="auto"/>
                <w:right w:val="none" w:sz="0" w:space="0" w:color="auto"/>
              </w:divBdr>
              <w:divsChild>
                <w:div w:id="190703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172939">
      <w:bodyDiv w:val="1"/>
      <w:marLeft w:val="0"/>
      <w:marRight w:val="0"/>
      <w:marTop w:val="0"/>
      <w:marBottom w:val="0"/>
      <w:divBdr>
        <w:top w:val="none" w:sz="0" w:space="0" w:color="auto"/>
        <w:left w:val="none" w:sz="0" w:space="0" w:color="auto"/>
        <w:bottom w:val="none" w:sz="0" w:space="0" w:color="auto"/>
        <w:right w:val="none" w:sz="0" w:space="0" w:color="auto"/>
      </w:divBdr>
      <w:divsChild>
        <w:div w:id="1190222158">
          <w:marLeft w:val="0"/>
          <w:marRight w:val="0"/>
          <w:marTop w:val="0"/>
          <w:marBottom w:val="0"/>
          <w:divBdr>
            <w:top w:val="none" w:sz="0" w:space="0" w:color="auto"/>
            <w:left w:val="none" w:sz="0" w:space="0" w:color="auto"/>
            <w:bottom w:val="none" w:sz="0" w:space="0" w:color="auto"/>
            <w:right w:val="none" w:sz="0" w:space="0" w:color="auto"/>
          </w:divBdr>
          <w:divsChild>
            <w:div w:id="1390769322">
              <w:marLeft w:val="0"/>
              <w:marRight w:val="0"/>
              <w:marTop w:val="0"/>
              <w:marBottom w:val="0"/>
              <w:divBdr>
                <w:top w:val="none" w:sz="0" w:space="0" w:color="auto"/>
                <w:left w:val="none" w:sz="0" w:space="0" w:color="auto"/>
                <w:bottom w:val="none" w:sz="0" w:space="0" w:color="auto"/>
                <w:right w:val="none" w:sz="0" w:space="0" w:color="auto"/>
              </w:divBdr>
              <w:divsChild>
                <w:div w:id="331181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1443993">
      <w:bodyDiv w:val="1"/>
      <w:marLeft w:val="0"/>
      <w:marRight w:val="0"/>
      <w:marTop w:val="0"/>
      <w:marBottom w:val="0"/>
      <w:divBdr>
        <w:top w:val="none" w:sz="0" w:space="0" w:color="auto"/>
        <w:left w:val="none" w:sz="0" w:space="0" w:color="auto"/>
        <w:bottom w:val="none" w:sz="0" w:space="0" w:color="auto"/>
        <w:right w:val="none" w:sz="0" w:space="0" w:color="auto"/>
      </w:divBdr>
      <w:divsChild>
        <w:div w:id="10911614">
          <w:marLeft w:val="0"/>
          <w:marRight w:val="0"/>
          <w:marTop w:val="0"/>
          <w:marBottom w:val="0"/>
          <w:divBdr>
            <w:top w:val="none" w:sz="0" w:space="0" w:color="auto"/>
            <w:left w:val="none" w:sz="0" w:space="0" w:color="auto"/>
            <w:bottom w:val="none" w:sz="0" w:space="0" w:color="auto"/>
            <w:right w:val="none" w:sz="0" w:space="0" w:color="auto"/>
          </w:divBdr>
          <w:divsChild>
            <w:div w:id="1893885058">
              <w:marLeft w:val="0"/>
              <w:marRight w:val="0"/>
              <w:marTop w:val="0"/>
              <w:marBottom w:val="0"/>
              <w:divBdr>
                <w:top w:val="none" w:sz="0" w:space="0" w:color="auto"/>
                <w:left w:val="none" w:sz="0" w:space="0" w:color="auto"/>
                <w:bottom w:val="none" w:sz="0" w:space="0" w:color="auto"/>
                <w:right w:val="none" w:sz="0" w:space="0" w:color="auto"/>
              </w:divBdr>
              <w:divsChild>
                <w:div w:id="114808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364294">
      <w:bodyDiv w:val="1"/>
      <w:marLeft w:val="0"/>
      <w:marRight w:val="0"/>
      <w:marTop w:val="0"/>
      <w:marBottom w:val="0"/>
      <w:divBdr>
        <w:top w:val="none" w:sz="0" w:space="0" w:color="auto"/>
        <w:left w:val="none" w:sz="0" w:space="0" w:color="auto"/>
        <w:bottom w:val="none" w:sz="0" w:space="0" w:color="auto"/>
        <w:right w:val="none" w:sz="0" w:space="0" w:color="auto"/>
      </w:divBdr>
    </w:div>
    <w:div w:id="720710688">
      <w:bodyDiv w:val="1"/>
      <w:marLeft w:val="0"/>
      <w:marRight w:val="0"/>
      <w:marTop w:val="0"/>
      <w:marBottom w:val="0"/>
      <w:divBdr>
        <w:top w:val="none" w:sz="0" w:space="0" w:color="auto"/>
        <w:left w:val="none" w:sz="0" w:space="0" w:color="auto"/>
        <w:bottom w:val="none" w:sz="0" w:space="0" w:color="auto"/>
        <w:right w:val="none" w:sz="0" w:space="0" w:color="auto"/>
      </w:divBdr>
    </w:div>
    <w:div w:id="1015691201">
      <w:bodyDiv w:val="1"/>
      <w:marLeft w:val="0"/>
      <w:marRight w:val="0"/>
      <w:marTop w:val="0"/>
      <w:marBottom w:val="0"/>
      <w:divBdr>
        <w:top w:val="none" w:sz="0" w:space="0" w:color="auto"/>
        <w:left w:val="none" w:sz="0" w:space="0" w:color="auto"/>
        <w:bottom w:val="none" w:sz="0" w:space="0" w:color="auto"/>
        <w:right w:val="none" w:sz="0" w:space="0" w:color="auto"/>
      </w:divBdr>
      <w:divsChild>
        <w:div w:id="935479309">
          <w:marLeft w:val="0"/>
          <w:marRight w:val="0"/>
          <w:marTop w:val="0"/>
          <w:marBottom w:val="0"/>
          <w:divBdr>
            <w:top w:val="none" w:sz="0" w:space="0" w:color="auto"/>
            <w:left w:val="none" w:sz="0" w:space="0" w:color="auto"/>
            <w:bottom w:val="none" w:sz="0" w:space="0" w:color="auto"/>
            <w:right w:val="none" w:sz="0" w:space="0" w:color="auto"/>
          </w:divBdr>
          <w:divsChild>
            <w:div w:id="1816215858">
              <w:marLeft w:val="0"/>
              <w:marRight w:val="0"/>
              <w:marTop w:val="0"/>
              <w:marBottom w:val="0"/>
              <w:divBdr>
                <w:top w:val="none" w:sz="0" w:space="0" w:color="auto"/>
                <w:left w:val="none" w:sz="0" w:space="0" w:color="auto"/>
                <w:bottom w:val="none" w:sz="0" w:space="0" w:color="auto"/>
                <w:right w:val="none" w:sz="0" w:space="0" w:color="auto"/>
              </w:divBdr>
              <w:divsChild>
                <w:div w:id="41682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9835783">
      <w:bodyDiv w:val="1"/>
      <w:marLeft w:val="0"/>
      <w:marRight w:val="0"/>
      <w:marTop w:val="0"/>
      <w:marBottom w:val="0"/>
      <w:divBdr>
        <w:top w:val="none" w:sz="0" w:space="0" w:color="auto"/>
        <w:left w:val="none" w:sz="0" w:space="0" w:color="auto"/>
        <w:bottom w:val="none" w:sz="0" w:space="0" w:color="auto"/>
        <w:right w:val="none" w:sz="0" w:space="0" w:color="auto"/>
      </w:divBdr>
    </w:div>
    <w:div w:id="1044064579">
      <w:bodyDiv w:val="1"/>
      <w:marLeft w:val="0"/>
      <w:marRight w:val="0"/>
      <w:marTop w:val="0"/>
      <w:marBottom w:val="0"/>
      <w:divBdr>
        <w:top w:val="none" w:sz="0" w:space="0" w:color="auto"/>
        <w:left w:val="none" w:sz="0" w:space="0" w:color="auto"/>
        <w:bottom w:val="none" w:sz="0" w:space="0" w:color="auto"/>
        <w:right w:val="none" w:sz="0" w:space="0" w:color="auto"/>
      </w:divBdr>
    </w:div>
    <w:div w:id="1095438636">
      <w:bodyDiv w:val="1"/>
      <w:marLeft w:val="0"/>
      <w:marRight w:val="0"/>
      <w:marTop w:val="0"/>
      <w:marBottom w:val="0"/>
      <w:divBdr>
        <w:top w:val="none" w:sz="0" w:space="0" w:color="auto"/>
        <w:left w:val="none" w:sz="0" w:space="0" w:color="auto"/>
        <w:bottom w:val="none" w:sz="0" w:space="0" w:color="auto"/>
        <w:right w:val="none" w:sz="0" w:space="0" w:color="auto"/>
      </w:divBdr>
      <w:divsChild>
        <w:div w:id="289752170">
          <w:marLeft w:val="0"/>
          <w:marRight w:val="0"/>
          <w:marTop w:val="0"/>
          <w:marBottom w:val="0"/>
          <w:divBdr>
            <w:top w:val="none" w:sz="0" w:space="0" w:color="auto"/>
            <w:left w:val="none" w:sz="0" w:space="0" w:color="auto"/>
            <w:bottom w:val="none" w:sz="0" w:space="0" w:color="auto"/>
            <w:right w:val="none" w:sz="0" w:space="0" w:color="auto"/>
          </w:divBdr>
          <w:divsChild>
            <w:div w:id="354576051">
              <w:marLeft w:val="0"/>
              <w:marRight w:val="0"/>
              <w:marTop w:val="0"/>
              <w:marBottom w:val="0"/>
              <w:divBdr>
                <w:top w:val="none" w:sz="0" w:space="0" w:color="auto"/>
                <w:left w:val="none" w:sz="0" w:space="0" w:color="auto"/>
                <w:bottom w:val="none" w:sz="0" w:space="0" w:color="auto"/>
                <w:right w:val="none" w:sz="0" w:space="0" w:color="auto"/>
              </w:divBdr>
              <w:divsChild>
                <w:div w:id="184373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631546">
      <w:bodyDiv w:val="1"/>
      <w:marLeft w:val="0"/>
      <w:marRight w:val="0"/>
      <w:marTop w:val="0"/>
      <w:marBottom w:val="0"/>
      <w:divBdr>
        <w:top w:val="none" w:sz="0" w:space="0" w:color="auto"/>
        <w:left w:val="none" w:sz="0" w:space="0" w:color="auto"/>
        <w:bottom w:val="none" w:sz="0" w:space="0" w:color="auto"/>
        <w:right w:val="none" w:sz="0" w:space="0" w:color="auto"/>
      </w:divBdr>
    </w:div>
    <w:div w:id="1123966588">
      <w:bodyDiv w:val="1"/>
      <w:marLeft w:val="0"/>
      <w:marRight w:val="0"/>
      <w:marTop w:val="0"/>
      <w:marBottom w:val="0"/>
      <w:divBdr>
        <w:top w:val="none" w:sz="0" w:space="0" w:color="auto"/>
        <w:left w:val="none" w:sz="0" w:space="0" w:color="auto"/>
        <w:bottom w:val="none" w:sz="0" w:space="0" w:color="auto"/>
        <w:right w:val="none" w:sz="0" w:space="0" w:color="auto"/>
      </w:divBdr>
      <w:divsChild>
        <w:div w:id="1139033068">
          <w:marLeft w:val="0"/>
          <w:marRight w:val="0"/>
          <w:marTop w:val="0"/>
          <w:marBottom w:val="0"/>
          <w:divBdr>
            <w:top w:val="none" w:sz="0" w:space="0" w:color="auto"/>
            <w:left w:val="none" w:sz="0" w:space="0" w:color="auto"/>
            <w:bottom w:val="none" w:sz="0" w:space="0" w:color="auto"/>
            <w:right w:val="none" w:sz="0" w:space="0" w:color="auto"/>
          </w:divBdr>
          <w:divsChild>
            <w:div w:id="1739863082">
              <w:marLeft w:val="0"/>
              <w:marRight w:val="0"/>
              <w:marTop w:val="0"/>
              <w:marBottom w:val="0"/>
              <w:divBdr>
                <w:top w:val="none" w:sz="0" w:space="0" w:color="auto"/>
                <w:left w:val="none" w:sz="0" w:space="0" w:color="auto"/>
                <w:bottom w:val="none" w:sz="0" w:space="0" w:color="auto"/>
                <w:right w:val="none" w:sz="0" w:space="0" w:color="auto"/>
              </w:divBdr>
              <w:divsChild>
                <w:div w:id="204354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109970">
      <w:bodyDiv w:val="1"/>
      <w:marLeft w:val="0"/>
      <w:marRight w:val="0"/>
      <w:marTop w:val="0"/>
      <w:marBottom w:val="0"/>
      <w:divBdr>
        <w:top w:val="none" w:sz="0" w:space="0" w:color="auto"/>
        <w:left w:val="none" w:sz="0" w:space="0" w:color="auto"/>
        <w:bottom w:val="none" w:sz="0" w:space="0" w:color="auto"/>
        <w:right w:val="none" w:sz="0" w:space="0" w:color="auto"/>
      </w:divBdr>
      <w:divsChild>
        <w:div w:id="396440828">
          <w:marLeft w:val="0"/>
          <w:marRight w:val="0"/>
          <w:marTop w:val="0"/>
          <w:marBottom w:val="0"/>
          <w:divBdr>
            <w:top w:val="none" w:sz="0" w:space="0" w:color="auto"/>
            <w:left w:val="none" w:sz="0" w:space="0" w:color="auto"/>
            <w:bottom w:val="none" w:sz="0" w:space="0" w:color="auto"/>
            <w:right w:val="none" w:sz="0" w:space="0" w:color="auto"/>
          </w:divBdr>
          <w:divsChild>
            <w:div w:id="1117404839">
              <w:marLeft w:val="0"/>
              <w:marRight w:val="0"/>
              <w:marTop w:val="0"/>
              <w:marBottom w:val="0"/>
              <w:divBdr>
                <w:top w:val="none" w:sz="0" w:space="0" w:color="auto"/>
                <w:left w:val="none" w:sz="0" w:space="0" w:color="auto"/>
                <w:bottom w:val="none" w:sz="0" w:space="0" w:color="auto"/>
                <w:right w:val="none" w:sz="0" w:space="0" w:color="auto"/>
              </w:divBdr>
              <w:divsChild>
                <w:div w:id="67954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9848769">
      <w:bodyDiv w:val="1"/>
      <w:marLeft w:val="0"/>
      <w:marRight w:val="0"/>
      <w:marTop w:val="0"/>
      <w:marBottom w:val="0"/>
      <w:divBdr>
        <w:top w:val="none" w:sz="0" w:space="0" w:color="auto"/>
        <w:left w:val="none" w:sz="0" w:space="0" w:color="auto"/>
        <w:bottom w:val="none" w:sz="0" w:space="0" w:color="auto"/>
        <w:right w:val="none" w:sz="0" w:space="0" w:color="auto"/>
      </w:divBdr>
      <w:divsChild>
        <w:div w:id="1261789900">
          <w:marLeft w:val="0"/>
          <w:marRight w:val="0"/>
          <w:marTop w:val="0"/>
          <w:marBottom w:val="0"/>
          <w:divBdr>
            <w:top w:val="none" w:sz="0" w:space="0" w:color="auto"/>
            <w:left w:val="none" w:sz="0" w:space="0" w:color="auto"/>
            <w:bottom w:val="none" w:sz="0" w:space="0" w:color="auto"/>
            <w:right w:val="none" w:sz="0" w:space="0" w:color="auto"/>
          </w:divBdr>
          <w:divsChild>
            <w:div w:id="454836487">
              <w:marLeft w:val="0"/>
              <w:marRight w:val="0"/>
              <w:marTop w:val="0"/>
              <w:marBottom w:val="0"/>
              <w:divBdr>
                <w:top w:val="none" w:sz="0" w:space="0" w:color="auto"/>
                <w:left w:val="none" w:sz="0" w:space="0" w:color="auto"/>
                <w:bottom w:val="none" w:sz="0" w:space="0" w:color="auto"/>
                <w:right w:val="none" w:sz="0" w:space="0" w:color="auto"/>
              </w:divBdr>
              <w:divsChild>
                <w:div w:id="57478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168683">
      <w:bodyDiv w:val="1"/>
      <w:marLeft w:val="0"/>
      <w:marRight w:val="0"/>
      <w:marTop w:val="0"/>
      <w:marBottom w:val="0"/>
      <w:divBdr>
        <w:top w:val="none" w:sz="0" w:space="0" w:color="auto"/>
        <w:left w:val="none" w:sz="0" w:space="0" w:color="auto"/>
        <w:bottom w:val="none" w:sz="0" w:space="0" w:color="auto"/>
        <w:right w:val="none" w:sz="0" w:space="0" w:color="auto"/>
      </w:divBdr>
    </w:div>
    <w:div w:id="1632513935">
      <w:bodyDiv w:val="1"/>
      <w:marLeft w:val="0"/>
      <w:marRight w:val="0"/>
      <w:marTop w:val="0"/>
      <w:marBottom w:val="0"/>
      <w:divBdr>
        <w:top w:val="none" w:sz="0" w:space="0" w:color="auto"/>
        <w:left w:val="none" w:sz="0" w:space="0" w:color="auto"/>
        <w:bottom w:val="none" w:sz="0" w:space="0" w:color="auto"/>
        <w:right w:val="none" w:sz="0" w:space="0" w:color="auto"/>
      </w:divBdr>
      <w:divsChild>
        <w:div w:id="1103720935">
          <w:marLeft w:val="0"/>
          <w:marRight w:val="0"/>
          <w:marTop w:val="0"/>
          <w:marBottom w:val="0"/>
          <w:divBdr>
            <w:top w:val="none" w:sz="0" w:space="0" w:color="auto"/>
            <w:left w:val="none" w:sz="0" w:space="0" w:color="auto"/>
            <w:bottom w:val="none" w:sz="0" w:space="0" w:color="auto"/>
            <w:right w:val="none" w:sz="0" w:space="0" w:color="auto"/>
          </w:divBdr>
          <w:divsChild>
            <w:div w:id="527329703">
              <w:marLeft w:val="0"/>
              <w:marRight w:val="0"/>
              <w:marTop w:val="0"/>
              <w:marBottom w:val="0"/>
              <w:divBdr>
                <w:top w:val="none" w:sz="0" w:space="0" w:color="auto"/>
                <w:left w:val="none" w:sz="0" w:space="0" w:color="auto"/>
                <w:bottom w:val="none" w:sz="0" w:space="0" w:color="auto"/>
                <w:right w:val="none" w:sz="0" w:space="0" w:color="auto"/>
              </w:divBdr>
              <w:divsChild>
                <w:div w:id="154567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850459">
      <w:bodyDiv w:val="1"/>
      <w:marLeft w:val="0"/>
      <w:marRight w:val="0"/>
      <w:marTop w:val="0"/>
      <w:marBottom w:val="0"/>
      <w:divBdr>
        <w:top w:val="none" w:sz="0" w:space="0" w:color="auto"/>
        <w:left w:val="none" w:sz="0" w:space="0" w:color="auto"/>
        <w:bottom w:val="none" w:sz="0" w:space="0" w:color="auto"/>
        <w:right w:val="none" w:sz="0" w:space="0" w:color="auto"/>
      </w:divBdr>
      <w:divsChild>
        <w:div w:id="4479438">
          <w:marLeft w:val="0"/>
          <w:marRight w:val="0"/>
          <w:marTop w:val="0"/>
          <w:marBottom w:val="0"/>
          <w:divBdr>
            <w:top w:val="none" w:sz="0" w:space="0" w:color="auto"/>
            <w:left w:val="none" w:sz="0" w:space="0" w:color="auto"/>
            <w:bottom w:val="none" w:sz="0" w:space="0" w:color="auto"/>
            <w:right w:val="none" w:sz="0" w:space="0" w:color="auto"/>
          </w:divBdr>
          <w:divsChild>
            <w:div w:id="1338388033">
              <w:marLeft w:val="0"/>
              <w:marRight w:val="0"/>
              <w:marTop w:val="0"/>
              <w:marBottom w:val="0"/>
              <w:divBdr>
                <w:top w:val="none" w:sz="0" w:space="0" w:color="auto"/>
                <w:left w:val="none" w:sz="0" w:space="0" w:color="auto"/>
                <w:bottom w:val="none" w:sz="0" w:space="0" w:color="auto"/>
                <w:right w:val="none" w:sz="0" w:space="0" w:color="auto"/>
              </w:divBdr>
              <w:divsChild>
                <w:div w:id="195343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817694">
      <w:bodyDiv w:val="1"/>
      <w:marLeft w:val="0"/>
      <w:marRight w:val="0"/>
      <w:marTop w:val="0"/>
      <w:marBottom w:val="0"/>
      <w:divBdr>
        <w:top w:val="none" w:sz="0" w:space="0" w:color="auto"/>
        <w:left w:val="none" w:sz="0" w:space="0" w:color="auto"/>
        <w:bottom w:val="none" w:sz="0" w:space="0" w:color="auto"/>
        <w:right w:val="none" w:sz="0" w:space="0" w:color="auto"/>
      </w:divBdr>
      <w:divsChild>
        <w:div w:id="1717855632">
          <w:marLeft w:val="0"/>
          <w:marRight w:val="0"/>
          <w:marTop w:val="0"/>
          <w:marBottom w:val="0"/>
          <w:divBdr>
            <w:top w:val="none" w:sz="0" w:space="0" w:color="auto"/>
            <w:left w:val="none" w:sz="0" w:space="0" w:color="auto"/>
            <w:bottom w:val="none" w:sz="0" w:space="0" w:color="auto"/>
            <w:right w:val="none" w:sz="0" w:space="0" w:color="auto"/>
          </w:divBdr>
          <w:divsChild>
            <w:div w:id="1039236925">
              <w:marLeft w:val="0"/>
              <w:marRight w:val="0"/>
              <w:marTop w:val="0"/>
              <w:marBottom w:val="0"/>
              <w:divBdr>
                <w:top w:val="none" w:sz="0" w:space="0" w:color="auto"/>
                <w:left w:val="none" w:sz="0" w:space="0" w:color="auto"/>
                <w:bottom w:val="none" w:sz="0" w:space="0" w:color="auto"/>
                <w:right w:val="none" w:sz="0" w:space="0" w:color="auto"/>
              </w:divBdr>
              <w:divsChild>
                <w:div w:id="24715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2539076">
      <w:bodyDiv w:val="1"/>
      <w:marLeft w:val="0"/>
      <w:marRight w:val="0"/>
      <w:marTop w:val="0"/>
      <w:marBottom w:val="0"/>
      <w:divBdr>
        <w:top w:val="none" w:sz="0" w:space="0" w:color="auto"/>
        <w:left w:val="none" w:sz="0" w:space="0" w:color="auto"/>
        <w:bottom w:val="none" w:sz="0" w:space="0" w:color="auto"/>
        <w:right w:val="none" w:sz="0" w:space="0" w:color="auto"/>
      </w:divBdr>
      <w:divsChild>
        <w:div w:id="1775175066">
          <w:marLeft w:val="0"/>
          <w:marRight w:val="0"/>
          <w:marTop w:val="0"/>
          <w:marBottom w:val="0"/>
          <w:divBdr>
            <w:top w:val="none" w:sz="0" w:space="0" w:color="auto"/>
            <w:left w:val="none" w:sz="0" w:space="0" w:color="auto"/>
            <w:bottom w:val="none" w:sz="0" w:space="0" w:color="auto"/>
            <w:right w:val="none" w:sz="0" w:space="0" w:color="auto"/>
          </w:divBdr>
          <w:divsChild>
            <w:div w:id="1914656029">
              <w:marLeft w:val="0"/>
              <w:marRight w:val="0"/>
              <w:marTop w:val="0"/>
              <w:marBottom w:val="0"/>
              <w:divBdr>
                <w:top w:val="none" w:sz="0" w:space="0" w:color="auto"/>
                <w:left w:val="none" w:sz="0" w:space="0" w:color="auto"/>
                <w:bottom w:val="none" w:sz="0" w:space="0" w:color="auto"/>
                <w:right w:val="none" w:sz="0" w:space="0" w:color="auto"/>
              </w:divBdr>
              <w:divsChild>
                <w:div w:id="76673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eneious.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github.com/sihellem/ROA-UCE-DB" TargetMode="External"/><Relationship Id="rId4" Type="http://schemas.openxmlformats.org/officeDocument/2006/relationships/settings" Target="settings.xml"/><Relationship Id="rId9" Type="http://schemas.openxmlformats.org/officeDocument/2006/relationships/hyperlink" Target="https://doi.org/10.5061/dryad.fxpnvx0w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5D1EE-09DF-F64A-9BB9-940A855335B8}">
  <ds:schemaRefs>
    <ds:schemaRef ds:uri="http://schemas.openxmlformats.org/officeDocument/2006/bibliography"/>
  </ds:schemaRefs>
</ds:datastoreItem>
</file>

<file path=docMetadata/LabelInfo.xml><?xml version="1.0" encoding="utf-8"?>
<clbl:labelList xmlns:clbl="http://schemas.microsoft.com/office/2020/mipLabelMetadata">
  <clbl:label id="{82b3e37e-8171-485d-b10b-38dae7ed14a8}" enabled="0" method="" siteId="{82b3e37e-8171-485d-b10b-38dae7ed14a8}" removed="1"/>
</clbl:labelList>
</file>

<file path=docProps/app.xml><?xml version="1.0" encoding="utf-8"?>
<Properties xmlns="http://schemas.openxmlformats.org/officeDocument/2006/extended-properties" xmlns:vt="http://schemas.openxmlformats.org/officeDocument/2006/docPropsVTypes">
  <Template>Normal.dotm</Template>
  <TotalTime>324</TotalTime>
  <Pages>28</Pages>
  <Words>12835</Words>
  <Characters>73164</Characters>
  <Application>Microsoft Office Word</Application>
  <DocSecurity>0</DocSecurity>
  <Lines>609</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Toby Gregory Laszlo Kovacs</dc:creator>
  <cp:keywords/>
  <dc:description/>
  <cp:lastModifiedBy>Toby Gregory Laszlo Kovacs</cp:lastModifiedBy>
  <cp:revision>483</cp:revision>
  <cp:lastPrinted>2023-01-13T02:46:00Z</cp:lastPrinted>
  <dcterms:created xsi:type="dcterms:W3CDTF">2022-12-19T03:57:00Z</dcterms:created>
  <dcterms:modified xsi:type="dcterms:W3CDTF">2023-12-07T23:16:00Z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http://www.zotero.org/styles/american-political-science-association</vt:lpwstr>
  </property>
  <property fmtid="{D5CDD505-2E9C-101B-9397-08002B2CF9AE}" pid="3" name="Mendeley Recent Style Name 0_1">
    <vt:lpwstr>American Political Science Association</vt:lpwstr>
  </property>
  <property fmtid="{D5CDD505-2E9C-101B-9397-08002B2CF9AE}" pid="4" name="Mendeley Recent Style Id 1_1">
    <vt:lpwstr>http://www.zotero.org/styles/apa</vt:lpwstr>
  </property>
  <property fmtid="{D5CDD505-2E9C-101B-9397-08002B2CF9AE}" pid="5" name="Mendeley Recent Style Name 1_1">
    <vt:lpwstr>American Psychological Association 7th edition</vt:lpwstr>
  </property>
  <property fmtid="{D5CDD505-2E9C-101B-9397-08002B2CF9AE}" pid="6" name="Mendeley Recent Style Id 2_1">
    <vt:lpwstr>http://www.zotero.org/styles/american-sociological-association</vt:lpwstr>
  </property>
  <property fmtid="{D5CDD505-2E9C-101B-9397-08002B2CF9AE}" pid="7" name="Mendeley Recent Style Name 2_1">
    <vt:lpwstr>American Sociological Association 6th edition</vt:lpwstr>
  </property>
  <property fmtid="{D5CDD505-2E9C-101B-9397-08002B2CF9AE}" pid="8" name="Mendeley Recent Style Id 3_1">
    <vt:lpwstr>http://www.zotero.org/styles/chicago-author-date</vt:lpwstr>
  </property>
  <property fmtid="{D5CDD505-2E9C-101B-9397-08002B2CF9AE}" pid="9" name="Mendeley Recent Style Name 3_1">
    <vt:lpwstr>Chicago Manual of Style 17th edition (author-date)</vt:lpwstr>
  </property>
  <property fmtid="{D5CDD505-2E9C-101B-9397-08002B2CF9AE}" pid="10" name="Mendeley Recent Style Id 4_1">
    <vt:lpwstr>http://www.zotero.org/styles/harvard-cite-them-right</vt:lpwstr>
  </property>
  <property fmtid="{D5CDD505-2E9C-101B-9397-08002B2CF9AE}" pid="11" name="Mendeley Recent Style Name 4_1">
    <vt:lpwstr>Cite Them Right 12th edition - Harvard</vt:lpwstr>
  </property>
  <property fmtid="{D5CDD505-2E9C-101B-9397-08002B2CF9AE}" pid="12" name="Mendeley Recent Style Id 5_1">
    <vt:lpwstr>http://www.zotero.org/styles/ieee</vt:lpwstr>
  </property>
  <property fmtid="{D5CDD505-2E9C-101B-9397-08002B2CF9AE}" pid="13" name="Mendeley Recent Style Name 5_1">
    <vt:lpwstr>IEEE</vt:lpwstr>
  </property>
  <property fmtid="{D5CDD505-2E9C-101B-9397-08002B2CF9AE}" pid="14" name="Mendeley Recent Style Id 6_1">
    <vt:lpwstr>http://www.zotero.org/styles/modern-humanities-research-association</vt:lpwstr>
  </property>
  <property fmtid="{D5CDD505-2E9C-101B-9397-08002B2CF9AE}" pid="15" name="Mendeley Recent Style Name 6_1">
    <vt:lpwstr>Modern Humanities Research Association 3rd edition (note with bibliography)</vt:lpwstr>
  </property>
  <property fmtid="{D5CDD505-2E9C-101B-9397-08002B2CF9AE}" pid="16" name="Mendeley Recent Style Id 7_1">
    <vt:lpwstr>http://www.zotero.org/styles/modern-language-association</vt:lpwstr>
  </property>
  <property fmtid="{D5CDD505-2E9C-101B-9397-08002B2CF9AE}" pid="17" name="Mendeley Recent Style Name 7_1">
    <vt:lpwstr>Modern Language Association 9th edition</vt:lpwstr>
  </property>
  <property fmtid="{D5CDD505-2E9C-101B-9397-08002B2CF9AE}" pid="18" name="Mendeley Recent Style Id 8_1">
    <vt:lpwstr>http://www.zotero.org/styles/nature</vt:lpwstr>
  </property>
  <property fmtid="{D5CDD505-2E9C-101B-9397-08002B2CF9AE}" pid="19" name="Mendeley Recent Style Name 8_1">
    <vt:lpwstr>Nature</vt:lpwstr>
  </property>
  <property fmtid="{D5CDD505-2E9C-101B-9397-08002B2CF9AE}" pid="20" name="Mendeley Recent Style Id 9_1">
    <vt:lpwstr>http://www.zotero.org/styles/systematic-biology</vt:lpwstr>
  </property>
  <property fmtid="{D5CDD505-2E9C-101B-9397-08002B2CF9AE}" pid="21" name="Mendeley Recent Style Name 9_1">
    <vt:lpwstr>Systematic Biology</vt:lpwstr>
  </property>
</Properties>
</file>