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C71D36" w:rsidRDefault="00C71D36">
      <w:pPr>
        <w:pBdr>
          <w:top w:val="nil"/>
          <w:left w:val="nil"/>
          <w:bottom w:val="nil"/>
          <w:right w:val="nil"/>
          <w:between w:val="nil"/>
        </w:pBdr>
        <w:spacing w:after="0" w:line="240" w:lineRule="auto"/>
        <w:rPr>
          <w:color w:val="000000"/>
          <w:sz w:val="24"/>
          <w:szCs w:val="24"/>
        </w:rPr>
      </w:pPr>
    </w:p>
    <w:p w14:paraId="00000002" w14:textId="77777777" w:rsidR="00C71D36" w:rsidRDefault="00000000">
      <w:pPr>
        <w:jc w:val="center"/>
        <w:rPr>
          <w:sz w:val="32"/>
          <w:szCs w:val="32"/>
        </w:rPr>
      </w:pPr>
      <w:r>
        <w:rPr>
          <w:sz w:val="32"/>
          <w:szCs w:val="32"/>
        </w:rPr>
        <w:t xml:space="preserve">NSC-Reconstruct partner University of Turin released open-access dataset </w:t>
      </w:r>
      <w:proofErr w:type="spellStart"/>
      <w:r>
        <w:rPr>
          <w:sz w:val="32"/>
          <w:szCs w:val="32"/>
        </w:rPr>
        <w:t>NSCR_Dataset</w:t>
      </w:r>
      <w:proofErr w:type="spellEnd"/>
    </w:p>
    <w:p w14:paraId="00000003" w14:textId="77777777" w:rsidR="00C71D36" w:rsidRDefault="00C71D36">
      <w:pPr>
        <w:jc w:val="center"/>
        <w:rPr>
          <w:sz w:val="32"/>
          <w:szCs w:val="32"/>
        </w:rPr>
      </w:pPr>
    </w:p>
    <w:p w14:paraId="00000004" w14:textId="77777777" w:rsidR="00C71D36" w:rsidRDefault="00C71D36">
      <w:pPr>
        <w:pBdr>
          <w:top w:val="nil"/>
          <w:left w:val="nil"/>
          <w:bottom w:val="nil"/>
          <w:right w:val="nil"/>
          <w:between w:val="nil"/>
        </w:pBdr>
        <w:spacing w:after="0" w:line="240" w:lineRule="auto"/>
        <w:rPr>
          <w:color w:val="000000"/>
          <w:sz w:val="28"/>
          <w:szCs w:val="28"/>
        </w:rPr>
      </w:pPr>
    </w:p>
    <w:p w14:paraId="00000005" w14:textId="77777777" w:rsidR="00C71D36" w:rsidRDefault="00000000">
      <w:pPr>
        <w:jc w:val="both"/>
        <w:rPr>
          <w:sz w:val="24"/>
          <w:szCs w:val="24"/>
        </w:rPr>
      </w:pPr>
      <w:r>
        <w:rPr>
          <w:sz w:val="24"/>
          <w:szCs w:val="24"/>
        </w:rPr>
        <w:t>The University of Turin (</w:t>
      </w:r>
      <w:proofErr w:type="spellStart"/>
      <w:r>
        <w:rPr>
          <w:sz w:val="24"/>
          <w:szCs w:val="24"/>
        </w:rPr>
        <w:t>UniTo</w:t>
      </w:r>
      <w:proofErr w:type="spellEnd"/>
      <w:r>
        <w:rPr>
          <w:sz w:val="24"/>
          <w:szCs w:val="24"/>
        </w:rPr>
        <w:t xml:space="preserve">) released the second open-access dataset </w:t>
      </w:r>
      <w:proofErr w:type="spellStart"/>
      <w:r>
        <w:rPr>
          <w:sz w:val="24"/>
          <w:szCs w:val="24"/>
        </w:rPr>
        <w:t>NSCR_Dataset</w:t>
      </w:r>
      <w:proofErr w:type="spellEnd"/>
      <w:r>
        <w:rPr>
          <w:sz w:val="24"/>
          <w:szCs w:val="24"/>
        </w:rPr>
        <w:t xml:space="preserve"> collected for the NEUROSTEMCELLREPAIR (602278) and NSC-Reconstruct (874758) European stem cell consortia for neural cell replacement, reprogramming and functional brain repair (602278)  (</w:t>
      </w:r>
      <w:hyperlink r:id="rId6">
        <w:r>
          <w:rPr>
            <w:color w:val="0563C1"/>
            <w:sz w:val="24"/>
            <w:szCs w:val="24"/>
            <w:u w:val="single"/>
          </w:rPr>
          <w:t>https://www.nsc-reconstruct.com/en/index.do</w:t>
        </w:r>
      </w:hyperlink>
      <w:r>
        <w:rPr>
          <w:sz w:val="24"/>
          <w:szCs w:val="24"/>
        </w:rPr>
        <w:t>).</w:t>
      </w:r>
    </w:p>
    <w:p w14:paraId="00000006" w14:textId="77777777" w:rsidR="00C71D36" w:rsidRDefault="00000000">
      <w:pPr>
        <w:jc w:val="both"/>
        <w:rPr>
          <w:sz w:val="24"/>
          <w:szCs w:val="24"/>
        </w:rPr>
      </w:pPr>
      <w:r>
        <w:rPr>
          <w:sz w:val="24"/>
          <w:szCs w:val="24"/>
        </w:rPr>
        <w:t xml:space="preserve">The </w:t>
      </w:r>
      <w:proofErr w:type="spellStart"/>
      <w:r>
        <w:rPr>
          <w:sz w:val="24"/>
          <w:szCs w:val="24"/>
        </w:rPr>
        <w:t>NSCR_Dataset</w:t>
      </w:r>
      <w:proofErr w:type="spellEnd"/>
      <w:r>
        <w:rPr>
          <w:sz w:val="24"/>
          <w:szCs w:val="24"/>
        </w:rPr>
        <w:t xml:space="preserve"> is a dataset of analysis of histological ex-vivo brain samples and behavioral parameters from Huntington's Disease (HD) rat models, after cell replacement approach of striatal progenitor cells in the lesioned striatum, at different time points. For </w:t>
      </w:r>
      <w:proofErr w:type="spellStart"/>
      <w:r>
        <w:rPr>
          <w:sz w:val="24"/>
          <w:szCs w:val="24"/>
        </w:rPr>
        <w:t>for</w:t>
      </w:r>
      <w:proofErr w:type="spellEnd"/>
      <w:r>
        <w:rPr>
          <w:sz w:val="24"/>
          <w:szCs w:val="24"/>
        </w:rPr>
        <w:t xml:space="preserve"> short time-points, see for details: </w:t>
      </w:r>
      <w:hyperlink r:id="rId7" w:anchor="app2">
        <w:r>
          <w:rPr>
            <w:color w:val="1155CC"/>
            <w:sz w:val="24"/>
            <w:szCs w:val="24"/>
            <w:u w:val="single"/>
          </w:rPr>
          <w:t>https://www.sciencedirect.com/science/article/pii/S2213671120301089?via%3Dihub#app2</w:t>
        </w:r>
      </w:hyperlink>
      <w:r>
        <w:rPr>
          <w:sz w:val="24"/>
          <w:szCs w:val="24"/>
        </w:rPr>
        <w:t xml:space="preserve">); for long time points, see for details: </w:t>
      </w:r>
      <w:hyperlink r:id="rId8">
        <w:r>
          <w:rPr>
            <w:color w:val="1155CC"/>
            <w:sz w:val="24"/>
            <w:szCs w:val="24"/>
            <w:u w:val="single"/>
          </w:rPr>
          <w:t>https://stemcellres.biomedcentral.com/articles/10.1186/s13287-023-03422-4</w:t>
        </w:r>
      </w:hyperlink>
      <w:r>
        <w:rPr>
          <w:sz w:val="24"/>
          <w:szCs w:val="24"/>
        </w:rPr>
        <w:t>.</w:t>
      </w:r>
    </w:p>
    <w:p w14:paraId="00000007" w14:textId="77777777" w:rsidR="00C71D36" w:rsidRDefault="00000000">
      <w:pPr>
        <w:jc w:val="both"/>
        <w:rPr>
          <w:sz w:val="24"/>
          <w:szCs w:val="24"/>
        </w:rPr>
      </w:pPr>
      <w:r>
        <w:rPr>
          <w:sz w:val="24"/>
          <w:szCs w:val="24"/>
        </w:rPr>
        <w:t xml:space="preserve">The </w:t>
      </w:r>
      <w:proofErr w:type="spellStart"/>
      <w:r>
        <w:rPr>
          <w:sz w:val="24"/>
          <w:szCs w:val="24"/>
        </w:rPr>
        <w:t>UniTO</w:t>
      </w:r>
      <w:proofErr w:type="spellEnd"/>
      <w:r>
        <w:rPr>
          <w:sz w:val="24"/>
          <w:szCs w:val="24"/>
        </w:rPr>
        <w:t xml:space="preserve"> team released this second dataset publicly. The dataset includes data obtained from HD rat models, divided into experimental </w:t>
      </w:r>
      <w:proofErr w:type="gramStart"/>
      <w:r>
        <w:rPr>
          <w:sz w:val="24"/>
          <w:szCs w:val="24"/>
        </w:rPr>
        <w:t>groups</w:t>
      </w:r>
      <w:proofErr w:type="gramEnd"/>
      <w:r>
        <w:rPr>
          <w:sz w:val="24"/>
          <w:szCs w:val="24"/>
        </w:rPr>
        <w:t xml:space="preserve"> and used in different histological and behavioral analysis. </w:t>
      </w:r>
    </w:p>
    <w:p w14:paraId="00000008" w14:textId="77777777" w:rsidR="00C71D36" w:rsidRDefault="00000000">
      <w:pPr>
        <w:jc w:val="both"/>
        <w:rPr>
          <w:sz w:val="24"/>
          <w:szCs w:val="24"/>
        </w:rPr>
      </w:pPr>
      <w:r>
        <w:rPr>
          <w:sz w:val="24"/>
          <w:szCs w:val="24"/>
        </w:rPr>
        <w:t xml:space="preserve">All the experiments were conducted at the Neuroscience Institute of the Cavalieri Ottolenghi foundation (NICO, https://www.nico.ottolenghi.unito.it/), University of Torino. </w:t>
      </w:r>
    </w:p>
    <w:p w14:paraId="00000009" w14:textId="77777777" w:rsidR="00C71D36" w:rsidRDefault="00000000">
      <w:pPr>
        <w:jc w:val="both"/>
        <w:rPr>
          <w:sz w:val="24"/>
          <w:szCs w:val="24"/>
        </w:rPr>
      </w:pPr>
      <w:r>
        <w:rPr>
          <w:sz w:val="24"/>
          <w:szCs w:val="24"/>
        </w:rPr>
        <w:t xml:space="preserve">Athymic nude male rats were maintained into the animal facility of </w:t>
      </w:r>
      <w:proofErr w:type="spellStart"/>
      <w:r>
        <w:rPr>
          <w:sz w:val="24"/>
          <w:szCs w:val="24"/>
        </w:rPr>
        <w:t>UniTo</w:t>
      </w:r>
      <w:proofErr w:type="spellEnd"/>
      <w:r>
        <w:rPr>
          <w:sz w:val="24"/>
          <w:szCs w:val="24"/>
        </w:rPr>
        <w:t xml:space="preserve"> and </w:t>
      </w:r>
      <w:proofErr w:type="spellStart"/>
      <w:r>
        <w:rPr>
          <w:sz w:val="24"/>
          <w:szCs w:val="24"/>
        </w:rPr>
        <w:t>monolaterally</w:t>
      </w:r>
      <w:proofErr w:type="spellEnd"/>
      <w:r>
        <w:rPr>
          <w:sz w:val="24"/>
          <w:szCs w:val="24"/>
        </w:rPr>
        <w:t xml:space="preserve"> lesioned, by stereotaxic surgery, in the striatum before stem cell transplantation with quinolinic acid (QA) to mimic HD. As described in [1 and 2], embryonic human stem cell-derived striatal progenitors were grafted into the lesioned striata using stereotaxic coordinates. In sham (not transplanted) rats, an equivalent volume of PBS was injected </w:t>
      </w:r>
      <w:proofErr w:type="gramStart"/>
      <w:r>
        <w:rPr>
          <w:sz w:val="24"/>
          <w:szCs w:val="24"/>
        </w:rPr>
        <w:t>in</w:t>
      </w:r>
      <w:proofErr w:type="gramEnd"/>
      <w:r>
        <w:rPr>
          <w:sz w:val="24"/>
          <w:szCs w:val="24"/>
        </w:rPr>
        <w:t xml:space="preserve"> the lesioned striatum. At the indicated time of the analysis, the animals were sacrificed and the </w:t>
      </w:r>
      <w:proofErr w:type="gramStart"/>
      <w:r>
        <w:rPr>
          <w:sz w:val="24"/>
          <w:szCs w:val="24"/>
        </w:rPr>
        <w:t>brains</w:t>
      </w:r>
      <w:proofErr w:type="gramEnd"/>
      <w:r>
        <w:rPr>
          <w:sz w:val="24"/>
          <w:szCs w:val="24"/>
        </w:rPr>
        <w:t xml:space="preserve"> cryo-sectioned and cut into 40 um-thick slices for immunohistochemical and immunofluorescence analyses. Brain slices were stained with specific primary and secondary antibodies, then images were acquired with brightfield or confocal microscopes, and processed and analyzed with LAS-X imaging software and using ImageJ software. Positive cells were then counted in a minimum of 9 fields of view using ImageJ plugin. In figure 1 examples of immunofluorescence-labelled transplanted cells are shown. </w:t>
      </w:r>
    </w:p>
    <w:p w14:paraId="0000000A" w14:textId="310D8538" w:rsidR="00C71D36" w:rsidRDefault="00000000">
      <w:pPr>
        <w:jc w:val="both"/>
        <w:rPr>
          <w:sz w:val="24"/>
          <w:szCs w:val="24"/>
        </w:rPr>
      </w:pPr>
      <w:r>
        <w:rPr>
          <w:sz w:val="24"/>
          <w:szCs w:val="24"/>
        </w:rPr>
        <w:t xml:space="preserve">We also tested whether exposing a cohort of QA-lesioned animals to environmental enrichment (EE) could improve graft integration and function, compared to a standard condition (SE), thus we set up a protocol of different housing conditions that started 8 days post-striatal QA lesion, until the day of sacrifice 6 months post-lesion. Soon after cell transplantation, both sham and transplanted groups were divided into experimental subgroups, to start </w:t>
      </w:r>
      <w:proofErr w:type="gramStart"/>
      <w:r>
        <w:rPr>
          <w:sz w:val="24"/>
          <w:szCs w:val="24"/>
        </w:rPr>
        <w:t>from</w:t>
      </w:r>
      <w:proofErr w:type="gramEnd"/>
      <w:r>
        <w:rPr>
          <w:sz w:val="24"/>
          <w:szCs w:val="24"/>
        </w:rPr>
        <w:t xml:space="preserve"> similar average performances. One group of sham and grafted animals were housed in standard cages with only nesting material in the cage; while the second subgroups of sham and grafted athymic nude rats were housed instead in large cages, in which stimuli of different nature were placed and renewed every 2 days, constituting </w:t>
      </w:r>
      <w:r>
        <w:rPr>
          <w:sz w:val="24"/>
          <w:szCs w:val="24"/>
        </w:rPr>
        <w:lastRenderedPageBreak/>
        <w:t xml:space="preserve">the environmental enrichment that is known for encouraging exploration, social interaction and physical exercise physical activity. </w:t>
      </w:r>
    </w:p>
    <w:p w14:paraId="0000000B" w14:textId="77777777" w:rsidR="00C71D36" w:rsidRDefault="00000000">
      <w:pPr>
        <w:jc w:val="both"/>
        <w:rPr>
          <w:sz w:val="24"/>
          <w:szCs w:val="24"/>
        </w:rPr>
      </w:pPr>
      <w:r>
        <w:rPr>
          <w:sz w:val="24"/>
          <w:szCs w:val="24"/>
        </w:rPr>
        <w:t>By immunohistochemical analysis, we investigated the neurochemical organization of the developing human striatal grafts, and, to look at possible factors accounting for increased maturation and integration of the human grafted neurons in EE, we focused on brain-derived neurotrophic factor (BDNF) and microglia.</w:t>
      </w:r>
    </w:p>
    <w:p w14:paraId="0000000C" w14:textId="77777777" w:rsidR="00C71D36" w:rsidRDefault="00000000">
      <w:pPr>
        <w:jc w:val="both"/>
        <w:rPr>
          <w:sz w:val="24"/>
          <w:szCs w:val="24"/>
        </w:rPr>
      </w:pPr>
      <w:r>
        <w:rPr>
          <w:sz w:val="24"/>
          <w:szCs w:val="24"/>
        </w:rPr>
        <w:t xml:space="preserve">Moreover, by combining graft-specific immunohistochemistry and rabies virus-mediated synaptic tracing [2; 3], we calculated the expression of different cellular markers in transplanted cells, and we evaluated the extension of host-to-graft and graft-to-host projections to the appropriate target structures. As an additional approach to investigate the maturation and striatal identity of the grafted cells, we performed morphometric analyses on human grafted neurons expressing the </w:t>
      </w:r>
      <w:proofErr w:type="spellStart"/>
      <w:r>
        <w:rPr>
          <w:sz w:val="24"/>
          <w:szCs w:val="24"/>
        </w:rPr>
        <w:t>mCherry</w:t>
      </w:r>
      <w:proofErr w:type="spellEnd"/>
      <w:r>
        <w:rPr>
          <w:sz w:val="24"/>
          <w:szCs w:val="24"/>
        </w:rPr>
        <w:t xml:space="preserve"> reporter of mutated rabies virus, focusing in particular on dendritic spines (Figure 2).</w:t>
      </w:r>
    </w:p>
    <w:p w14:paraId="0000000D" w14:textId="4F21DA09" w:rsidR="00C71D36" w:rsidRDefault="00000000">
      <w:pPr>
        <w:jc w:val="both"/>
        <w:rPr>
          <w:sz w:val="24"/>
          <w:szCs w:val="24"/>
        </w:rPr>
      </w:pPr>
      <w:r>
        <w:rPr>
          <w:sz w:val="24"/>
          <w:szCs w:val="24"/>
        </w:rPr>
        <w:t xml:space="preserve">This dataset also contains the data of behavioral analysis performed, conducted blind to the rat treatment(s). The rotarod </w:t>
      </w:r>
      <w:r w:rsidR="00164A81">
        <w:rPr>
          <w:sz w:val="24"/>
          <w:szCs w:val="24"/>
        </w:rPr>
        <w:t>test started</w:t>
      </w:r>
      <w:r>
        <w:rPr>
          <w:sz w:val="24"/>
          <w:szCs w:val="24"/>
        </w:rPr>
        <w:t xml:space="preserve"> one week before the QA lesion, to define the baseline performance for each animal. Thereafter, rats were tested one-week post-lesion, 2 weeks post-transplant and every month after transplantation (up to 6 months). To avoid that EE action on motor performances can be explained by increased muscle trophism, we finally examined skeletal muscle features (</w:t>
      </w:r>
      <w:proofErr w:type="spellStart"/>
      <w:r>
        <w:rPr>
          <w:sz w:val="24"/>
          <w:szCs w:val="24"/>
        </w:rPr>
        <w:t>e.</w:t>
      </w:r>
      <w:proofErr w:type="gramStart"/>
      <w:r>
        <w:rPr>
          <w:sz w:val="24"/>
          <w:szCs w:val="24"/>
        </w:rPr>
        <w:t>g.cross</w:t>
      </w:r>
      <w:proofErr w:type="spellEnd"/>
      <w:proofErr w:type="gramEnd"/>
      <w:r>
        <w:rPr>
          <w:sz w:val="24"/>
          <w:szCs w:val="24"/>
        </w:rPr>
        <w:t xml:space="preserve">-sectional area and Feret diameters) of </w:t>
      </w:r>
      <w:proofErr w:type="spellStart"/>
      <w:r>
        <w:rPr>
          <w:sz w:val="24"/>
          <w:szCs w:val="24"/>
        </w:rPr>
        <w:t>ipsi</w:t>
      </w:r>
      <w:proofErr w:type="spellEnd"/>
      <w:r>
        <w:rPr>
          <w:sz w:val="24"/>
          <w:szCs w:val="24"/>
        </w:rPr>
        <w:t xml:space="preserve">- and contralesional skeletal muscle fibers between sham and transplanted animals, in both SE and EE conditions. </w:t>
      </w:r>
    </w:p>
    <w:p w14:paraId="0000000E" w14:textId="6691D6E7" w:rsidR="00C71D36" w:rsidRDefault="00164A81">
      <w:pPr>
        <w:jc w:val="both"/>
        <w:rPr>
          <w:sz w:val="24"/>
          <w:szCs w:val="24"/>
        </w:rPr>
      </w:pPr>
      <w:r>
        <w:rPr>
          <w:sz w:val="24"/>
          <w:szCs w:val="24"/>
        </w:rPr>
        <w:t xml:space="preserve">Data </w:t>
      </w:r>
      <w:proofErr w:type="gramStart"/>
      <w:r>
        <w:rPr>
          <w:sz w:val="24"/>
          <w:szCs w:val="24"/>
        </w:rPr>
        <w:t>support</w:t>
      </w:r>
      <w:proofErr w:type="gramEnd"/>
      <w:r>
        <w:rPr>
          <w:sz w:val="24"/>
          <w:szCs w:val="24"/>
        </w:rPr>
        <w:t xml:space="preserve"> the long-term therapeutic potential of ESC-derived human striatal progenitor grafts for the replacement of degenerated striatal neurons in HD and suggest that EE can effectively accelerate the maturation and promote the integration of human striatal cells.</w:t>
      </w:r>
    </w:p>
    <w:p w14:paraId="0000000F" w14:textId="42146D4C" w:rsidR="00C71D36" w:rsidRDefault="00000000">
      <w:pPr>
        <w:jc w:val="both"/>
        <w:rPr>
          <w:sz w:val="24"/>
          <w:szCs w:val="24"/>
        </w:rPr>
      </w:pPr>
      <w:r>
        <w:rPr>
          <w:sz w:val="24"/>
          <w:szCs w:val="24"/>
        </w:rPr>
        <w:t xml:space="preserve">The aim of these data collection is </w:t>
      </w:r>
      <w:r w:rsidR="00164A81">
        <w:rPr>
          <w:sz w:val="24"/>
          <w:szCs w:val="24"/>
        </w:rPr>
        <w:t>to take</w:t>
      </w:r>
      <w:r>
        <w:rPr>
          <w:sz w:val="24"/>
          <w:szCs w:val="24"/>
        </w:rPr>
        <w:t xml:space="preserve"> human stem cells through the final steps toward clinical application in cell replacement therapy for neurological disorders, especially for HD, by developing strategies to obtain endurable donor cell engraftment in the host, including acquisition of specific neuronal identities and functional integration in the recipient brain.</w:t>
      </w:r>
    </w:p>
    <w:p w14:paraId="00000010" w14:textId="77777777" w:rsidR="00C71D36" w:rsidRDefault="00C71D36">
      <w:pPr>
        <w:jc w:val="both"/>
        <w:rPr>
          <w:sz w:val="24"/>
          <w:szCs w:val="24"/>
        </w:rPr>
      </w:pPr>
    </w:p>
    <w:p w14:paraId="00000011" w14:textId="77777777" w:rsidR="00C71D36" w:rsidRDefault="00000000">
      <w:pPr>
        <w:jc w:val="both"/>
        <w:rPr>
          <w:sz w:val="24"/>
          <w:szCs w:val="24"/>
        </w:rPr>
      </w:pPr>
      <w:r>
        <w:rPr>
          <w:sz w:val="24"/>
          <w:szCs w:val="24"/>
        </w:rPr>
        <w:t>References.</w:t>
      </w:r>
    </w:p>
    <w:p w14:paraId="00000012" w14:textId="77777777" w:rsidR="00C71D36" w:rsidRDefault="00000000">
      <w:pPr>
        <w:numPr>
          <w:ilvl w:val="0"/>
          <w:numId w:val="1"/>
        </w:numPr>
        <w:pBdr>
          <w:top w:val="nil"/>
          <w:left w:val="nil"/>
          <w:bottom w:val="nil"/>
          <w:right w:val="nil"/>
          <w:between w:val="nil"/>
        </w:pBdr>
        <w:spacing w:after="0"/>
        <w:jc w:val="both"/>
        <w:rPr>
          <w:color w:val="000000"/>
          <w:sz w:val="24"/>
          <w:szCs w:val="24"/>
        </w:rPr>
      </w:pPr>
      <w:r>
        <w:rPr>
          <w:color w:val="000000"/>
          <w:sz w:val="24"/>
          <w:szCs w:val="24"/>
        </w:rPr>
        <w:t xml:space="preserve">Faedo A, </w:t>
      </w:r>
      <w:proofErr w:type="spellStart"/>
      <w:r>
        <w:rPr>
          <w:color w:val="000000"/>
          <w:sz w:val="24"/>
          <w:szCs w:val="24"/>
        </w:rPr>
        <w:t>Laporta</w:t>
      </w:r>
      <w:proofErr w:type="spellEnd"/>
      <w:r>
        <w:rPr>
          <w:color w:val="000000"/>
          <w:sz w:val="24"/>
          <w:szCs w:val="24"/>
        </w:rPr>
        <w:t xml:space="preserve"> A, </w:t>
      </w:r>
      <w:proofErr w:type="spellStart"/>
      <w:r>
        <w:rPr>
          <w:color w:val="000000"/>
          <w:sz w:val="24"/>
          <w:szCs w:val="24"/>
        </w:rPr>
        <w:t>Segnali</w:t>
      </w:r>
      <w:proofErr w:type="spellEnd"/>
      <w:r>
        <w:rPr>
          <w:color w:val="000000"/>
          <w:sz w:val="24"/>
          <w:szCs w:val="24"/>
        </w:rPr>
        <w:t xml:space="preserve"> A, Galimberti M, </w:t>
      </w:r>
      <w:proofErr w:type="spellStart"/>
      <w:r>
        <w:rPr>
          <w:color w:val="000000"/>
          <w:sz w:val="24"/>
          <w:szCs w:val="24"/>
        </w:rPr>
        <w:t>Besusso</w:t>
      </w:r>
      <w:proofErr w:type="spellEnd"/>
      <w:r>
        <w:rPr>
          <w:color w:val="000000"/>
          <w:sz w:val="24"/>
          <w:szCs w:val="24"/>
        </w:rPr>
        <w:t xml:space="preserve"> D, Cesana E, Belloli S, Moresco RM, Tropiano M, </w:t>
      </w:r>
      <w:proofErr w:type="spellStart"/>
      <w:r>
        <w:rPr>
          <w:color w:val="000000"/>
          <w:sz w:val="24"/>
          <w:szCs w:val="24"/>
        </w:rPr>
        <w:t>Fucà</w:t>
      </w:r>
      <w:proofErr w:type="spellEnd"/>
      <w:r>
        <w:rPr>
          <w:color w:val="000000"/>
          <w:sz w:val="24"/>
          <w:szCs w:val="24"/>
        </w:rPr>
        <w:t xml:space="preserve"> E, Wild S, Bosio A, Vercelli AE, Biella G, Cattaneo E. Differentiation of human telencephalic progenitor cells into MSNs by inducible expression of Gsx2 and Ebf1. Proc Natl </w:t>
      </w:r>
      <w:proofErr w:type="spellStart"/>
      <w:r>
        <w:rPr>
          <w:color w:val="000000"/>
          <w:sz w:val="24"/>
          <w:szCs w:val="24"/>
        </w:rPr>
        <w:t>Acad</w:t>
      </w:r>
      <w:proofErr w:type="spellEnd"/>
      <w:r>
        <w:rPr>
          <w:color w:val="000000"/>
          <w:sz w:val="24"/>
          <w:szCs w:val="24"/>
        </w:rPr>
        <w:t xml:space="preserve"> Sci U S A. 2017 Feb 14;114(7</w:t>
      </w:r>
      <w:proofErr w:type="gramStart"/>
      <w:r>
        <w:rPr>
          <w:color w:val="000000"/>
          <w:sz w:val="24"/>
          <w:szCs w:val="24"/>
        </w:rPr>
        <w:t>):E</w:t>
      </w:r>
      <w:proofErr w:type="gramEnd"/>
      <w:r>
        <w:rPr>
          <w:color w:val="000000"/>
          <w:sz w:val="24"/>
          <w:szCs w:val="24"/>
        </w:rPr>
        <w:t xml:space="preserve">1234-E1242. </w:t>
      </w:r>
      <w:proofErr w:type="spellStart"/>
      <w:r>
        <w:rPr>
          <w:color w:val="000000"/>
          <w:sz w:val="24"/>
          <w:szCs w:val="24"/>
        </w:rPr>
        <w:t>doi</w:t>
      </w:r>
      <w:proofErr w:type="spellEnd"/>
      <w:r>
        <w:rPr>
          <w:color w:val="000000"/>
          <w:sz w:val="24"/>
          <w:szCs w:val="24"/>
        </w:rPr>
        <w:t xml:space="preserve">: 10.1073/pnas.1611473114. </w:t>
      </w:r>
      <w:proofErr w:type="spellStart"/>
      <w:r>
        <w:rPr>
          <w:color w:val="000000"/>
          <w:sz w:val="24"/>
          <w:szCs w:val="24"/>
        </w:rPr>
        <w:t>Epub</w:t>
      </w:r>
      <w:proofErr w:type="spellEnd"/>
      <w:r>
        <w:rPr>
          <w:color w:val="000000"/>
          <w:sz w:val="24"/>
          <w:szCs w:val="24"/>
        </w:rPr>
        <w:t xml:space="preserve"> 2017 Jan 30. PMID: 28137879; PMCID: PMC5321017.</w:t>
      </w:r>
    </w:p>
    <w:p w14:paraId="00000013" w14:textId="77777777" w:rsidR="00C71D36" w:rsidRDefault="00000000">
      <w:pPr>
        <w:numPr>
          <w:ilvl w:val="0"/>
          <w:numId w:val="1"/>
        </w:numPr>
        <w:spacing w:after="0"/>
        <w:jc w:val="both"/>
        <w:rPr>
          <w:sz w:val="24"/>
          <w:szCs w:val="24"/>
        </w:rPr>
      </w:pPr>
      <w:proofErr w:type="spellStart"/>
      <w:r w:rsidRPr="00271257">
        <w:rPr>
          <w:sz w:val="24"/>
          <w:szCs w:val="24"/>
          <w:lang w:val="it-IT"/>
        </w:rPr>
        <w:t>Besusso</w:t>
      </w:r>
      <w:proofErr w:type="spellEnd"/>
      <w:r w:rsidRPr="00271257">
        <w:rPr>
          <w:sz w:val="24"/>
          <w:szCs w:val="24"/>
          <w:lang w:val="it-IT"/>
        </w:rPr>
        <w:t xml:space="preserve"> D, Schellino R, </w:t>
      </w:r>
      <w:proofErr w:type="spellStart"/>
      <w:r w:rsidRPr="00271257">
        <w:rPr>
          <w:sz w:val="24"/>
          <w:szCs w:val="24"/>
          <w:lang w:val="it-IT"/>
        </w:rPr>
        <w:t>Boido</w:t>
      </w:r>
      <w:proofErr w:type="spellEnd"/>
      <w:r w:rsidRPr="00271257">
        <w:rPr>
          <w:sz w:val="24"/>
          <w:szCs w:val="24"/>
          <w:lang w:val="it-IT"/>
        </w:rPr>
        <w:t xml:space="preserve"> M, Belloli S, </w:t>
      </w:r>
      <w:proofErr w:type="spellStart"/>
      <w:r w:rsidRPr="00271257">
        <w:rPr>
          <w:sz w:val="24"/>
          <w:szCs w:val="24"/>
          <w:lang w:val="it-IT"/>
        </w:rPr>
        <w:t>Parolisi</w:t>
      </w:r>
      <w:proofErr w:type="spellEnd"/>
      <w:r w:rsidRPr="00271257">
        <w:rPr>
          <w:sz w:val="24"/>
          <w:szCs w:val="24"/>
          <w:lang w:val="it-IT"/>
        </w:rPr>
        <w:t xml:space="preserve"> R, Conforti P, Faedo A, </w:t>
      </w:r>
      <w:proofErr w:type="spellStart"/>
      <w:r w:rsidRPr="00271257">
        <w:rPr>
          <w:sz w:val="24"/>
          <w:szCs w:val="24"/>
          <w:lang w:val="it-IT"/>
        </w:rPr>
        <w:t>Cernigoj</w:t>
      </w:r>
      <w:proofErr w:type="spellEnd"/>
      <w:r w:rsidRPr="00271257">
        <w:rPr>
          <w:sz w:val="24"/>
          <w:szCs w:val="24"/>
          <w:lang w:val="it-IT"/>
        </w:rPr>
        <w:t xml:space="preserve"> M, Campus I, Laporta A, Bocchi VD, </w:t>
      </w:r>
      <w:proofErr w:type="spellStart"/>
      <w:r w:rsidRPr="00271257">
        <w:rPr>
          <w:sz w:val="24"/>
          <w:szCs w:val="24"/>
          <w:lang w:val="it-IT"/>
        </w:rPr>
        <w:t>Murtaj</w:t>
      </w:r>
      <w:proofErr w:type="spellEnd"/>
      <w:r w:rsidRPr="00271257">
        <w:rPr>
          <w:sz w:val="24"/>
          <w:szCs w:val="24"/>
          <w:lang w:val="it-IT"/>
        </w:rPr>
        <w:t xml:space="preserve"> V, </w:t>
      </w:r>
      <w:proofErr w:type="spellStart"/>
      <w:r w:rsidRPr="00271257">
        <w:rPr>
          <w:sz w:val="24"/>
          <w:szCs w:val="24"/>
          <w:lang w:val="it-IT"/>
        </w:rPr>
        <w:t>Parmar</w:t>
      </w:r>
      <w:proofErr w:type="spellEnd"/>
      <w:r w:rsidRPr="00271257">
        <w:rPr>
          <w:sz w:val="24"/>
          <w:szCs w:val="24"/>
          <w:lang w:val="it-IT"/>
        </w:rPr>
        <w:t xml:space="preserve"> M, </w:t>
      </w:r>
      <w:proofErr w:type="spellStart"/>
      <w:r w:rsidRPr="00271257">
        <w:rPr>
          <w:sz w:val="24"/>
          <w:szCs w:val="24"/>
          <w:lang w:val="it-IT"/>
        </w:rPr>
        <w:t>Spaiardi</w:t>
      </w:r>
      <w:proofErr w:type="spellEnd"/>
      <w:r w:rsidRPr="00271257">
        <w:rPr>
          <w:sz w:val="24"/>
          <w:szCs w:val="24"/>
          <w:lang w:val="it-IT"/>
        </w:rPr>
        <w:t xml:space="preserve"> P, Talpo F, </w:t>
      </w:r>
      <w:proofErr w:type="spellStart"/>
      <w:r w:rsidRPr="00271257">
        <w:rPr>
          <w:sz w:val="24"/>
          <w:szCs w:val="24"/>
          <w:lang w:val="it-IT"/>
        </w:rPr>
        <w:t>Maniezzi</w:t>
      </w:r>
      <w:proofErr w:type="spellEnd"/>
      <w:r w:rsidRPr="00271257">
        <w:rPr>
          <w:sz w:val="24"/>
          <w:szCs w:val="24"/>
          <w:lang w:val="it-IT"/>
        </w:rPr>
        <w:t xml:space="preserve"> C, Toselli MG, Biella G, Moresco RM, Vercelli A, Buffo A, Cattaneo E. Stem Cell-</w:t>
      </w:r>
      <w:proofErr w:type="spellStart"/>
      <w:r w:rsidRPr="00271257">
        <w:rPr>
          <w:sz w:val="24"/>
          <w:szCs w:val="24"/>
          <w:lang w:val="it-IT"/>
        </w:rPr>
        <w:t>Derived</w:t>
      </w:r>
      <w:proofErr w:type="spellEnd"/>
      <w:r w:rsidRPr="00271257">
        <w:rPr>
          <w:sz w:val="24"/>
          <w:szCs w:val="24"/>
          <w:lang w:val="it-IT"/>
        </w:rPr>
        <w:t xml:space="preserve"> Human </w:t>
      </w:r>
      <w:proofErr w:type="spellStart"/>
      <w:r w:rsidRPr="00271257">
        <w:rPr>
          <w:sz w:val="24"/>
          <w:szCs w:val="24"/>
          <w:lang w:val="it-IT"/>
        </w:rPr>
        <w:t>Striatal</w:t>
      </w:r>
      <w:proofErr w:type="spellEnd"/>
      <w:r w:rsidRPr="00271257">
        <w:rPr>
          <w:sz w:val="24"/>
          <w:szCs w:val="24"/>
          <w:lang w:val="it-IT"/>
        </w:rPr>
        <w:t xml:space="preserve"> </w:t>
      </w:r>
      <w:proofErr w:type="spellStart"/>
      <w:r w:rsidRPr="00271257">
        <w:rPr>
          <w:sz w:val="24"/>
          <w:szCs w:val="24"/>
          <w:lang w:val="it-IT"/>
        </w:rPr>
        <w:t>Progenitors</w:t>
      </w:r>
      <w:proofErr w:type="spellEnd"/>
      <w:r w:rsidRPr="00271257">
        <w:rPr>
          <w:sz w:val="24"/>
          <w:szCs w:val="24"/>
          <w:lang w:val="it-IT"/>
        </w:rPr>
        <w:t xml:space="preserve"> Innervate </w:t>
      </w:r>
      <w:proofErr w:type="spellStart"/>
      <w:r w:rsidRPr="00271257">
        <w:rPr>
          <w:sz w:val="24"/>
          <w:szCs w:val="24"/>
          <w:lang w:val="it-IT"/>
        </w:rPr>
        <w:t>Striatal</w:t>
      </w:r>
      <w:proofErr w:type="spellEnd"/>
      <w:r w:rsidRPr="00271257">
        <w:rPr>
          <w:sz w:val="24"/>
          <w:szCs w:val="24"/>
          <w:lang w:val="it-IT"/>
        </w:rPr>
        <w:t xml:space="preserve"> Targets and Alleviate </w:t>
      </w:r>
      <w:proofErr w:type="spellStart"/>
      <w:r w:rsidRPr="00271257">
        <w:rPr>
          <w:sz w:val="24"/>
          <w:szCs w:val="24"/>
          <w:lang w:val="it-IT"/>
        </w:rPr>
        <w:t>Sensorimotor</w:t>
      </w:r>
      <w:proofErr w:type="spellEnd"/>
      <w:r w:rsidRPr="00271257">
        <w:rPr>
          <w:sz w:val="24"/>
          <w:szCs w:val="24"/>
          <w:lang w:val="it-IT"/>
        </w:rPr>
        <w:t xml:space="preserve"> Deficit </w:t>
      </w:r>
      <w:proofErr w:type="gramStart"/>
      <w:r w:rsidRPr="00271257">
        <w:rPr>
          <w:sz w:val="24"/>
          <w:szCs w:val="24"/>
          <w:lang w:val="it-IT"/>
        </w:rPr>
        <w:t>in a</w:t>
      </w:r>
      <w:proofErr w:type="gramEnd"/>
      <w:r w:rsidRPr="00271257">
        <w:rPr>
          <w:sz w:val="24"/>
          <w:szCs w:val="24"/>
          <w:lang w:val="it-IT"/>
        </w:rPr>
        <w:t xml:space="preserve"> Rat Model of Huntington </w:t>
      </w:r>
      <w:proofErr w:type="spellStart"/>
      <w:r w:rsidRPr="00271257">
        <w:rPr>
          <w:sz w:val="24"/>
          <w:szCs w:val="24"/>
          <w:lang w:val="it-IT"/>
        </w:rPr>
        <w:t>Disease</w:t>
      </w:r>
      <w:proofErr w:type="spellEnd"/>
      <w:r w:rsidRPr="00271257">
        <w:rPr>
          <w:sz w:val="24"/>
          <w:szCs w:val="24"/>
          <w:lang w:val="it-IT"/>
        </w:rPr>
        <w:t xml:space="preserve">. </w:t>
      </w:r>
      <w:r>
        <w:rPr>
          <w:sz w:val="24"/>
          <w:szCs w:val="24"/>
        </w:rPr>
        <w:t xml:space="preserve">Stem Cell Reports. 2020 May 12;14(5):876-891. </w:t>
      </w:r>
      <w:proofErr w:type="spellStart"/>
      <w:r>
        <w:rPr>
          <w:sz w:val="24"/>
          <w:szCs w:val="24"/>
        </w:rPr>
        <w:t>doi</w:t>
      </w:r>
      <w:proofErr w:type="spellEnd"/>
      <w:r>
        <w:rPr>
          <w:sz w:val="24"/>
          <w:szCs w:val="24"/>
        </w:rPr>
        <w:t xml:space="preserve">: 10.1016/j.stemcr.2020.03.018. </w:t>
      </w:r>
      <w:proofErr w:type="spellStart"/>
      <w:r>
        <w:rPr>
          <w:sz w:val="24"/>
          <w:szCs w:val="24"/>
        </w:rPr>
        <w:t>Epub</w:t>
      </w:r>
      <w:proofErr w:type="spellEnd"/>
      <w:r>
        <w:rPr>
          <w:sz w:val="24"/>
          <w:szCs w:val="24"/>
        </w:rPr>
        <w:t xml:space="preserve"> 2020 Apr 16. PMID: 32302555; PMCID: PMC7220987.</w:t>
      </w:r>
    </w:p>
    <w:p w14:paraId="00000014" w14:textId="77777777" w:rsidR="00C71D36" w:rsidRDefault="00000000">
      <w:pPr>
        <w:numPr>
          <w:ilvl w:val="0"/>
          <w:numId w:val="1"/>
        </w:numPr>
        <w:pBdr>
          <w:top w:val="nil"/>
          <w:left w:val="nil"/>
          <w:bottom w:val="nil"/>
          <w:right w:val="nil"/>
          <w:between w:val="nil"/>
        </w:pBdr>
        <w:spacing w:after="0"/>
        <w:jc w:val="both"/>
        <w:rPr>
          <w:color w:val="000000"/>
          <w:sz w:val="24"/>
          <w:szCs w:val="24"/>
        </w:rPr>
      </w:pPr>
      <w:r>
        <w:rPr>
          <w:color w:val="000000"/>
          <w:sz w:val="24"/>
          <w:szCs w:val="24"/>
        </w:rPr>
        <w:t xml:space="preserve">Grealish S, Heuer A, Cardoso T, Kirkeby A, Jönsson M, Johansson J, Björklund A, Jakobsson J, Parmar M. Monosynaptic Tracing using Modified Rabies Virus Reveals Early and Extensive </w:t>
      </w:r>
      <w:r>
        <w:rPr>
          <w:color w:val="000000"/>
          <w:sz w:val="24"/>
          <w:szCs w:val="24"/>
        </w:rPr>
        <w:lastRenderedPageBreak/>
        <w:t xml:space="preserve">Circuit Integration of Human Embryonic Stem Cell-Derived Neurons. Stem Cell Reports. 2015 Jun 9;4(6):975-83. </w:t>
      </w:r>
      <w:proofErr w:type="spellStart"/>
      <w:r>
        <w:rPr>
          <w:color w:val="000000"/>
          <w:sz w:val="24"/>
          <w:szCs w:val="24"/>
        </w:rPr>
        <w:t>doi</w:t>
      </w:r>
      <w:proofErr w:type="spellEnd"/>
      <w:r>
        <w:rPr>
          <w:color w:val="000000"/>
          <w:sz w:val="24"/>
          <w:szCs w:val="24"/>
        </w:rPr>
        <w:t xml:space="preserve">: 10.1016/j.stemcr.2015.04.011. </w:t>
      </w:r>
      <w:proofErr w:type="spellStart"/>
      <w:r>
        <w:rPr>
          <w:color w:val="000000"/>
          <w:sz w:val="24"/>
          <w:szCs w:val="24"/>
        </w:rPr>
        <w:t>Epub</w:t>
      </w:r>
      <w:proofErr w:type="spellEnd"/>
      <w:r>
        <w:rPr>
          <w:color w:val="000000"/>
          <w:sz w:val="24"/>
          <w:szCs w:val="24"/>
        </w:rPr>
        <w:t xml:space="preserve"> 2015 May 21. PMID: 26004633; PMCID: PMC4471831.</w:t>
      </w:r>
    </w:p>
    <w:p w14:paraId="00000015" w14:textId="77777777" w:rsidR="00C71D36" w:rsidRDefault="00C71D36">
      <w:pPr>
        <w:pBdr>
          <w:top w:val="nil"/>
          <w:left w:val="nil"/>
          <w:bottom w:val="nil"/>
          <w:right w:val="nil"/>
          <w:between w:val="nil"/>
        </w:pBdr>
        <w:ind w:left="720"/>
        <w:jc w:val="both"/>
        <w:rPr>
          <w:color w:val="000000"/>
          <w:sz w:val="24"/>
          <w:szCs w:val="24"/>
        </w:rPr>
      </w:pPr>
    </w:p>
    <w:p w14:paraId="00000016" w14:textId="77777777" w:rsidR="00C71D36" w:rsidRDefault="00C71D36">
      <w:pPr>
        <w:jc w:val="both"/>
        <w:rPr>
          <w:sz w:val="23"/>
          <w:szCs w:val="23"/>
        </w:rPr>
      </w:pPr>
    </w:p>
    <w:p w14:paraId="00000017" w14:textId="062CCB3D" w:rsidR="00C71D36" w:rsidRPr="00707397" w:rsidRDefault="00000000">
      <w:pPr>
        <w:jc w:val="both"/>
        <w:rPr>
          <w:b/>
        </w:rPr>
      </w:pPr>
      <w:r w:rsidRPr="00707397">
        <w:rPr>
          <w:b/>
        </w:rPr>
        <w:t xml:space="preserve">Figure1. Examples of immunofluorescence </w:t>
      </w:r>
      <w:r w:rsidR="00164A81" w:rsidRPr="00707397">
        <w:rPr>
          <w:b/>
        </w:rPr>
        <w:t>staining</w:t>
      </w:r>
      <w:r w:rsidRPr="00707397">
        <w:rPr>
          <w:b/>
        </w:rPr>
        <w:t xml:space="preserve"> of grafted cells labelled with different markers</w:t>
      </w:r>
      <w:r w:rsidR="00271257" w:rsidRPr="00707397">
        <w:rPr>
          <w:b/>
        </w:rPr>
        <w:t>, in standard and enriched environment conditions.</w:t>
      </w:r>
    </w:p>
    <w:p w14:paraId="00000018" w14:textId="4265CFB7" w:rsidR="00C71D36" w:rsidRDefault="00271257">
      <w:pPr>
        <w:jc w:val="both"/>
      </w:pPr>
      <w:r>
        <w:rPr>
          <w:noProof/>
        </w:rPr>
        <w:drawing>
          <wp:inline distT="0" distB="0" distL="0" distR="0" wp14:anchorId="56DE77E5" wp14:editId="7311A92D">
            <wp:extent cx="6213227" cy="1523974"/>
            <wp:effectExtent l="0" t="0" r="0" b="635"/>
            <wp:docPr id="1313244268" name="Elemento gra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244268" name=""/>
                    <pic:cNvPicPr/>
                  </pic:nvPicPr>
                  <pic:blipFill>
                    <a:blip r:embed="rId9">
                      <a:extLst>
                        <a:ext uri="{96DAC541-7B7A-43D3-8B79-37D633B846F1}">
                          <asvg:svgBlip xmlns:asvg="http://schemas.microsoft.com/office/drawing/2016/SVG/main" r:embed="rId10"/>
                        </a:ext>
                      </a:extLst>
                    </a:blip>
                    <a:stretch>
                      <a:fillRect/>
                    </a:stretch>
                  </pic:blipFill>
                  <pic:spPr>
                    <a:xfrm>
                      <a:off x="0" y="0"/>
                      <a:ext cx="6231299" cy="1528407"/>
                    </a:xfrm>
                    <a:prstGeom prst="rect">
                      <a:avLst/>
                    </a:prstGeom>
                  </pic:spPr>
                </pic:pic>
              </a:graphicData>
            </a:graphic>
          </wp:inline>
        </w:drawing>
      </w:r>
    </w:p>
    <w:p w14:paraId="06C8DF2D" w14:textId="77777777" w:rsidR="00164A81" w:rsidRDefault="00164A81">
      <w:pPr>
        <w:jc w:val="both"/>
      </w:pPr>
    </w:p>
    <w:p w14:paraId="55CF8F26" w14:textId="316954CD" w:rsidR="00164A81" w:rsidRDefault="00164A81">
      <w:pPr>
        <w:jc w:val="both"/>
        <w:rPr>
          <w:b/>
          <w:bCs/>
        </w:rPr>
      </w:pPr>
      <w:r w:rsidRPr="00164A81">
        <w:rPr>
          <w:b/>
          <w:bCs/>
        </w:rPr>
        <w:t xml:space="preserve">Figure 2. Examples of </w:t>
      </w:r>
      <w:proofErr w:type="spellStart"/>
      <w:r w:rsidR="0044673A">
        <w:rPr>
          <w:b/>
          <w:bCs/>
        </w:rPr>
        <w:t>hESC</w:t>
      </w:r>
      <w:proofErr w:type="spellEnd"/>
      <w:r w:rsidR="0044673A">
        <w:rPr>
          <w:b/>
          <w:bCs/>
        </w:rPr>
        <w:t xml:space="preserve">-derived </w:t>
      </w:r>
      <w:r w:rsidRPr="00164A81">
        <w:rPr>
          <w:b/>
          <w:bCs/>
        </w:rPr>
        <w:t>cells labelled by virus-mediated synaptic tracing technique, grafted into the striatum of rats maintained in SE or EE conditions up to 6 months after transplantation.</w:t>
      </w:r>
    </w:p>
    <w:p w14:paraId="080E8E3D" w14:textId="2DFA04E4" w:rsidR="00164A81" w:rsidRPr="00164A81" w:rsidRDefault="00164A81">
      <w:pPr>
        <w:jc w:val="both"/>
        <w:rPr>
          <w:b/>
          <w:bCs/>
        </w:rPr>
      </w:pPr>
      <w:r>
        <w:rPr>
          <w:noProof/>
        </w:rPr>
        <w:drawing>
          <wp:inline distT="0" distB="0" distL="0" distR="0" wp14:anchorId="4F401EE4" wp14:editId="4C36CDB7">
            <wp:extent cx="6120130" cy="1703070"/>
            <wp:effectExtent l="0" t="0" r="0" b="0"/>
            <wp:docPr id="624563421" name="Immagine 1" descr="Immagine che contiene schermata, Policromia, Elementi grafic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563421" name="Immagine 1" descr="Immagine che contiene schermata, Policromia, Elementi grafici&#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130" cy="1703070"/>
                    </a:xfrm>
                    <a:prstGeom prst="rect">
                      <a:avLst/>
                    </a:prstGeom>
                    <a:noFill/>
                    <a:ln>
                      <a:noFill/>
                    </a:ln>
                  </pic:spPr>
                </pic:pic>
              </a:graphicData>
            </a:graphic>
          </wp:inline>
        </w:drawing>
      </w:r>
    </w:p>
    <w:p w14:paraId="00000019" w14:textId="77777777" w:rsidR="00C71D36" w:rsidRDefault="00C71D36">
      <w:pPr>
        <w:jc w:val="both"/>
      </w:pPr>
    </w:p>
    <w:p w14:paraId="0000001A" w14:textId="77777777" w:rsidR="00C71D36" w:rsidRDefault="00C71D36">
      <w:pPr>
        <w:jc w:val="both"/>
      </w:pPr>
    </w:p>
    <w:sectPr w:rsidR="00C71D36">
      <w:pgSz w:w="11906" w:h="16838"/>
      <w:pgMar w:top="1417" w:right="1134" w:bottom="1134" w:left="1134"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C0D4F89"/>
    <w:multiLevelType w:val="multilevel"/>
    <w:tmpl w:val="F6C0C7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399668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1D36"/>
    <w:rsid w:val="00164A81"/>
    <w:rsid w:val="00271257"/>
    <w:rsid w:val="0044673A"/>
    <w:rsid w:val="00707397"/>
    <w:rsid w:val="00C71D3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9417CA"/>
  <w15:docId w15:val="{2789EA62-FEB7-439A-9AA8-D6D800FC30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customStyle="1" w:styleId="Default">
    <w:name w:val="Default"/>
    <w:rsid w:val="00316345"/>
    <w:pPr>
      <w:autoSpaceDE w:val="0"/>
      <w:autoSpaceDN w:val="0"/>
      <w:adjustRightInd w:val="0"/>
      <w:spacing w:after="0" w:line="240" w:lineRule="auto"/>
    </w:pPr>
    <w:rPr>
      <w:color w:val="000000"/>
      <w:sz w:val="24"/>
      <w:szCs w:val="24"/>
    </w:rPr>
  </w:style>
  <w:style w:type="character" w:styleId="Collegamentoipertestuale">
    <w:name w:val="Hyperlink"/>
    <w:basedOn w:val="Carpredefinitoparagrafo"/>
    <w:uiPriority w:val="99"/>
    <w:unhideWhenUsed/>
    <w:rsid w:val="00C2732B"/>
    <w:rPr>
      <w:color w:val="0563C1" w:themeColor="hyperlink"/>
      <w:u w:val="single"/>
    </w:rPr>
  </w:style>
  <w:style w:type="character" w:styleId="Menzionenonrisolta">
    <w:name w:val="Unresolved Mention"/>
    <w:basedOn w:val="Carpredefinitoparagrafo"/>
    <w:uiPriority w:val="99"/>
    <w:semiHidden/>
    <w:unhideWhenUsed/>
    <w:rsid w:val="00C2732B"/>
    <w:rPr>
      <w:color w:val="605E5C"/>
      <w:shd w:val="clear" w:color="auto" w:fill="E1DFDD"/>
    </w:rPr>
  </w:style>
  <w:style w:type="character" w:styleId="Enfasicorsivo">
    <w:name w:val="Emphasis"/>
    <w:basedOn w:val="Carpredefinitoparagrafo"/>
    <w:uiPriority w:val="20"/>
    <w:qFormat/>
    <w:rsid w:val="00664115"/>
    <w:rPr>
      <w:i/>
      <w:iCs/>
    </w:rPr>
  </w:style>
  <w:style w:type="paragraph" w:styleId="Paragrafoelenco">
    <w:name w:val="List Paragraph"/>
    <w:basedOn w:val="Normale"/>
    <w:uiPriority w:val="34"/>
    <w:qFormat/>
    <w:rsid w:val="00ED074A"/>
    <w:pPr>
      <w:ind w:left="720"/>
      <w:contextualSpacing/>
    </w:pPr>
  </w:style>
  <w:style w:type="paragraph" w:styleId="Sottotitolo">
    <w:name w:val="Subtitle"/>
    <w:basedOn w:val="Normale"/>
    <w:next w:val="Normale"/>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stemcellres.biomedcentral.com/articles/10.1186/s13287-023-03422-4"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hyperlink" Target="https://www.sciencedirect.com/science/article/pii/S2213671120301089?via%3Dihub" TargetMode="Externa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www.nsc-reconstruct.com/en/index.do" TargetMode="Externa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svg"/><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Sv0S2krUZT2fiGqz8RRUb6s3Ow==">CgMxLjA4AGopChRzdWdnZXN0LmJnbjByMXY0amRmdRIRUm9iZXJ0YSBTY2hlbGxpbm9qKQoUc3VnZ2VzdC5qaHhiNXRkamg4MnESEVJvYmVydGEgU2NoZWxsaW5vaikKFHN1Z2dlc3Qubnhsdno0OTluNzd4EhFSb2JlcnRhIFNjaGVsbGlub3IhMWRMUlUzZFFmVGdfWEhSYzhjbW9nZGM2REQyeDRWMFM2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3</Pages>
  <Words>1102</Words>
  <Characters>6282</Characters>
  <Application>Microsoft Office Word</Application>
  <DocSecurity>0</DocSecurity>
  <Lines>52</Lines>
  <Paragraphs>14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Roberta Schellino</dc:creator>
  <cp:lastModifiedBy>Roberta Schellino</cp:lastModifiedBy>
  <cp:revision>4</cp:revision>
  <dcterms:created xsi:type="dcterms:W3CDTF">2021-08-04T17:10:00Z</dcterms:created>
  <dcterms:modified xsi:type="dcterms:W3CDTF">2023-11-28T17:12:00Z</dcterms:modified>
</cp:coreProperties>
</file>